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7DF4" w14:textId="7C03D942"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noProof/>
          <w:lang w:val="bg-BG" w:eastAsia="x-none"/>
        </w:rPr>
        <w:drawing>
          <wp:inline distT="0" distB="0" distL="0" distR="0" wp14:anchorId="0FA4A0E0" wp14:editId="5B8442CF">
            <wp:extent cx="5760720" cy="781685"/>
            <wp:effectExtent l="0" t="0" r="0" b="0"/>
            <wp:docPr id="37280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81685"/>
                    </a:xfrm>
                    <a:prstGeom prst="rect">
                      <a:avLst/>
                    </a:prstGeom>
                    <a:noFill/>
                    <a:ln>
                      <a:noFill/>
                    </a:ln>
                  </pic:spPr>
                </pic:pic>
              </a:graphicData>
            </a:graphic>
          </wp:inline>
        </w:drawing>
      </w:r>
    </w:p>
    <w:p w14:paraId="0F38C58C"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0FFF3F6A"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4E3077C9" w14:textId="77777777" w:rsidR="00FA1C7F" w:rsidRPr="00FA1C7F" w:rsidRDefault="00FA1C7F" w:rsidP="00FA1C7F">
      <w:pPr>
        <w:jc w:val="center"/>
        <w:rPr>
          <w:rFonts w:ascii="Times New Roman" w:eastAsia="Times New Roman" w:hAnsi="Times New Roman" w:cs="Times New Roman"/>
          <w:b/>
          <w:color w:val="000000"/>
          <w:lang w:val="bg-BG" w:eastAsia="bg-BG"/>
        </w:rPr>
      </w:pPr>
      <w:r w:rsidRPr="00FA1C7F">
        <w:rPr>
          <w:rFonts w:ascii="Times New Roman" w:eastAsia="Times New Roman" w:hAnsi="Times New Roman" w:cs="Times New Roman"/>
          <w:b/>
          <w:color w:val="000000"/>
          <w:lang w:val="bg-BG" w:eastAsia="bg-BG"/>
        </w:rPr>
        <w:t>ИЗПИТНА СЕСИЯ 2026</w:t>
      </w:r>
    </w:p>
    <w:p w14:paraId="34702F4A" w14:textId="77777777" w:rsidR="00FA1C7F" w:rsidRPr="00FA1C7F" w:rsidRDefault="00FA1C7F" w:rsidP="00FA1C7F">
      <w:pPr>
        <w:jc w:val="center"/>
        <w:rPr>
          <w:rFonts w:ascii="Times New Roman" w:eastAsia="Times New Roman" w:hAnsi="Times New Roman" w:cs="Times New Roman"/>
          <w:b/>
          <w:color w:val="000000"/>
          <w:sz w:val="28"/>
          <w:szCs w:val="28"/>
          <w:lang w:val="bg-BG" w:eastAsia="bg-BG"/>
        </w:rPr>
      </w:pPr>
    </w:p>
    <w:p w14:paraId="4ED2F87B" w14:textId="77777777" w:rsidR="00FA1C7F" w:rsidRPr="00FA1C7F" w:rsidRDefault="00FA1C7F" w:rsidP="00FA1C7F">
      <w:pPr>
        <w:spacing w:after="0"/>
        <w:jc w:val="center"/>
        <w:rPr>
          <w:rFonts w:ascii="Times New Roman" w:eastAsia="Times New Roman" w:hAnsi="Times New Roman" w:cs="Times New Roman"/>
          <w:b/>
          <w:color w:val="000000"/>
          <w:sz w:val="28"/>
          <w:szCs w:val="28"/>
          <w:lang w:val="bg-BG" w:eastAsia="bg-BG"/>
        </w:rPr>
      </w:pPr>
      <w:r w:rsidRPr="00FA1C7F">
        <w:rPr>
          <w:rFonts w:ascii="Times New Roman" w:eastAsia="Times New Roman" w:hAnsi="Times New Roman" w:cs="Times New Roman"/>
          <w:b/>
          <w:color w:val="000000"/>
          <w:sz w:val="28"/>
          <w:szCs w:val="28"/>
          <w:lang w:val="bg-BG" w:eastAsia="bg-BG"/>
        </w:rPr>
        <w:t xml:space="preserve">Тематичен конспект за изпит за придобиване на правоспособност за изразяване на сигурност по устойчивостта – </w:t>
      </w:r>
    </w:p>
    <w:p w14:paraId="0E937548" w14:textId="77777777" w:rsidR="00FA1C7F" w:rsidRPr="00FA1C7F" w:rsidRDefault="00FA1C7F" w:rsidP="00FA1C7F">
      <w:pPr>
        <w:spacing w:after="0"/>
        <w:jc w:val="center"/>
        <w:rPr>
          <w:rFonts w:ascii="Times New Roman" w:eastAsia="Aptos" w:hAnsi="Times New Roman" w:cs="Times New Roman"/>
          <w:b/>
          <w:bCs/>
          <w:sz w:val="28"/>
          <w:szCs w:val="28"/>
          <w:lang w:val="bg-BG"/>
        </w:rPr>
      </w:pPr>
      <w:r w:rsidRPr="00FA1C7F">
        <w:rPr>
          <w:rFonts w:ascii="Times New Roman" w:eastAsia="Aptos" w:hAnsi="Times New Roman" w:cs="Times New Roman"/>
          <w:b/>
          <w:bCs/>
          <w:sz w:val="28"/>
          <w:szCs w:val="28"/>
          <w:lang w:val="bg-BG"/>
        </w:rPr>
        <w:t>Изразяване на сигурност във връзка с устойчивостта</w:t>
      </w:r>
    </w:p>
    <w:p w14:paraId="4A070287"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09F8D7CD"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I. Процеси на наблюдение, анализ и контрол относно въпросите по устойчивост (чл. 8, §3, б. „в“ от Директива 2006/43/ЕО)</w:t>
      </w:r>
    </w:p>
    <w:p w14:paraId="2A7B9663"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1: Роля на одиторите и изисквания за организационна структура</w:t>
      </w:r>
    </w:p>
    <w:p w14:paraId="62450F4E" w14:textId="77777777" w:rsidR="00FA1C7F" w:rsidRPr="00FA1C7F" w:rsidRDefault="00FA1C7F" w:rsidP="00FA1C7F">
      <w:pPr>
        <w:spacing w:after="0" w:line="240" w:lineRule="auto"/>
        <w:ind w:left="720"/>
        <w:jc w:val="both"/>
        <w:rPr>
          <w:rFonts w:ascii="Times New Roman" w:eastAsia="Aptos" w:hAnsi="Times New Roman" w:cs="Times New Roman"/>
          <w:lang w:val="bg-BG"/>
        </w:rPr>
      </w:pPr>
    </w:p>
    <w:p w14:paraId="0E691E26"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Одиторски дружества – системи за вътрешен контрол и мониторинг. Изисквания към системите за контрол на качеството: лидерство и управление, човешки ресурси, етични изисквания, ангажираност и резултати, мониторинг. Връзка с МСУК 1 и МСУК 2. Специфики при изпълнение на ангажименти за устойчивост.</w:t>
      </w:r>
    </w:p>
    <w:p w14:paraId="71B6401D" w14:textId="77777777" w:rsidR="00FA1C7F" w:rsidRPr="00FA1C7F" w:rsidRDefault="00FA1C7F" w:rsidP="00FA1C7F">
      <w:pPr>
        <w:spacing w:after="0" w:line="240" w:lineRule="auto"/>
        <w:jc w:val="both"/>
        <w:rPr>
          <w:rFonts w:ascii="Times New Roman" w:eastAsia="Aptos" w:hAnsi="Times New Roman" w:cs="Times New Roman"/>
          <w:lang w:val="bg-BG"/>
        </w:rPr>
      </w:pPr>
    </w:p>
    <w:p w14:paraId="77C68E18"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2: Вътрешен мониторинг, ролеви функции и контролни дейности</w:t>
      </w:r>
    </w:p>
    <w:p w14:paraId="17462EC6"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Управление на качеството в контекста на ангажименти за изразяване на сигурност по устойчивостта. Вътрешни проверки, студен преглед и тематични прегледи. Одиторска документация и доказателства. Независимост и етични принципи ангажименти за изразяване на сигурност по устойчивостта.</w:t>
      </w:r>
    </w:p>
    <w:p w14:paraId="7A7D25BD" w14:textId="77777777" w:rsidR="00FA1C7F" w:rsidRPr="00FA1C7F" w:rsidRDefault="00FA1C7F" w:rsidP="00FA1C7F">
      <w:pPr>
        <w:spacing w:after="0" w:line="240" w:lineRule="auto"/>
        <w:jc w:val="both"/>
        <w:rPr>
          <w:rFonts w:ascii="Times New Roman" w:eastAsia="Aptos" w:hAnsi="Times New Roman" w:cs="Times New Roman"/>
          <w:lang w:val="bg-BG"/>
        </w:rPr>
      </w:pPr>
    </w:p>
    <w:p w14:paraId="2E1DAC43"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II. Нормативни изисквания и стандарти за изразяване на сигурност по устойчивостта</w:t>
      </w:r>
    </w:p>
    <w:p w14:paraId="43664FB2"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3: Стандарти за изразяване на сигурност по устойчивостта</w:t>
      </w:r>
    </w:p>
    <w:p w14:paraId="470C32D6" w14:textId="77777777" w:rsidR="00FA1C7F" w:rsidRPr="00FA1C7F" w:rsidRDefault="00FA1C7F" w:rsidP="00FA1C7F">
      <w:pPr>
        <w:spacing w:after="0" w:line="240" w:lineRule="auto"/>
        <w:jc w:val="both"/>
        <w:rPr>
          <w:rFonts w:ascii="Times New Roman" w:eastAsia="Aptos" w:hAnsi="Times New Roman" w:cs="Times New Roman"/>
          <w:sz w:val="22"/>
          <w:szCs w:val="22"/>
          <w:lang w:val="bg-BG"/>
        </w:rPr>
      </w:pPr>
      <w:r w:rsidRPr="00FA1C7F">
        <w:rPr>
          <w:rFonts w:ascii="Times New Roman" w:eastAsia="Aptos" w:hAnsi="Times New Roman" w:cs="Times New Roman"/>
          <w:lang w:val="bg-BG"/>
        </w:rPr>
        <w:t xml:space="preserve">Международен стандарт за ангажименти за изразяване на сигурност (МСАИС) 3000 (Преработен) – за общи ангажименти за сигурност (включително устойчивост); МСАИС 3410 </w:t>
      </w:r>
      <w:r w:rsidRPr="00FA1C7F">
        <w:rPr>
          <w:rFonts w:ascii="Times New Roman" w:eastAsia="Aptos" w:hAnsi="Times New Roman" w:cs="Times New Roman"/>
          <w:sz w:val="22"/>
          <w:szCs w:val="22"/>
          <w:lang w:val="bg-BG"/>
        </w:rPr>
        <w:t>Ангажименти за изразяване на сигурност относно отчети за парникови газове</w:t>
      </w:r>
    </w:p>
    <w:p w14:paraId="3A07070C"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3AA61FE4"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4: Информация върху, която се изразяване на сигурност по устойчивостта</w:t>
      </w:r>
    </w:p>
    <w:p w14:paraId="12224114" w14:textId="77777777" w:rsidR="00FA1C7F" w:rsidRPr="00FA1C7F" w:rsidRDefault="00FA1C7F" w:rsidP="00FA1C7F">
      <w:pPr>
        <w:tabs>
          <w:tab w:val="num" w:pos="720"/>
        </w:tabs>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Видове информация в обхвата на МСАИС 3000 (Преработен) при ангажименти за устойчивост - ЕСОУ оповестявания, ESG политики, цели, планове, оценки за двойна същественост, KPI по устойчивост, данни за веригата на стойността, описателни оповестявания („качествена информация“)</w:t>
      </w:r>
    </w:p>
    <w:p w14:paraId="4727482C"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4908AAC2"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 xml:space="preserve">Тема 5. Ключови принципи на МСАИС 3000 (преработен) в контекста на устойчивостта </w:t>
      </w:r>
    </w:p>
    <w:p w14:paraId="6C8BA818" w14:textId="77777777" w:rsidR="00FA1C7F" w:rsidRPr="00FA1C7F" w:rsidRDefault="00FA1C7F" w:rsidP="00FA1C7F">
      <w:pPr>
        <w:numPr>
          <w:ilvl w:val="0"/>
          <w:numId w:val="1"/>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Професионален скептицизъм (качествени описания, оповестяване на информация за бъдещето, сценарийни анализи, оценки на емисии парникови газове в обхват 3;</w:t>
      </w:r>
    </w:p>
    <w:p w14:paraId="44BC95D5" w14:textId="77777777" w:rsidR="00FA1C7F" w:rsidRPr="00FA1C7F" w:rsidRDefault="00FA1C7F" w:rsidP="00FA1C7F">
      <w:pPr>
        <w:numPr>
          <w:ilvl w:val="0"/>
          <w:numId w:val="1"/>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Независимост и етика (Спазване на Етичния кодекс на професионалните счетоводители, Забрана за дейности, които компрометират безпристрастността)</w:t>
      </w:r>
    </w:p>
    <w:p w14:paraId="11CCE2A0" w14:textId="77777777" w:rsidR="00FA1C7F" w:rsidRPr="00FA1C7F" w:rsidRDefault="00FA1C7F" w:rsidP="00FA1C7F">
      <w:pPr>
        <w:numPr>
          <w:ilvl w:val="0"/>
          <w:numId w:val="1"/>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lastRenderedPageBreak/>
        <w:t>Доказателства (количествени и качествени, външни, вътрешни, преглед на системи, контроли и процеси, данни във веригата на стойността</w:t>
      </w:r>
    </w:p>
    <w:p w14:paraId="7C1ECA38"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4440CC17"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6. Етапи на ангажимента по МСАИС 3000 (преработен) за устойчивост</w:t>
      </w:r>
    </w:p>
    <w:p w14:paraId="04E2710A"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7E174892"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Приемане на ангажимента - Предварителна оценка на предпоставките за ангажимент, Оценка на етичните и независимост изисквания, определяне на критерии – тук това са ESRS, Предварителен анализ на съществеността на обекта на изразяване на сигурност.</w:t>
      </w:r>
    </w:p>
    <w:p w14:paraId="5E48153A"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0E634C95"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Планиране на ангажимента - Разбиране на предприятието, стратегията и ESG контекста, Анализ на рисковете от съществено невярно представяне, определяне на ниво за същественост за целите на изразяването на сигурност във връзка с устойчивостта, Оценка на контролната среда във връзка с процесите за устойчивост.</w:t>
      </w:r>
    </w:p>
    <w:p w14:paraId="127DA2EF"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78E06424"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Изпълнение на процедурите за ограничена сигурност - Запитвания към ръководството и ключови служители, аналитични процедури; ограничени тестове на контроли, преглед на документация, извадкова проверка, проверка на логическата съгласуваност на данните</w:t>
      </w:r>
    </w:p>
    <w:p w14:paraId="536EB78E"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5984B3CD"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Документиране на одиторските процедури - работни документи, доказателства за процедурите, изводите и материалността, оценка на противоречиви доказателства, проследимост на логиката на заключението</w:t>
      </w:r>
    </w:p>
    <w:p w14:paraId="52F2AAEB" w14:textId="77777777" w:rsidR="00FA1C7F" w:rsidRPr="00FA1C7F" w:rsidRDefault="00FA1C7F" w:rsidP="00FA1C7F">
      <w:pPr>
        <w:spacing w:after="0" w:line="240" w:lineRule="auto"/>
        <w:jc w:val="both"/>
        <w:rPr>
          <w:rFonts w:ascii="Times New Roman" w:eastAsia="Aptos" w:hAnsi="Times New Roman" w:cs="Times New Roman"/>
          <w:lang w:val="bg-BG"/>
        </w:rPr>
      </w:pPr>
    </w:p>
    <w:p w14:paraId="4293E558"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Формиране на заключението за ограничена степен на сигурност - видове заключения (немодифицирано, модифицирано). Обосновка за модифицирано заключение, ограничения на ангажимента, съответствие на заключението със структурата на ESRS</w:t>
      </w:r>
    </w:p>
    <w:p w14:paraId="3ED230FE" w14:textId="77777777" w:rsidR="00FA1C7F" w:rsidRPr="00FA1C7F" w:rsidRDefault="00FA1C7F" w:rsidP="00FA1C7F">
      <w:pPr>
        <w:spacing w:after="0" w:line="240" w:lineRule="auto"/>
        <w:jc w:val="both"/>
        <w:rPr>
          <w:rFonts w:ascii="Times New Roman" w:eastAsia="Aptos" w:hAnsi="Times New Roman" w:cs="Times New Roman"/>
          <w:lang w:val="bg-BG"/>
        </w:rPr>
      </w:pPr>
    </w:p>
    <w:p w14:paraId="20AE59D1"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7: Одиторски доказателства и документиране</w:t>
      </w:r>
    </w:p>
    <w:p w14:paraId="5BB85CB9"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Видове доказателства – адекватност и достатъчност. Работни документи за ангажименти по устойчивост. Външни доказателства – верига на стойността, доставчици, трети страни. Оценка на риска от измама или съществено невярно представяне/отчитане.</w:t>
      </w:r>
    </w:p>
    <w:p w14:paraId="4ACA0F15" w14:textId="77777777" w:rsidR="00FA1C7F" w:rsidRPr="00FA1C7F" w:rsidRDefault="00FA1C7F" w:rsidP="00FA1C7F">
      <w:pPr>
        <w:spacing w:after="0" w:line="240" w:lineRule="auto"/>
        <w:jc w:val="both"/>
        <w:rPr>
          <w:rFonts w:ascii="Times New Roman" w:eastAsia="Aptos" w:hAnsi="Times New Roman" w:cs="Times New Roman"/>
          <w:lang w:val="bg-BG"/>
        </w:rPr>
      </w:pPr>
    </w:p>
    <w:p w14:paraId="44B1655B"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Тема 8: Взаимодействие между одитор и предприятие относно отчетността по устойчивостта</w:t>
      </w:r>
    </w:p>
    <w:p w14:paraId="648A2DE5" w14:textId="77777777" w:rsidR="00FA1C7F" w:rsidRPr="00FA1C7F" w:rsidRDefault="00FA1C7F" w:rsidP="00FA1C7F">
      <w:pPr>
        <w:spacing w:after="0" w:line="240" w:lineRule="auto"/>
        <w:jc w:val="both"/>
        <w:rPr>
          <w:rFonts w:ascii="Times New Roman" w:eastAsia="Aptos" w:hAnsi="Times New Roman" w:cs="Times New Roman"/>
          <w:lang w:val="bg-BG"/>
        </w:rPr>
      </w:pPr>
      <w:r w:rsidRPr="00FA1C7F">
        <w:rPr>
          <w:rFonts w:ascii="Times New Roman" w:eastAsia="Aptos" w:hAnsi="Times New Roman" w:cs="Times New Roman"/>
          <w:lang w:val="bg-BG"/>
        </w:rPr>
        <w:t>Комуникации между доставчик на услуги за изразяване на сигурност и управителните органи. Комуникация върху основни наблюдения/констатации. Управление на несъответствия и корекции. Професионален скептицизъм в контекста на нефинансови данни.</w:t>
      </w:r>
    </w:p>
    <w:p w14:paraId="240FA23B" w14:textId="77777777" w:rsidR="00FA1C7F" w:rsidRPr="00FA1C7F" w:rsidRDefault="00FA1C7F" w:rsidP="00FA1C7F">
      <w:pPr>
        <w:spacing w:after="0" w:line="240" w:lineRule="auto"/>
        <w:jc w:val="both"/>
        <w:rPr>
          <w:rFonts w:ascii="Times New Roman" w:eastAsia="Aptos" w:hAnsi="Times New Roman" w:cs="Times New Roman"/>
          <w:lang w:val="bg-BG"/>
        </w:rPr>
      </w:pPr>
    </w:p>
    <w:p w14:paraId="06CF6477" w14:textId="77777777" w:rsidR="00FA1C7F" w:rsidRPr="00FA1C7F" w:rsidRDefault="00FA1C7F" w:rsidP="00FA1C7F">
      <w:pPr>
        <w:spacing w:after="0" w:line="240" w:lineRule="auto"/>
        <w:jc w:val="both"/>
        <w:rPr>
          <w:rFonts w:ascii="Times New Roman" w:eastAsia="Aptos" w:hAnsi="Times New Roman" w:cs="Times New Roman"/>
          <w:b/>
          <w:bCs/>
          <w:lang w:val="bg-BG"/>
        </w:rPr>
      </w:pPr>
      <w:r w:rsidRPr="00FA1C7F">
        <w:rPr>
          <w:rFonts w:ascii="Times New Roman" w:eastAsia="Aptos" w:hAnsi="Times New Roman" w:cs="Times New Roman"/>
          <w:b/>
          <w:bCs/>
          <w:lang w:val="bg-BG"/>
        </w:rPr>
        <w:t>Препоръчителна литература:</w:t>
      </w:r>
    </w:p>
    <w:p w14:paraId="5D4DD117" w14:textId="77777777" w:rsidR="00FA1C7F" w:rsidRPr="00FA1C7F" w:rsidRDefault="00FA1C7F" w:rsidP="00FA1C7F">
      <w:pPr>
        <w:spacing w:after="0" w:line="240" w:lineRule="auto"/>
        <w:jc w:val="both"/>
        <w:rPr>
          <w:rFonts w:ascii="Times New Roman" w:eastAsia="Aptos" w:hAnsi="Times New Roman" w:cs="Times New Roman"/>
          <w:b/>
          <w:bCs/>
          <w:lang w:val="bg-BG"/>
        </w:rPr>
      </w:pPr>
    </w:p>
    <w:p w14:paraId="0D5B517A"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Закон за независимия финансов одит и изразяването на сигурност по устойчивостта</w:t>
      </w:r>
    </w:p>
    <w:p w14:paraId="03515AF0"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 xml:space="preserve">НАРЕДБА No 4 от 04.02.2025 г. за утвърждаване на Международните одиторски стандарти, Международните стандарти за управление на качеството 1 и 2 и другите международни стандарти, издадени от Международната федерация на счетоводителите чрез Съвета по международни одиторски стандарти и стандарти за изразяване на сигурност </w:t>
      </w:r>
    </w:p>
    <w:p w14:paraId="631A63B4"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Приложение към Наредба № 4 от 4 февруари 2025 г. - Международни одиторски стандарти, Международни стандарти за управление на качеството 1 и 2 и другите международни стандарти, издадени от Международната федерация на счетоводителите чрез Съвета по международни одиторски стандарти и стандарти за изразяване на сигурност</w:t>
      </w:r>
    </w:p>
    <w:p w14:paraId="066FEB47"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НАРЕДБА № 5 от 04.02.2025 г. за утвърждаване на Ръководство по Международен етичен кодекс на професионалните счетоводители (включително Международни стандарти за независимост), издадено от Международната федерация на счетоводителите чрез Съвета за международни стандарти по етика за счетоводители</w:t>
      </w:r>
    </w:p>
    <w:p w14:paraId="0EA1C914"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Приложение към Наредба № 5 от 4 февруари 2025 г. - Ръководство по Международен етичен кодекс на професионалните счетоводители (включително Международни стандарти за независимост), издадено от Международната федерация на счетоводителите чрез Съвета за международни стандарти по етика за счетоводители</w:t>
      </w:r>
    </w:p>
    <w:p w14:paraId="6FABC646"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МСАИС 3000 (преработен) „Ангажименти за изразяване на сигурност, различни от одити и прегледи на историческа финансова информация“</w:t>
      </w:r>
    </w:p>
    <w:p w14:paraId="2BE26C9C"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МСАИС 3410 Ангажименти за изразяване на сигурност относно отчети за парникови газове</w:t>
      </w:r>
    </w:p>
    <w:p w14:paraId="286D55D8" w14:textId="77777777" w:rsidR="00FA1C7F" w:rsidRPr="00FA1C7F" w:rsidRDefault="00FA1C7F" w:rsidP="00FA1C7F">
      <w:pPr>
        <w:numPr>
          <w:ilvl w:val="0"/>
          <w:numId w:val="2"/>
        </w:numPr>
        <w:spacing w:after="0" w:line="240" w:lineRule="auto"/>
        <w:contextualSpacing/>
        <w:jc w:val="both"/>
        <w:rPr>
          <w:rFonts w:ascii="Times New Roman" w:eastAsia="Aptos" w:hAnsi="Times New Roman" w:cs="Times New Roman"/>
          <w:lang w:val="bg-BG"/>
        </w:rPr>
      </w:pPr>
      <w:r w:rsidRPr="00FA1C7F">
        <w:rPr>
          <w:rFonts w:ascii="Times New Roman" w:eastAsia="Aptos" w:hAnsi="Times New Roman" w:cs="Times New Roman"/>
          <w:lang w:val="bg-BG"/>
        </w:rPr>
        <w:t>Non-Authoritative Guidance on Applying ISAE 3000 (Revised) to Sustainability and Other Extended External Reporting Assurance Engagements</w:t>
      </w:r>
    </w:p>
    <w:p w14:paraId="7BF80945" w14:textId="77777777" w:rsidR="00972B1C" w:rsidRPr="00FA1C7F" w:rsidRDefault="00972B1C">
      <w:pPr>
        <w:rPr>
          <w:lang w:val="bg-BG"/>
        </w:rPr>
      </w:pPr>
    </w:p>
    <w:sectPr w:rsidR="00972B1C" w:rsidRPr="00FA1C7F" w:rsidSect="00FA1C7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ED13" w14:textId="77777777" w:rsidR="00FA1C7F" w:rsidRDefault="00FA1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589814"/>
      <w:docPartObj>
        <w:docPartGallery w:val="Page Numbers (Bottom of Page)"/>
        <w:docPartUnique/>
      </w:docPartObj>
    </w:sdtPr>
    <w:sdtContent>
      <w:p w14:paraId="584AD0AD" w14:textId="77777777" w:rsidR="00FA1C7F" w:rsidRDefault="00FA1C7F">
        <w:pPr>
          <w:pStyle w:val="Footer"/>
          <w:jc w:val="center"/>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FF09" w14:textId="77777777" w:rsidR="00FA1C7F" w:rsidRDefault="00FA1C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09A7" w14:textId="77777777" w:rsidR="00FA1C7F" w:rsidRDefault="00FA1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BC0" w14:textId="77777777" w:rsidR="00FA1C7F" w:rsidRDefault="00FA1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BB5C" w14:textId="77777777" w:rsidR="00FA1C7F" w:rsidRDefault="00FA1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66F7"/>
    <w:multiLevelType w:val="hybridMultilevel"/>
    <w:tmpl w:val="97EA9C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65F06495"/>
    <w:multiLevelType w:val="hybridMultilevel"/>
    <w:tmpl w:val="B0846F24"/>
    <w:lvl w:ilvl="0" w:tplc="1A801396">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369990344">
    <w:abstractNumId w:val="1"/>
  </w:num>
  <w:num w:numId="2" w16cid:durableId="41636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7F"/>
    <w:rsid w:val="00972B1C"/>
    <w:rsid w:val="00CA1ACC"/>
    <w:rsid w:val="00D82197"/>
    <w:rsid w:val="00FA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2D9F"/>
  <w15:chartTrackingRefBased/>
  <w15:docId w15:val="{A40D75B2-6081-4D0C-BE56-4D4963BE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C7F"/>
    <w:rPr>
      <w:rFonts w:eastAsiaTheme="majorEastAsia" w:cstheme="majorBidi"/>
      <w:color w:val="272727" w:themeColor="text1" w:themeTint="D8"/>
    </w:rPr>
  </w:style>
  <w:style w:type="paragraph" w:styleId="Title">
    <w:name w:val="Title"/>
    <w:basedOn w:val="Normal"/>
    <w:next w:val="Normal"/>
    <w:link w:val="TitleChar"/>
    <w:uiPriority w:val="10"/>
    <w:qFormat/>
    <w:rsid w:val="00FA1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C7F"/>
    <w:pPr>
      <w:spacing w:before="160"/>
      <w:jc w:val="center"/>
    </w:pPr>
    <w:rPr>
      <w:i/>
      <w:iCs/>
      <w:color w:val="404040" w:themeColor="text1" w:themeTint="BF"/>
    </w:rPr>
  </w:style>
  <w:style w:type="character" w:customStyle="1" w:styleId="QuoteChar">
    <w:name w:val="Quote Char"/>
    <w:basedOn w:val="DefaultParagraphFont"/>
    <w:link w:val="Quote"/>
    <w:uiPriority w:val="29"/>
    <w:rsid w:val="00FA1C7F"/>
    <w:rPr>
      <w:i/>
      <w:iCs/>
      <w:color w:val="404040" w:themeColor="text1" w:themeTint="BF"/>
    </w:rPr>
  </w:style>
  <w:style w:type="paragraph" w:styleId="ListParagraph">
    <w:name w:val="List Paragraph"/>
    <w:basedOn w:val="Normal"/>
    <w:uiPriority w:val="34"/>
    <w:qFormat/>
    <w:rsid w:val="00FA1C7F"/>
    <w:pPr>
      <w:ind w:left="720"/>
      <w:contextualSpacing/>
    </w:pPr>
  </w:style>
  <w:style w:type="character" w:styleId="IntenseEmphasis">
    <w:name w:val="Intense Emphasis"/>
    <w:basedOn w:val="DefaultParagraphFont"/>
    <w:uiPriority w:val="21"/>
    <w:qFormat/>
    <w:rsid w:val="00FA1C7F"/>
    <w:rPr>
      <w:i/>
      <w:iCs/>
      <w:color w:val="0F4761" w:themeColor="accent1" w:themeShade="BF"/>
    </w:rPr>
  </w:style>
  <w:style w:type="paragraph" w:styleId="IntenseQuote">
    <w:name w:val="Intense Quote"/>
    <w:basedOn w:val="Normal"/>
    <w:next w:val="Normal"/>
    <w:link w:val="IntenseQuoteChar"/>
    <w:uiPriority w:val="30"/>
    <w:qFormat/>
    <w:rsid w:val="00FA1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C7F"/>
    <w:rPr>
      <w:i/>
      <w:iCs/>
      <w:color w:val="0F4761" w:themeColor="accent1" w:themeShade="BF"/>
    </w:rPr>
  </w:style>
  <w:style w:type="character" w:styleId="IntenseReference">
    <w:name w:val="Intense Reference"/>
    <w:basedOn w:val="DefaultParagraphFont"/>
    <w:uiPriority w:val="32"/>
    <w:qFormat/>
    <w:rsid w:val="00FA1C7F"/>
    <w:rPr>
      <w:b/>
      <w:bCs/>
      <w:smallCaps/>
      <w:color w:val="0F4761" w:themeColor="accent1" w:themeShade="BF"/>
      <w:spacing w:val="5"/>
    </w:rPr>
  </w:style>
  <w:style w:type="paragraph" w:styleId="Header">
    <w:name w:val="header"/>
    <w:basedOn w:val="Normal"/>
    <w:link w:val="HeaderChar"/>
    <w:uiPriority w:val="99"/>
    <w:semiHidden/>
    <w:unhideWhenUsed/>
    <w:rsid w:val="00FA1C7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A1C7F"/>
  </w:style>
  <w:style w:type="paragraph" w:styleId="Footer">
    <w:name w:val="footer"/>
    <w:basedOn w:val="Normal"/>
    <w:link w:val="FooterChar"/>
    <w:uiPriority w:val="99"/>
    <w:semiHidden/>
    <w:unhideWhenUsed/>
    <w:rsid w:val="00FA1C7F"/>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FA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emf"/><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Terziyska</dc:creator>
  <cp:keywords/>
  <dc:description/>
  <cp:lastModifiedBy>Silviya Terziyska</cp:lastModifiedBy>
  <cp:revision>1</cp:revision>
  <dcterms:created xsi:type="dcterms:W3CDTF">2026-02-03T11:12:00Z</dcterms:created>
  <dcterms:modified xsi:type="dcterms:W3CDTF">2026-02-03T11:12:00Z</dcterms:modified>
</cp:coreProperties>
</file>