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2941BF" w14:textId="407FAE02" w:rsidR="005E14F6" w:rsidRPr="00017EA1" w:rsidRDefault="008B3DF6" w:rsidP="005E14F6">
      <w:pPr>
        <w:shd w:val="clear" w:color="auto" w:fill="A41F35"/>
        <w:spacing w:before="465" w:after="100" w:afterAutospacing="1" w:line="240" w:lineRule="auto"/>
        <w:outlineLvl w:val="0"/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:lang w:val="bg-BG"/>
          <w14:ligatures w14:val="none"/>
        </w:rPr>
        <w:t xml:space="preserve">Информационен бюлетин на Съвета по международни счетоводни стандарти (IASB) </w:t>
      </w:r>
      <w:r w:rsidR="00866A27" w:rsidRPr="00017EA1"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:lang w:val="bg-BG"/>
          <w14:ligatures w14:val="none"/>
        </w:rPr>
        <w:t>-</w:t>
      </w:r>
      <w:r w:rsidRPr="00017EA1">
        <w:rPr>
          <w:rFonts w:ascii="Helvetica" w:eastAsia="Times New Roman" w:hAnsi="Helvetica" w:cs="Helvetica"/>
          <w:b/>
          <w:bCs/>
          <w:color w:val="FFFFFF"/>
          <w:kern w:val="36"/>
          <w:sz w:val="48"/>
          <w:szCs w:val="48"/>
          <w:lang w:val="bg-BG"/>
          <w14:ligatures w14:val="none"/>
        </w:rPr>
        <w:t xml:space="preserve"> март 2023 г.</w:t>
      </w:r>
    </w:p>
    <w:p w14:paraId="5C38B1CC" w14:textId="77777777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</w:p>
    <w:p w14:paraId="3EB58C31" w14:textId="77777777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</w:p>
    <w:p w14:paraId="60C8448E" w14:textId="7C7F7489" w:rsidR="005E14F6" w:rsidRPr="00017EA1" w:rsidRDefault="008B3D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Настоящият бюлетин на Съвета по международни счетоводни стандарти (IASB) представя предварителните решения на Съвета. Проектите, засегнати от тези решения могат да бъдат намерени в </w:t>
      </w:r>
      <w:hyperlink r:id="rId5" w:history="1">
        <w:r w:rsidRPr="00017EA1">
          <w:rPr>
            <w:rStyle w:val="Hyperlink"/>
            <w:rFonts w:ascii="Helvetica" w:eastAsia="Times New Roman" w:hAnsi="Helvetica" w:cs="Helvetica"/>
            <w:kern w:val="0"/>
            <w:sz w:val="24"/>
            <w:szCs w:val="24"/>
            <w:lang w:val="bg-BG"/>
            <w14:ligatures w14:val="none"/>
          </w:rPr>
          <w:t>работната програма</w:t>
        </w:r>
      </w:hyperlink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 Окончателните решения на Съвета по международни счетоводни стандарти относно МСФО стандарти (</w:t>
      </w:r>
      <w:r w:rsidR="00F83C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IFRS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vertAlign w:val="superscript"/>
          <w:lang w:val="bg-BG"/>
          <w14:ligatures w14:val="none"/>
        </w:rPr>
        <w:t>®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proofErr w:type="spellStart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Standards</w:t>
      </w:r>
      <w:proofErr w:type="spellEnd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), Изменения и Разяснения (IFRIC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vertAlign w:val="superscript"/>
          <w:lang w:val="bg-BG"/>
          <w14:ligatures w14:val="none"/>
        </w:rPr>
        <w:t>®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proofErr w:type="spellStart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Interpretations</w:t>
      </w:r>
      <w:proofErr w:type="spellEnd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 се подлагат на официално гласуване, съгласно предвиденото в </w:t>
      </w:r>
      <w:r w:rsidRPr="00017EA1">
        <w:rPr>
          <w:rFonts w:ascii="Helvetica" w:eastAsia="Times New Roman" w:hAnsi="Helvetica" w:cs="Helvetica"/>
          <w:i/>
          <w:color w:val="575757"/>
          <w:kern w:val="0"/>
          <w:sz w:val="24"/>
          <w:szCs w:val="24"/>
          <w:lang w:val="bg-BG"/>
          <w14:ligatures w14:val="none"/>
        </w:rPr>
        <w:t>Ръководството по регламентираната процедура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на Фондация МСФО (</w:t>
      </w:r>
      <w:r w:rsidR="00F83C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IFRS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proofErr w:type="spellStart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Foundation</w:t>
      </w:r>
      <w:proofErr w:type="spellEnd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DFAE24F" w14:textId="60AF5610" w:rsidR="005E14F6" w:rsidRPr="00017EA1" w:rsidRDefault="008B3D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проведе заседание на </w:t>
      </w:r>
      <w:hyperlink r:id="rId6" w:history="1"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20–23 </w:t>
        </w:r>
        <w:r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март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2023</w:t>
        </w:r>
      </w:hyperlink>
      <w:r w:rsidRPr="00017EA1">
        <w:rPr>
          <w:rFonts w:ascii="Helvetica" w:eastAsia="Times New Roman" w:hAnsi="Helvetica" w:cs="Helvetica"/>
          <w:color w:val="CD3333"/>
          <w:kern w:val="0"/>
          <w:sz w:val="24"/>
          <w:szCs w:val="24"/>
          <w:u w:val="single"/>
          <w:lang w:val="bg-BG"/>
          <w14:ligatures w14:val="none"/>
        </w:rPr>
        <w:t xml:space="preserve"> г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EF33158" w14:textId="5382A401" w:rsidR="005E14F6" w:rsidRPr="00017EA1" w:rsidRDefault="005E14F6" w:rsidP="008B3DF6">
      <w:pPr>
        <w:shd w:val="clear" w:color="auto" w:fill="F6F6F6"/>
        <w:spacing w:line="240" w:lineRule="auto"/>
        <w:ind w:left="360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</w:p>
    <w:p w14:paraId="52B8EEEF" w14:textId="4FC184B9" w:rsidR="005E14F6" w:rsidRPr="00017EA1" w:rsidRDefault="008B3DF6" w:rsidP="005E14F6">
      <w:pPr>
        <w:shd w:val="clear" w:color="auto" w:fill="FFFFFF"/>
        <w:spacing w:after="100" w:afterAutospacing="1" w:line="240" w:lineRule="auto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  <w:t>Съдържание</w:t>
      </w:r>
    </w:p>
    <w:p w14:paraId="1BB32B4E" w14:textId="6B2548A4" w:rsidR="005E14F6" w:rsidRPr="00017EA1" w:rsidRDefault="008B3DF6" w:rsidP="005E14F6">
      <w:pPr>
        <w:shd w:val="clear" w:color="auto" w:fill="FFFFFF"/>
        <w:spacing w:before="45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  <w:t>Общ преглед на работната програма</w:t>
      </w:r>
    </w:p>
    <w:p w14:paraId="43911911" w14:textId="75DCF61A" w:rsidR="005E14F6" w:rsidRPr="00017EA1" w:rsidRDefault="008B3DF6" w:rsidP="005E14F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CD3333"/>
          <w:kern w:val="0"/>
          <w:sz w:val="24"/>
          <w:szCs w:val="24"/>
          <w:u w:val="single"/>
          <w:lang w:val="bg-BG"/>
          <w14:ligatures w14:val="none"/>
        </w:rPr>
        <w:t>Актуалн</w:t>
      </w:r>
      <w:r w:rsidR="00D56A5E" w:rsidRPr="00017EA1">
        <w:rPr>
          <w:rFonts w:ascii="Helvetica" w:eastAsia="Times New Roman" w:hAnsi="Helvetica" w:cs="Helvetica"/>
          <w:color w:val="CD3333"/>
          <w:kern w:val="0"/>
          <w:sz w:val="24"/>
          <w:szCs w:val="24"/>
          <w:u w:val="single"/>
          <w:lang w:val="bg-BG"/>
          <w14:ligatures w14:val="none"/>
        </w:rPr>
        <w:t>а</w:t>
      </w:r>
      <w:r w:rsidRPr="00017EA1">
        <w:rPr>
          <w:rFonts w:ascii="Helvetica" w:eastAsia="Times New Roman" w:hAnsi="Helvetica" w:cs="Helvetica"/>
          <w:color w:val="CD3333"/>
          <w:kern w:val="0"/>
          <w:sz w:val="24"/>
          <w:szCs w:val="24"/>
          <w:u w:val="single"/>
          <w:lang w:val="bg-BG"/>
          <w14:ligatures w14:val="none"/>
        </w:rPr>
        <w:t xml:space="preserve"> информация във връзка с работната програма на </w:t>
      </w:r>
      <w:hyperlink r:id="rId7" w:anchor="1" w:history="1"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IASB (</w:t>
        </w:r>
        <w:r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8)</w:t>
        </w:r>
      </w:hyperlink>
    </w:p>
    <w:p w14:paraId="307B70D3" w14:textId="1F2E7D67" w:rsidR="005E14F6" w:rsidRPr="00017EA1" w:rsidRDefault="008B3DF6" w:rsidP="005E14F6">
      <w:pPr>
        <w:shd w:val="clear" w:color="auto" w:fill="FFFFFF"/>
        <w:spacing w:before="45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</w:pPr>
      <w:bookmarkStart w:id="0" w:name="_Hlk131049865"/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  <w:t>Изследователска работа и изготвяне и въвеждане на стандарти</w:t>
      </w:r>
      <w:bookmarkEnd w:id="0"/>
    </w:p>
    <w:p w14:paraId="0AA42BB8" w14:textId="0BC05F91" w:rsidR="005E14F6" w:rsidRPr="00017EA1" w:rsidRDefault="00000000" w:rsidP="005E14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hyperlink r:id="rId8" w:anchor="2" w:history="1"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Метод на собствения капитал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(</w:t>
        </w:r>
        <w:r w:rsidR="008B3D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13)</w:t>
        </w:r>
      </w:hyperlink>
    </w:p>
    <w:p w14:paraId="572DD5E2" w14:textId="1448F192" w:rsidR="005E14F6" w:rsidRPr="00017EA1" w:rsidRDefault="00000000" w:rsidP="005E14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hyperlink r:id="rId9" w:anchor="3" w:history="1"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Бизнес комбинации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—</w:t>
        </w:r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оповестявания, репутация и обезценка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(</w:t>
        </w:r>
        <w:r w:rsidR="008B3D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18)</w:t>
        </w:r>
      </w:hyperlink>
    </w:p>
    <w:p w14:paraId="1473271B" w14:textId="2BC1FB30" w:rsidR="005E14F6" w:rsidRPr="00017EA1" w:rsidRDefault="00000000" w:rsidP="005E14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hyperlink r:id="rId10" w:anchor="4" w:history="1"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Основни финансови отчети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(</w:t>
        </w:r>
        <w:r w:rsidR="008B3D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21)</w:t>
        </w:r>
      </w:hyperlink>
    </w:p>
    <w:p w14:paraId="20AFEEC8" w14:textId="2B04B25A" w:rsidR="005E14F6" w:rsidRPr="00017EA1" w:rsidRDefault="00000000" w:rsidP="005E14F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hyperlink r:id="rId11" w:anchor="5" w:history="1"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Инициатива за оповестяване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—</w:t>
        </w:r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дъщерни предприятия без публична отчетност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: </w:t>
        </w:r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оповестявания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(</w:t>
        </w:r>
        <w:r w:rsidR="008B3D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31)</w:t>
        </w:r>
      </w:hyperlink>
    </w:p>
    <w:p w14:paraId="18683C6F" w14:textId="1D78243A" w:rsidR="005E14F6" w:rsidRPr="00017EA1" w:rsidRDefault="008B3DF6" w:rsidP="005E14F6">
      <w:pPr>
        <w:shd w:val="clear" w:color="auto" w:fill="FFFFFF"/>
        <w:spacing w:before="450" w:after="300" w:line="240" w:lineRule="auto"/>
        <w:outlineLvl w:val="2"/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</w:pPr>
      <w:bookmarkStart w:id="1" w:name="_Hlk117663110"/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26"/>
          <w:szCs w:val="26"/>
          <w:lang w:val="bg-BG"/>
          <w14:ligatures w14:val="none"/>
        </w:rPr>
        <w:t>Поддържане и последователно прилагане</w:t>
      </w:r>
      <w:bookmarkEnd w:id="1"/>
    </w:p>
    <w:p w14:paraId="71E336A1" w14:textId="7DEABD81" w:rsidR="005E14F6" w:rsidRPr="00017EA1" w:rsidRDefault="00000000" w:rsidP="005E14F6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hyperlink r:id="rId12" w:anchor="6" w:history="1">
        <w:r w:rsidR="00D56A5E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Свързани с климата рискове във финансовите отчети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(</w:t>
        </w:r>
        <w:r w:rsidR="008B3D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Документ по програмата</w:t>
        </w:r>
        <w:r w:rsidR="005E14F6"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 xml:space="preserve"> 14)</w:t>
        </w:r>
      </w:hyperlink>
    </w:p>
    <w:p w14:paraId="34B3A331" w14:textId="46CC8528" w:rsidR="005E14F6" w:rsidRPr="00017EA1" w:rsidRDefault="00E31171" w:rsidP="005E14F6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  <w:t>Общ преглед на работната програма</w:t>
      </w:r>
    </w:p>
    <w:p w14:paraId="6A886D6F" w14:textId="15255224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Актуална информация във връзка с работната програма на 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IASB 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8)</w:t>
      </w:r>
    </w:p>
    <w:p w14:paraId="0EDB24FA" w14:textId="4CE8A97C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На 20 март 2023 г. IASB проведе заседание, за да бъде запознат с актуална информация във връзка 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hyperlink r:id="rId13" w:history="1">
        <w:r w:rsidRPr="00017EA1">
          <w:rPr>
            <w:rFonts w:ascii="Helvetica" w:eastAsia="Times New Roman" w:hAnsi="Helvetica" w:cs="Helvetica"/>
            <w:color w:val="CD3333"/>
            <w:kern w:val="0"/>
            <w:sz w:val="24"/>
            <w:szCs w:val="24"/>
            <w:u w:val="single"/>
            <w:lang w:val="bg-BG"/>
            <w14:ligatures w14:val="none"/>
          </w:rPr>
          <w:t>работната</w:t>
        </w:r>
      </w:hyperlink>
      <w:r w:rsidRPr="00017EA1">
        <w:rPr>
          <w:rFonts w:ascii="Helvetica" w:eastAsia="Times New Roman" w:hAnsi="Helvetica" w:cs="Helvetica"/>
          <w:color w:val="CD3333"/>
          <w:kern w:val="0"/>
          <w:sz w:val="24"/>
          <w:szCs w:val="24"/>
          <w:u w:val="single"/>
          <w:lang w:val="bg-BG"/>
          <w14:ligatures w14:val="none"/>
        </w:rPr>
        <w:t xml:space="preserve"> си програма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IASB не бе поискано да взема каквито и да е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82642A5" w14:textId="71816044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 етап</w:t>
      </w:r>
    </w:p>
    <w:p w14:paraId="3ED773C8" w14:textId="54899AEB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D56A5E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очаква да бъде запознат с актуална информация във връзка с работната си програма през следващите три или четири месеца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6A819034" w14:textId="4F4F1130" w:rsidR="005E14F6" w:rsidRPr="00017EA1" w:rsidRDefault="00E31171" w:rsidP="005E14F6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  <w:t>Изследователска работа и изготвяне и въвеждане на стандарти</w:t>
      </w:r>
    </w:p>
    <w:p w14:paraId="0785FED9" w14:textId="3149C9BF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Метод на собствения капитал 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13)</w:t>
      </w:r>
    </w:p>
    <w:p w14:paraId="3A8E8A26" w14:textId="67B096D8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На 21 март 2023 г. IASB проведе заседание, за да продължи обсъжданията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 свързаните с прилагането въпроси, попадащи в обхвата на проекта, посветен на метода на собствения капитал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95699F1" w14:textId="202805CE" w:rsidR="005E14F6" w:rsidRPr="00017EA1" w:rsidRDefault="00B616DA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Покупка на </w:t>
      </w:r>
      <w:bookmarkStart w:id="2" w:name="_Hlk131483613"/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допълнителен дял в асоциирано предприятие при запазване на значително влияние</w:t>
      </w:r>
      <w:bookmarkEnd w:id="2"/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13A)</w:t>
      </w:r>
    </w:p>
    <w:p w14:paraId="5A5C66A0" w14:textId="6B545013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предложи при прилагането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28 </w:t>
      </w:r>
      <w:r w:rsidR="00B616DA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Инвестиции в асоциирани и съвместни предприятия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инвеститорът, закупуващ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допълнителен дял в асоциирано предприятие при запазване на значително влияние да признава разликата между цената на придобиване на допълнителния дял и допълнителния си дял в справедливата стойност на разграничимите активи и пасиви на асоциираното предприятие или като репутация, или като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печалба от изгодна покупка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5D9EB2F" w14:textId="72A82D0D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IASB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3420227F" w14:textId="05F797AD" w:rsidR="005E14F6" w:rsidRPr="00017EA1" w:rsidRDefault="00B616DA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Усещането за конфликт между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10 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Консолидирани финансови отчети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 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и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28 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Инвестиции в асоциирани и съвместни предприятия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и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13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Б и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13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В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</w:t>
      </w:r>
    </w:p>
    <w:p w14:paraId="4FD8335C" w14:textId="6FD52202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3437265E" w14:textId="68D878F7" w:rsidR="005E14F6" w:rsidRPr="00017EA1" w:rsidRDefault="00B616DA" w:rsidP="005E14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предложи инвеститорът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при прилагането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28,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признава пълната печалба или загуба по всички сделки с асоциираното си предприятие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2C7A4BD" w14:textId="3EDA3127" w:rsidR="005E14F6" w:rsidRPr="00017EA1" w:rsidRDefault="00B616DA" w:rsidP="005E14F6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предложи подобрения на изискванията за оповестяване, когато инвеститорът признава пълната печалба или загуба по сделките с асоциираното си предприятие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007B02B" w14:textId="6469D472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bookmarkStart w:id="3" w:name="_Hlk131482514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Единадесет от тринадесетте членове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IASB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изразиха съгласие с тези решения</w:t>
      </w:r>
      <w:bookmarkEnd w:id="3"/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1FE1C5D" w14:textId="2509C353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 етап</w:t>
      </w:r>
    </w:p>
    <w:p w14:paraId="4C930536" w14:textId="22407709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ще продължи обсъжданията по свързаните с прилагането въпроси, попадащи в обхвата на проекта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3F3BBF89" w14:textId="6A0D5BBD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Бизнес комбинации—оповестявания, репутация и обезценка 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18)</w:t>
      </w:r>
    </w:p>
    <w:p w14:paraId="722FB937" w14:textId="0FD10C4F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bookmarkStart w:id="4" w:name="_Hlk131052460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На 23 март 2023 г. IASB проведе заседание, за да обсъди </w:t>
      </w:r>
      <w:bookmarkEnd w:id="4"/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проекта си, посветен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„Бизнес комбинации—оповестявания, репутация и обезценка“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По-специално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IASB </w:t>
      </w:r>
      <w:r w:rsidR="00B616D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обсъди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2BE17A01" w14:textId="0C169512" w:rsidR="005E14F6" w:rsidRPr="00017EA1" w:rsidRDefault="00B616DA" w:rsidP="005E1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някои потенциални промени в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Обезценка на активи,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 цел да намали разходите и сложността на теста за обезценка на генериращите парични потоци единици, съдържащи репутация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04123822" w14:textId="65B7FE3D" w:rsidR="005E14F6" w:rsidRPr="00017EA1" w:rsidRDefault="00B616DA" w:rsidP="005E14F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потенциалното отстраняване на някои изисквания за оповестяване 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Бизнес комбинации</w:t>
      </w:r>
      <w:r w:rsidR="005E14F6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A001391" w14:textId="042FC9E6" w:rsidR="005E14F6" w:rsidRPr="00017EA1" w:rsidRDefault="00B616DA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Приблизително оценяване на стойността в употреба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 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18A)</w:t>
      </w:r>
    </w:p>
    <w:p w14:paraId="7FFB89BF" w14:textId="473BC5AD" w:rsidR="005E14F6" w:rsidRPr="00017EA1" w:rsidRDefault="00B616DA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Във връзка 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36, 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540664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предложи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6FE0700D" w14:textId="202231E6" w:rsidR="005E14F6" w:rsidRPr="00017EA1" w:rsidRDefault="00540664" w:rsidP="005E14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отстрани ограничението на паричните потоци, използвани за приблизително оценяване на стойността в употреба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На предприятието вече няма да се забранява да включва паричните потоци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 </w:t>
      </w:r>
    </w:p>
    <w:p w14:paraId="103792BE" w14:textId="49A07DD0" w:rsidR="005E14F6" w:rsidRPr="00017EA1" w:rsidRDefault="00540664" w:rsidP="005E14F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произтичащи от бъдещо преструктуриране, с което предприятието още не се е ангажирало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или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</w:p>
    <w:p w14:paraId="3F054BC7" w14:textId="3B917F13" w:rsidR="005E14F6" w:rsidRPr="00017EA1" w:rsidRDefault="00540664" w:rsidP="005E14F6">
      <w:pPr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подобряване или повишаване качеството на функционирането на актива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938F971" w14:textId="47F25EE6" w:rsidR="005E14F6" w:rsidRPr="00017EA1" w:rsidRDefault="00540664" w:rsidP="005E14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запази изискването за оценяване на активите или единиците, генериращи парични потоци в тяхното текущо състояние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9C65053" w14:textId="2B27D4DF" w:rsidR="005E14F6" w:rsidRPr="00017EA1" w:rsidRDefault="00540664" w:rsidP="005E14F6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добавя допълнителни ограничения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на включването на </w:t>
      </w:r>
      <w:r w:rsid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такива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парични потоци отвъд тези, които вече съществуват в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36.</w:t>
      </w:r>
    </w:p>
    <w:p w14:paraId="380445B0" w14:textId="797FBB93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Единадесет от тринадесетте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16F239FF" w14:textId="2F6808DA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540664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реши също така в порядък на работна хипотеза да предложи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65A7A2EF" w14:textId="07DD1789" w:rsidR="005E14F6" w:rsidRPr="00017EA1" w:rsidRDefault="003D3F24" w:rsidP="005E1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отстрани 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изискването при приблизителното оценяване на стойността в употреба да се използват паричните потоци преди данъци и дисконтовите проценти преди данъци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;</w:t>
      </w:r>
    </w:p>
    <w:p w14:paraId="6B22869C" w14:textId="53C0B1F1" w:rsidR="005E14F6" w:rsidRPr="00017EA1" w:rsidRDefault="003D3F24" w:rsidP="005E1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изисква предприятието да използва вътрешно съгласувани предположения по отношение на паричните потоци и дисконтовите проценти, независимо от това дали стойността в употреба се оценява приблизително на база преди или след данъчно облагане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;</w:t>
      </w:r>
    </w:p>
    <w:p w14:paraId="2692FC12" w14:textId="502CB787" w:rsidR="005E14F6" w:rsidRPr="00017EA1" w:rsidRDefault="003D3F24" w:rsidP="005E1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запази изискването за оповестяване на използваните дисконтови проценти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;</w:t>
      </w:r>
    </w:p>
    <w:p w14:paraId="6FDCF981" w14:textId="5934B871" w:rsidR="005E14F6" w:rsidRPr="00017EA1" w:rsidRDefault="003D3F24" w:rsidP="005E1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отстрани изискването оповестеният дисконтов процент да бъде преди данъчно облагане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0B5CC832" w14:textId="3E9627CC" w:rsidR="005E14F6" w:rsidRPr="00017EA1" w:rsidRDefault="003D3F24" w:rsidP="005E14F6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изисква предприятието да оповестява дали при приблизителното оценяване на стойността в употреба е използван дисконтов процент преди или след данъчно облагане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178E33C" w14:textId="14A81F75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15B229B3" w14:textId="05F68928" w:rsidR="005E14F6" w:rsidRPr="00017EA1" w:rsidRDefault="00B51DA1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Други предложения за намаляване на разходите и сложността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18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</w:t>
      </w:r>
    </w:p>
    <w:p w14:paraId="6EF674A5" w14:textId="2ADE4027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7FE5C141" w14:textId="43401C24" w:rsidR="005E14F6" w:rsidRPr="00017EA1" w:rsidRDefault="00B51DA1" w:rsidP="005E14F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добавя допълнителни насоки към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относно разликата между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2C33E502" w14:textId="273F6A4E" w:rsidR="005E14F6" w:rsidRPr="00017EA1" w:rsidRDefault="00B51DA1" w:rsidP="005E14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стойността в употреба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5DE54415" w14:textId="326D3791" w:rsidR="005E14F6" w:rsidRPr="00017EA1" w:rsidRDefault="00B51DA1" w:rsidP="005E14F6">
      <w:pPr>
        <w:numPr>
          <w:ilvl w:val="1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справедливата стойност, намалена с разходите по освобождаване от актива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3F71C8F9" w14:textId="6E4E23A3" w:rsidR="005E14F6" w:rsidRPr="00017EA1" w:rsidRDefault="00B51DA1" w:rsidP="005E14F6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изисква задължително един метод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за оценяване на възстановимата стойност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B37CF27" w14:textId="07166E15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712C4B6" w14:textId="73E67918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B51DA1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реши също така в порядък на работна хипотеза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26116724" w14:textId="4027C618" w:rsidR="005E14F6" w:rsidRPr="00017EA1" w:rsidRDefault="00B51DA1" w:rsidP="005E14F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предоставя допълнителни насоки относно извършването на теста за обезценка при предприятия в сектора на финансовите услуги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04AE8EA6" w14:textId="640B4F3E" w:rsidR="005E14F6" w:rsidRPr="00017EA1" w:rsidRDefault="00B51DA1" w:rsidP="005E14F6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предоставя допълнителни насоки, които да поясняват взаимовръзката между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13 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Оценяване по справедлива стойност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или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21 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Ефекти от промените в обменните курсове</w:t>
      </w:r>
      <w:r w:rsidR="005E14F6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37A31D1E" w14:textId="28039C83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7A0E530" w14:textId="0FC2B2EB" w:rsidR="005E14F6" w:rsidRPr="00017EA1" w:rsidRDefault="00B51DA1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Заличаване на изисквания за оповестяване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 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18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В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</w:t>
      </w:r>
    </w:p>
    <w:p w14:paraId="42851B62" w14:textId="1C4D2C57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E7ACD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отстрани 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 </w:t>
      </w:r>
      <w:r w:rsidR="001E7ACD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изискванията за оповестяване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07785A3E" w14:textId="0AD3415A" w:rsidR="005E14F6" w:rsidRPr="00017EA1" w:rsidRDefault="00F55964" w:rsidP="005E14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информация относно придобитите вземания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64(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з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));</w:t>
      </w:r>
    </w:p>
    <w:p w14:paraId="2F2AB59F" w14:textId="2A671CF5" w:rsidR="005E14F6" w:rsidRPr="00017EA1" w:rsidRDefault="00F55964" w:rsidP="005E14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 равнението между началните и крайните салда на репутацията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корекциите, произтичащи от последващото признаване на отсрочени данъчни активи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67(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г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)(iii));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148657FA" w14:textId="3855E4A6" w:rsidR="005E14F6" w:rsidRPr="00017EA1" w:rsidRDefault="00F55964" w:rsidP="005E14F6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сумата и обяснение на всяка съществена печалба или загуба, призната в текущия отчетен период, която се отнася до разграничимите придобити активи или поети пасиви в бизнес комбинация, която е била осъществена в текущия или в предходен отчетен период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67(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)).</w:t>
      </w:r>
    </w:p>
    <w:p w14:paraId="00E9C2AE" w14:textId="562BD6BB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Дванадесет от тринадесетте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2DE2ACF" w14:textId="41917343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F55964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не прави промени в изискванията за оповестяване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401D1760" w14:textId="088D9E7E" w:rsidR="005E14F6" w:rsidRPr="00017EA1" w:rsidRDefault="00F55964" w:rsidP="005E14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сумата на репутацията, която се очаква да подлежи на приспадане за данъчни цели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64(k)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3);</w:t>
      </w:r>
    </w:p>
    <w:p w14:paraId="37168A7D" w14:textId="4B5C3DAA" w:rsidR="005E14F6" w:rsidRPr="00017EA1" w:rsidRDefault="00E96AF3" w:rsidP="005E14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информация относно свързаните с придобиването разходи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64(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3);</w:t>
      </w:r>
    </w:p>
    <w:p w14:paraId="76CBC003" w14:textId="799771FD" w:rsidR="005E14F6" w:rsidRPr="00017EA1" w:rsidRDefault="00E96AF3" w:rsidP="005E14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информация относно бизнес комбинациите, завършени след края на отчетния период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66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3);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019234CB" w14:textId="750C2FC3" w:rsidR="005E14F6" w:rsidRPr="00017EA1" w:rsidRDefault="00E96AF3" w:rsidP="005E14F6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във междинните финансови отчети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информация относно бизнес комбинациите 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16A(i)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34 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Междинно финансово отчитане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).</w:t>
      </w:r>
    </w:p>
    <w:p w14:paraId="61001368" w14:textId="5EA333E6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AF55772" w14:textId="31907552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Следващи етапи</w:t>
      </w:r>
    </w:p>
    <w:p w14:paraId="11288D7A" w14:textId="52130467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E96AF3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ще вземе неокончателни решения по въпроси, включително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5BC84BB9" w14:textId="26C5564E" w:rsidR="005E14F6" w:rsidRPr="00017EA1" w:rsidRDefault="00E96AF3" w:rsidP="005E14F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намаляване на разходите и сложността на теста за обезценка в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36;</w:t>
      </w:r>
    </w:p>
    <w:p w14:paraId="2E0DE035" w14:textId="77FB71B8" w:rsidR="005E14F6" w:rsidRPr="00017EA1" w:rsidRDefault="00E96AF3" w:rsidP="005E14F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подобряване ефективността на теста за обезценка на генериращи парични потоци единици, съдържащи репутация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655F2F96" w14:textId="60136CBA" w:rsidR="005E14F6" w:rsidRPr="00017EA1" w:rsidRDefault="00E96AF3" w:rsidP="005E14F6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изясняване на други аспекти на пакета с изисквания за оповестяване по отношение на бизнес комбинациите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FB181A2" w14:textId="013EA9F5" w:rsidR="005E14F6" w:rsidRPr="00017EA1" w:rsidRDefault="00E96AF3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След като IASB е взел неокончателните решения по всички аспекти на проекта, Съветът ще разгледа въпроса дали пакетът с решения изпълнява целта на този проект и дали да публикува проект за обсъждане, в който да бъдат изложени предложенията му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7C6EC29" w14:textId="17A93AD7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Основни финансови отчети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21)</w:t>
      </w:r>
    </w:p>
    <w:p w14:paraId="155E9F3D" w14:textId="502E8D28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На 21 и 22 март 2023 г. IASB проведе заседание, за да разисква повторно предложенията, съдържащи се в Проекта за обсъждане на Съвета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r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Общо представяне и оповестявания,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отнасящи се до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 </w:t>
      </w:r>
    </w:p>
    <w:p w14:paraId="6A0F9F6E" w14:textId="708A21F0" w:rsidR="005E14F6" w:rsidRPr="00017EA1" w:rsidRDefault="00B45839" w:rsidP="005E14F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оповестяване на оперативни разходи по тяхното естество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="008B3D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21A);</w:t>
      </w:r>
    </w:p>
    <w:p w14:paraId="7464289B" w14:textId="64F3E91E" w:rsidR="005E14F6" w:rsidRPr="00017EA1" w:rsidRDefault="00B45839" w:rsidP="005E14F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оценки на ръководството за резултатите от дейността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="008B3D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Документ</w:t>
      </w:r>
      <w:r w:rsidR="00B95E89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  <w:r w:rsidR="008B3D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по програмата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–21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Г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);</w:t>
      </w:r>
    </w:p>
    <w:p w14:paraId="4176C6DB" w14:textId="77E13ADE" w:rsidR="005E14F6" w:rsidRPr="00017EA1" w:rsidRDefault="00B45839" w:rsidP="005E14F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категории в отчета за печалбата или загубата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="008B3D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04B7A5D7" w14:textId="512A4311" w:rsidR="005E14F6" w:rsidRPr="00017EA1" w:rsidRDefault="00B45839" w:rsidP="005E14F6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предприятия с конкретно посочени основни бизнес дейности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="008B3D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).</w:t>
      </w:r>
    </w:p>
    <w:p w14:paraId="1461DA43" w14:textId="74F218DC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Оповестяване на оперативни разходи по тяхното естество в пояснителните приложения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21A) </w:t>
      </w:r>
    </w:p>
    <w:p w14:paraId="08FEF5D0" w14:textId="1B48713F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3828EC41" w14:textId="0B5DB471" w:rsidR="005E14F6" w:rsidRPr="00017EA1" w:rsidRDefault="002D7C0A" w:rsidP="005E14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промени специфичното изискване за оповестяване по отношение на оперативните разходи по тяхното естество, предложено в Проекта за обсъждане, така че да изисква предприятието да оповестява сумите за амортизация на материални и нематериални активи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доходи на наети лица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обезценки и намаляване стойността на материални запаси, включени във всяка функционална позиция на отделен ред в отчета за печалбата или загубата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br/>
      </w:r>
      <w:r w:rsidR="00D56A5E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14FC3C3A" w14:textId="6B5510D7" w:rsidR="005E14F6" w:rsidRPr="00017EA1" w:rsidRDefault="002D7C0A" w:rsidP="005E14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потвърди предложението в Проекта за обсъждане предприятието да оповестява информацията, описана в точка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(a)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 едно единствено пояснително приложение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br/>
      </w:r>
      <w:bookmarkStart w:id="5" w:name="_Hlk131482372"/>
      <w:r w:rsidR="00D56A5E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bookmarkEnd w:id="5"/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B9F42E8" w14:textId="7776B0BD" w:rsidR="005E14F6" w:rsidRPr="00017EA1" w:rsidRDefault="002D7C0A" w:rsidP="005E14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предостави насоки за прилагане, които да пояснят, че не се изисква сумите, описани в точка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(a)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бъдат суми на разходи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br/>
      </w:r>
      <w:r w:rsidR="00D56A5E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17D67CD9" w14:textId="0C88B4AE" w:rsidR="005E14F6" w:rsidRPr="00017EA1" w:rsidRDefault="002D7C0A" w:rsidP="005E14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изисква предприятието да предоставя качествено обяснение, в случай че част от оповестената сума е включена в балансовата стойност на активи. Обяснението ще включва идентифициране в кои активи са били включени съответните суми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br/>
      </w:r>
      <w:r w:rsidR="00D56A5E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1A805E03" w14:textId="4394DF61" w:rsidR="005E14F6" w:rsidRPr="00017EA1" w:rsidRDefault="002D7C0A" w:rsidP="005E14F6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разшири обхвата на предложеното изключение от общото изискване за дезагрегиране на съществените суми, за което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8D0C0F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взе решение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през януари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2023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г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Като резултат предприятието ще бъде освободено от оповестяване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49A35003" w14:textId="0A6A7EB5" w:rsidR="005E14F6" w:rsidRPr="00017EA1" w:rsidRDefault="002D7C0A" w:rsidP="005E14F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 отношение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функционални позиции на отделен ред в отчета за печалбата или загубата -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сумите на разходите по тяхното естество, включени в съответната позиция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извън тези, които се изискват изрично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19416267" w14:textId="41A7C9B0" w:rsidR="005E14F6" w:rsidRPr="00017EA1" w:rsidRDefault="002D7C0A" w:rsidP="005E14F6">
      <w:pPr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 xml:space="preserve">по отношение на разходи по тяхното естество, които се изисква да бъдат оповестявани от счетоводен МСФО стандарт – сумите, </w:t>
      </w:r>
      <w:r w:rsidR="0019627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включени във всяка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9627A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функционална позиция на отделен ред в отчета за печалбата или загубата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C68BEB0" w14:textId="66A35432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bookmarkStart w:id="6" w:name="_Hlk131482584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Дванадесет от тринадесетте членове на IASB изразиха съгласие с това решение</w:t>
      </w:r>
      <w:bookmarkEnd w:id="6"/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9686BC2" w14:textId="2C3BFE66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Оценки на ръководството за резултатите от дейността 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—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оборима </w:t>
      </w:r>
      <w:r w:rsidR="0019627A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презумпция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 </w:t>
      </w:r>
    </w:p>
    <w:p w14:paraId="15FADB34" w14:textId="5C89CCE3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A415F1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преди това бе решил в порядък на работна хипотеза да въведе оборима презумпция, че междинен сбор на приходи и разходи, включен в публична комуникация на предприятието извън финансовия отчет представлява виждане на ръководството за даден аспект от финансовите резултат от дейността на предприятието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IASB </w:t>
      </w:r>
      <w:r w:rsidR="00A415F1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преди това бе решил също така в порядък на работна хипотеза да добави насоки за приложение относно това от каква разумна и обоснована информация предприятието би се нуждало, за да обори тази презумпция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3B818AE" w14:textId="0EA42AAF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A415F1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разработи допълнително насоките за прилагане, за да поясни, че разумната и обоснована информация за оборване на презумпцията би включвала комуникиране или използване от страна на ръководството на междинен сбор по начин, който да е в съответствие с твърдението, че междинният сбор не комуникира виждането на ръководството. IASB реши също така в порядък на работна хипотеза да включи някои примери за такива случаи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897AD4A" w14:textId="545C3186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DDFE72B" w14:textId="21172F34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Оценки на ръководството за резултатите от дейността 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—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взаимовръзка с изискванията в други счетоводни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стандарти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В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 </w:t>
      </w:r>
    </w:p>
    <w:p w14:paraId="21B43D0E" w14:textId="460BA59F" w:rsidR="005E14F6" w:rsidRPr="00017EA1" w:rsidRDefault="00A415F1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Във връзка 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8 </w:t>
      </w:r>
      <w:r w:rsidR="007D4E9E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Счетоводна политика</w:t>
      </w:r>
      <w:r w:rsidR="005E14F6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="007D4E9E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промени в счетоводните приблизителни оценки и грешки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1A971329" w14:textId="5BF0743B" w:rsidR="005E14F6" w:rsidRPr="00017EA1" w:rsidRDefault="0088707D" w:rsidP="005E14F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потвърди предложението, че ако предприятието промени изчисляването на оценките на ръководството за резултатите от дейността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въвежда нова оценка на ръководството за резултатите от дейността или отстранява преди това оповестена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оценка на ръководството за резултатите от дейността от финансовия си отчет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предприятието ще се изисква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30C6D3E7" w14:textId="6E61F3F3" w:rsidR="005E14F6" w:rsidRPr="00017EA1" w:rsidRDefault="0088707D" w:rsidP="005E14F6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оповести достатъчно обяснение, така че потребителите на финансовите отчети да разберат промяната, добавянето или отстраняването и съответния ефект от това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56BC0DBF" w14:textId="7E6ECA43" w:rsidR="005E14F6" w:rsidRPr="00017EA1" w:rsidRDefault="0088707D" w:rsidP="005E14F6">
      <w:pPr>
        <w:numPr>
          <w:ilvl w:val="1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оповести причините за промяната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добавянето или отстраняването 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вж. параграфи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108(a)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108(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б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).</w:t>
      </w:r>
    </w:p>
    <w:p w14:paraId="07684782" w14:textId="52EE725E" w:rsidR="005E14F6" w:rsidRPr="00017EA1" w:rsidRDefault="00772BB3" w:rsidP="005E14F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да измени предложеното изискване за оповестяване в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108(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обсъждане, така че да посочи, че не е нужно предприятието да предоставя сравнителна информация когато предприятието променя оценка на ръководството за резултатите от дейността или въвежда нова оценка, ако това е практически неосъществимо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68C0803" w14:textId="63000EA4" w:rsidR="005E14F6" w:rsidRPr="00017EA1" w:rsidRDefault="00772BB3" w:rsidP="005E14F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добави изискване, че ако предприятието не предоставя сравнителна информация относно нова или променена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оценка на ръководството за резултатите от дейността,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тъй като това е практически неосъществимо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предприятието да трябва да оповестява този факт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51C475D" w14:textId="31E7DA77" w:rsidR="005E14F6" w:rsidRPr="00017EA1" w:rsidRDefault="00772BB3" w:rsidP="005E14F6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поясни, че изборът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оценка на ръководството за резултатите от дейността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включително как тази оценка се изчислява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не е счетоводна политика съгласно дефиницията в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8.</w:t>
      </w:r>
    </w:p>
    <w:p w14:paraId="28EA8052" w14:textId="3E99A98F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bookmarkStart w:id="7" w:name="_Hlk131482440"/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bookmarkEnd w:id="7"/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474992D8" w14:textId="04E618CF" w:rsidR="005E14F6" w:rsidRPr="00017EA1" w:rsidRDefault="00772BB3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Във връзка 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34 </w:t>
      </w:r>
      <w:r w:rsidR="007D4E9E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Междинно финансово отчитане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, </w:t>
      </w:r>
      <w:r w:rsidR="004A02AF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6C934620" w14:textId="71CFC934" w:rsidR="005E14F6" w:rsidRPr="00017EA1" w:rsidRDefault="00772BB3" w:rsidP="005E1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потвърди предложението да измени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34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, така че да изисква оповестяването в междинните финансови отчети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оценките на ръководството за резултатите от дейността</w:t>
      </w:r>
      <w:r w:rsidR="006735F2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, изложени в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106 </w:t>
      </w:r>
      <w:r w:rsidR="006735F2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68F63BC6" w14:textId="3D48926D" w:rsidR="005E14F6" w:rsidRPr="00017EA1" w:rsidRDefault="006735F2" w:rsidP="005E14F6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разшири предложеното изменение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34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, така че да включи изискванията, които са приложими по отношение промените в оценките на ръководството за резултатите от дейността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вж.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108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 списъка с „други оповестявания“, изисквани от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16A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EA175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МСС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34.</w:t>
      </w:r>
    </w:p>
    <w:p w14:paraId="49600866" w14:textId="48655CC7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42F195C" w14:textId="5161BB23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Оценки на ръководството за резултатите от дейността </w:t>
      </w:r>
      <w:r w:rsidR="005E14F6"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—</w:t>
      </w: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оповестяване на данъци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Г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 </w:t>
      </w:r>
    </w:p>
    <w:p w14:paraId="1DEC8BE8" w14:textId="5680E9C7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6D1FE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продължи обсъждане, започнато на заседанието през май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2022 </w:t>
      </w:r>
      <w:r w:rsidR="006D1FE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г.</w:t>
      </w:r>
      <w:r w:rsidR="008D0C0F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,</w:t>
      </w:r>
      <w:r w:rsidR="006D1FE5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във връзка с изискването за оповестяване на данъчния ефект от равняването на позиции и реши в порядък на работна хипотеза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16C00093" w14:textId="1580E84C" w:rsidR="005E14F6" w:rsidRPr="00017EA1" w:rsidRDefault="006D1FE5" w:rsidP="005E14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запази възможността за изчисляване на данъчния ефект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равняваните позиции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по задължителната данъчна ставка или ставки, приложими спрямо стоящата в основата сделка или сделки в съответната юрисдикция или юрисдикции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5EE2D135" w14:textId="1A0646F4" w:rsidR="005E14F6" w:rsidRPr="00017EA1" w:rsidRDefault="006D1FE5" w:rsidP="005E14F6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замени алтернативната възможност от добавянето на разпределение на други ефекти при данъците върху дохода към данъчните ефекти, описани в точка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(a),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 възможностите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3E80B4DF" w14:textId="22BC5F26" w:rsidR="005E14F6" w:rsidRPr="00017EA1" w:rsidRDefault="006D1FE5" w:rsidP="005E14F6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за изчисляване на данъчните ефекти от равняваните позиции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на базата на разумно пропорционално разпределение на текущите и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>отсрочените данъци на предприятието в съответната данъчна юрисдикция или юрисдикции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или</w:t>
      </w:r>
    </w:p>
    <w:p w14:paraId="6AA7A7F3" w14:textId="383AFB39" w:rsidR="005E14F6" w:rsidRPr="00017EA1" w:rsidRDefault="006D1FE5" w:rsidP="005E14F6">
      <w:pPr>
        <w:numPr>
          <w:ilvl w:val="1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за изчисляване на данъчните ефекти от равняваните позиции по друг метод, който постига по-подходящо разпределение при конкретните обстоятелства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3CE3066B" w14:textId="288B950A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6C7A1B59" w14:textId="69D20288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Проблемни въпроси, свързани с категориите в отчета за печалбата или загубата 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</w:t>
      </w:r>
    </w:p>
    <w:p w14:paraId="2378156D" w14:textId="5968CEE8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50DAC63F" w14:textId="40BA6FF8" w:rsidR="005E14F6" w:rsidRPr="00017EA1" w:rsidRDefault="00E950E2" w:rsidP="005E14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да изисква предприятието да използва преценката си при определяне в коя категория от отчета за печалбата или загубата да класифицира валутни курсови разлики по пасив, </w:t>
      </w:r>
      <w:r w:rsidR="008D0C0F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който произтича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от сделка, включваща оперативна дейност в допълнение към набирането на финанси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.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3F43BF2" w14:textId="598FFF00" w:rsidR="005E14F6" w:rsidRPr="00017EA1" w:rsidRDefault="00E950E2" w:rsidP="005E14F6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изисква предприятието да класифицира във финансовата категория от отчета за печалбата или загубата всички приходи и разходи, произтичащи след първоначално признаване от хибридни договори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7BACA3AE" w14:textId="13D26A63" w:rsidR="005E14F6" w:rsidRPr="00017EA1" w:rsidRDefault="00E950E2" w:rsidP="005E14F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 основни пасиви, произтичащи от сделки, които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не включват само набиране на финанси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2910324A" w14:textId="45EBF9B3" w:rsidR="005E14F6" w:rsidRPr="00017EA1" w:rsidRDefault="006C020C" w:rsidP="005E14F6">
      <w:pPr>
        <w:numPr>
          <w:ilvl w:val="1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които са оценени по амортизирана стойност в тяхната цялост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6D65FFE5" w14:textId="53A23C85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Дванадесет от тринадесетте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D16EB2D" w14:textId="27D923A0" w:rsidR="005E14F6" w:rsidRPr="00017EA1" w:rsidRDefault="007D4E9E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4"/>
          <w:szCs w:val="24"/>
          <w:lang w:val="bg-BG"/>
          <w14:ligatures w14:val="none"/>
        </w:rPr>
        <w:t>Проблемни въпроси, свързани с предложенията по отношение на предприятията с конкретно посочени основни бизнес дейности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 (</w:t>
      </w:r>
      <w:r w:rsidR="008B3D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 xml:space="preserve"> 21</w:t>
      </w:r>
      <w:r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Е</w:t>
      </w:r>
      <w:r w:rsidR="005E14F6" w:rsidRPr="00017EA1">
        <w:rPr>
          <w:rFonts w:ascii="Helvetica" w:eastAsia="Times New Roman" w:hAnsi="Helvetica" w:cs="Helvetica"/>
          <w:b/>
          <w:bCs/>
          <w:color w:val="575757"/>
          <w:kern w:val="0"/>
          <w:sz w:val="24"/>
          <w:szCs w:val="24"/>
          <w:lang w:val="bg-BG"/>
          <w14:ligatures w14:val="none"/>
        </w:rPr>
        <w:t>)</w:t>
      </w:r>
    </w:p>
    <w:p w14:paraId="73490844" w14:textId="54DDBC27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IASB реши в порядък на работна хипотеза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:</w:t>
      </w:r>
    </w:p>
    <w:p w14:paraId="53CF20B2" w14:textId="4E615C95" w:rsidR="005E14F6" w:rsidRPr="00017EA1" w:rsidRDefault="002E0652" w:rsidP="005E1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потвърди избора на счетоводна политика, предложен в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51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 за класифицирането на приходи и разходи, произтичащи от парични средства и парични еквиваленти за предприятия, които предоставят финансиране на клиенти като основна бизнес дейност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;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</w:p>
    <w:p w14:paraId="4C264094" w14:textId="03EB7848" w:rsidR="005E14F6" w:rsidRPr="00017EA1" w:rsidRDefault="002E0652" w:rsidP="005E14F6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да поясни, че изискването в параграф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52(a)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Проекта за обсъждане, приложимо по отношение на предприятие, което инвестира във финансови активи като основна бизнес дейност, ще бъде приложимо, независимо от това дали предприятието има и друга конкретно посочена основна бизнес дейност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2884787" w14:textId="26F4F4C1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тези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12CF71B" w14:textId="76A9522E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 етап</w:t>
      </w:r>
    </w:p>
    <w:p w14:paraId="6510CAC1" w14:textId="0AF3C968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lastRenderedPageBreak/>
        <w:t xml:space="preserve">IASB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ще продължи разискванията във връзка с предложенията по проекта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 </w:t>
      </w:r>
    </w:p>
    <w:p w14:paraId="503F495F" w14:textId="6DE4BBDC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Инициатива за оповестяване—</w:t>
      </w:r>
      <w:bookmarkStart w:id="8" w:name="_Hlk131482734"/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дъщерни предприятия без публична отчетност: оповестявания</w:t>
      </w:r>
      <w:bookmarkEnd w:id="8"/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31)</w:t>
      </w:r>
    </w:p>
    <w:p w14:paraId="26EE93A3" w14:textId="0495B143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На 20 март 2023 г. IASB проведе заседание, за да изясни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взаимовръзката между Проекта за обсъждане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bookmarkStart w:id="9" w:name="_Hlk131482863"/>
      <w:r w:rsidR="001849A8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Дъщерни предприятия без публична отчетност: оповестявания</w:t>
      </w:r>
      <w:bookmarkEnd w:id="9"/>
      <w:r w:rsidR="001849A8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bookmarkStart w:id="10" w:name="_Hlk131482892"/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счетоводния стандарт </w:t>
      </w:r>
      <w:r w:rsidR="00EA1755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МСФО</w:t>
      </w:r>
      <w:r w:rsidR="005E14F6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849A8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за МСП</w:t>
      </w:r>
      <w:bookmarkEnd w:id="10"/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29A28AB0" w14:textId="4FB9605D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реши, че при разработването на ограничени изисквания за оповестяване Съветът ще оцени отделно разходите и ползите за дъщерни предприятия, прилагащи счетоводния МСФО стандарт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 </w:t>
      </w:r>
      <w:r w:rsidR="001849A8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 xml:space="preserve">Дъщерни предприятия без публична отчетност: оповестявания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и разходите и ползите за МСП, прилагащи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счетоводния стандарт </w:t>
      </w:r>
      <w:r w:rsidR="001849A8" w:rsidRPr="00017EA1">
        <w:rPr>
          <w:rFonts w:ascii="Helvetica" w:eastAsia="Times New Roman" w:hAnsi="Helvetica" w:cs="Helvetica"/>
          <w:i/>
          <w:iCs/>
          <w:color w:val="575757"/>
          <w:kern w:val="0"/>
          <w:sz w:val="24"/>
          <w:szCs w:val="24"/>
          <w:lang w:val="bg-BG"/>
          <w14:ligatures w14:val="none"/>
        </w:rPr>
        <w:t>МСФО за МСП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BAF5DCC" w14:textId="0B4A9958" w:rsidR="005E14F6" w:rsidRPr="00017EA1" w:rsidRDefault="001849A8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Всичките тринадесет членове на IASB изразиха съгласие с това решение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 </w:t>
      </w:r>
    </w:p>
    <w:p w14:paraId="71AE4F78" w14:textId="0806A007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 етап</w:t>
      </w:r>
    </w:p>
    <w:p w14:paraId="472BB22B" w14:textId="14463717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ще продължи обсъжданията по обратната информация в отговор на Проекта за обсъждане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725EF3F5" w14:textId="0CFC0D31" w:rsidR="005E14F6" w:rsidRPr="00017EA1" w:rsidRDefault="00E31171" w:rsidP="005E14F6">
      <w:pPr>
        <w:shd w:val="clear" w:color="auto" w:fill="FFFFFF"/>
        <w:spacing w:before="450" w:after="300" w:line="240" w:lineRule="auto"/>
        <w:outlineLvl w:val="1"/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333333"/>
          <w:kern w:val="0"/>
          <w:sz w:val="34"/>
          <w:szCs w:val="34"/>
          <w:lang w:val="bg-BG"/>
          <w14:ligatures w14:val="none"/>
        </w:rPr>
        <w:t>Поддържане и последователно прилагане</w:t>
      </w:r>
    </w:p>
    <w:p w14:paraId="3FC20420" w14:textId="4193767D" w:rsidR="005E14F6" w:rsidRPr="00017EA1" w:rsidRDefault="00D56A5E" w:rsidP="005E14F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Свързани с климата рискове във финансовите отчети 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(</w:t>
      </w:r>
      <w:r w:rsidR="008B3D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>Документ по програмата</w:t>
      </w:r>
      <w:r w:rsidR="005E14F6" w:rsidRPr="00017EA1">
        <w:rPr>
          <w:rFonts w:ascii="Helvetica" w:eastAsia="Times New Roman" w:hAnsi="Helvetica" w:cs="Helvetica"/>
          <w:b/>
          <w:bCs/>
          <w:color w:val="CD3333"/>
          <w:kern w:val="0"/>
          <w:sz w:val="26"/>
          <w:szCs w:val="26"/>
          <w:lang w:val="bg-BG"/>
          <w14:ligatures w14:val="none"/>
        </w:rPr>
        <w:t xml:space="preserve"> 14)</w:t>
      </w:r>
    </w:p>
    <w:p w14:paraId="11251EDD" w14:textId="6EDC5DD1" w:rsidR="005E14F6" w:rsidRPr="00017EA1" w:rsidRDefault="002665AB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На 20 март 2023 г. </w:t>
      </w:r>
      <w:r w:rsidR="00A36269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Съветът по международни счетоводни стандарти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проведе заседание, за да пристъпи към проекта си за поддържане с тесен обхват, посветен на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 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„Свързани с климата рискове във финансовите отчети“ и да обсъди първоначалната работа, която предстои да извърши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81DB297" w14:textId="4E04F7C9" w:rsidR="005E14F6" w:rsidRPr="00017EA1" w:rsidRDefault="004A02AF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От IASB не бе поискано да взема каквито и да е решения</w:t>
      </w:r>
      <w:r w:rsidR="005E14F6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06592E70" w14:textId="0D979232" w:rsidR="005E14F6" w:rsidRPr="00017EA1" w:rsidRDefault="00E31171" w:rsidP="005E14F6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b/>
          <w:bCs/>
          <w:i/>
          <w:iCs/>
          <w:color w:val="575757"/>
          <w:kern w:val="0"/>
          <w:sz w:val="26"/>
          <w:szCs w:val="26"/>
          <w:lang w:val="bg-BG"/>
          <w14:ligatures w14:val="none"/>
        </w:rPr>
        <w:t>Следващ етап</w:t>
      </w:r>
    </w:p>
    <w:p w14:paraId="26574187" w14:textId="142FB284" w:rsidR="005E14F6" w:rsidRPr="00017EA1" w:rsidRDefault="005E14F6" w:rsidP="005E14F6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</w:pP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 xml:space="preserve">IASB </w:t>
      </w:r>
      <w:r w:rsidR="001849A8"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ще обсъди обратната информация от консултативните си дейности, възможните начини на действие и неокончателен план на проекта</w:t>
      </w:r>
      <w:r w:rsidRPr="00017EA1">
        <w:rPr>
          <w:rFonts w:ascii="Helvetica" w:eastAsia="Times New Roman" w:hAnsi="Helvetica" w:cs="Helvetica"/>
          <w:color w:val="575757"/>
          <w:kern w:val="0"/>
          <w:sz w:val="24"/>
          <w:szCs w:val="24"/>
          <w:lang w:val="bg-BG"/>
          <w14:ligatures w14:val="none"/>
        </w:rPr>
        <w:t>.</w:t>
      </w:r>
    </w:p>
    <w:p w14:paraId="55F2C16C" w14:textId="77777777" w:rsidR="007F2489" w:rsidRPr="00017EA1" w:rsidRDefault="007F2489">
      <w:pPr>
        <w:rPr>
          <w:lang w:val="bg-BG"/>
        </w:rPr>
      </w:pPr>
    </w:p>
    <w:sectPr w:rsidR="007F2489" w:rsidRPr="00017EA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4F8D"/>
    <w:multiLevelType w:val="multilevel"/>
    <w:tmpl w:val="4780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675D96"/>
    <w:multiLevelType w:val="multilevel"/>
    <w:tmpl w:val="048CAE78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35367B"/>
    <w:multiLevelType w:val="multilevel"/>
    <w:tmpl w:val="5B38067A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C4AAF"/>
    <w:multiLevelType w:val="multilevel"/>
    <w:tmpl w:val="56F20B7A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EB5396"/>
    <w:multiLevelType w:val="multilevel"/>
    <w:tmpl w:val="B50E8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70957"/>
    <w:multiLevelType w:val="multilevel"/>
    <w:tmpl w:val="8DDCB440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9C5305"/>
    <w:multiLevelType w:val="multilevel"/>
    <w:tmpl w:val="3B5A70A6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5B2E7B"/>
    <w:multiLevelType w:val="multilevel"/>
    <w:tmpl w:val="D0FA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8F1CF5"/>
    <w:multiLevelType w:val="multilevel"/>
    <w:tmpl w:val="950A28B6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B5253A"/>
    <w:multiLevelType w:val="multilevel"/>
    <w:tmpl w:val="C9D80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2D2422"/>
    <w:multiLevelType w:val="multilevel"/>
    <w:tmpl w:val="EBBE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055CB8"/>
    <w:multiLevelType w:val="multilevel"/>
    <w:tmpl w:val="A95CD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E81823"/>
    <w:multiLevelType w:val="multilevel"/>
    <w:tmpl w:val="A7AAA1F4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1D51B54"/>
    <w:multiLevelType w:val="multilevel"/>
    <w:tmpl w:val="460A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727640"/>
    <w:multiLevelType w:val="multilevel"/>
    <w:tmpl w:val="7A742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BE5B07"/>
    <w:multiLevelType w:val="multilevel"/>
    <w:tmpl w:val="B85ADF78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2603CBE"/>
    <w:multiLevelType w:val="multilevel"/>
    <w:tmpl w:val="3B242A2A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0148B4"/>
    <w:multiLevelType w:val="multilevel"/>
    <w:tmpl w:val="9C584D76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9D5B68"/>
    <w:multiLevelType w:val="multilevel"/>
    <w:tmpl w:val="25FE0744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A67D49"/>
    <w:multiLevelType w:val="multilevel"/>
    <w:tmpl w:val="E8B4C68E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9E65D2"/>
    <w:multiLevelType w:val="multilevel"/>
    <w:tmpl w:val="C016ADC8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610955"/>
    <w:multiLevelType w:val="multilevel"/>
    <w:tmpl w:val="C2223F94"/>
    <w:lvl w:ilvl="0">
      <w:start w:val="1"/>
      <mc:AlternateContent>
        <mc:Choice Requires="w14">
          <w:numFmt w:val="custom" w:format="а, й, к, ..."/>
        </mc:Choice>
        <mc:Fallback>
          <w:numFmt w:val="decimal"/>
        </mc:Fallback>
      </mc:AlternateContent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818963">
    <w:abstractNumId w:val="11"/>
  </w:num>
  <w:num w:numId="2" w16cid:durableId="1850364232">
    <w:abstractNumId w:val="13"/>
  </w:num>
  <w:num w:numId="3" w16cid:durableId="339967331">
    <w:abstractNumId w:val="4"/>
  </w:num>
  <w:num w:numId="4" w16cid:durableId="1208492139">
    <w:abstractNumId w:val="7"/>
  </w:num>
  <w:num w:numId="5" w16cid:durableId="576744330">
    <w:abstractNumId w:val="2"/>
  </w:num>
  <w:num w:numId="6" w16cid:durableId="305547575">
    <w:abstractNumId w:val="0"/>
  </w:num>
  <w:num w:numId="7" w16cid:durableId="1706983132">
    <w:abstractNumId w:val="8"/>
  </w:num>
  <w:num w:numId="8" w16cid:durableId="1300842077">
    <w:abstractNumId w:val="15"/>
  </w:num>
  <w:num w:numId="9" w16cid:durableId="1771588200">
    <w:abstractNumId w:val="5"/>
  </w:num>
  <w:num w:numId="10" w16cid:durableId="1504126760">
    <w:abstractNumId w:val="19"/>
  </w:num>
  <w:num w:numId="11" w16cid:durableId="508638307">
    <w:abstractNumId w:val="17"/>
  </w:num>
  <w:num w:numId="12" w16cid:durableId="1958173764">
    <w:abstractNumId w:val="21"/>
  </w:num>
  <w:num w:numId="13" w16cid:durableId="904532999">
    <w:abstractNumId w:val="6"/>
  </w:num>
  <w:num w:numId="14" w16cid:durableId="1699624303">
    <w:abstractNumId w:val="10"/>
  </w:num>
  <w:num w:numId="15" w16cid:durableId="1851791570">
    <w:abstractNumId w:val="1"/>
  </w:num>
  <w:num w:numId="16" w16cid:durableId="178206004">
    <w:abstractNumId w:val="20"/>
  </w:num>
  <w:num w:numId="17" w16cid:durableId="882598812">
    <w:abstractNumId w:val="16"/>
  </w:num>
  <w:num w:numId="18" w16cid:durableId="1400715707">
    <w:abstractNumId w:val="3"/>
  </w:num>
  <w:num w:numId="19" w16cid:durableId="216017710">
    <w:abstractNumId w:val="18"/>
  </w:num>
  <w:num w:numId="20" w16cid:durableId="1643072176">
    <w:abstractNumId w:val="12"/>
  </w:num>
  <w:num w:numId="21" w16cid:durableId="1764641308">
    <w:abstractNumId w:val="14"/>
  </w:num>
  <w:num w:numId="22" w16cid:durableId="113825938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4F6"/>
    <w:rsid w:val="00017EA1"/>
    <w:rsid w:val="001849A8"/>
    <w:rsid w:val="0019627A"/>
    <w:rsid w:val="001E7ACD"/>
    <w:rsid w:val="002665AB"/>
    <w:rsid w:val="002D7C0A"/>
    <w:rsid w:val="002E0652"/>
    <w:rsid w:val="003B466F"/>
    <w:rsid w:val="003D3F24"/>
    <w:rsid w:val="004A02AF"/>
    <w:rsid w:val="00540664"/>
    <w:rsid w:val="005E14F6"/>
    <w:rsid w:val="006735F2"/>
    <w:rsid w:val="006C020C"/>
    <w:rsid w:val="006D1FE5"/>
    <w:rsid w:val="00772BB3"/>
    <w:rsid w:val="007D4E9E"/>
    <w:rsid w:val="007F2489"/>
    <w:rsid w:val="00866A27"/>
    <w:rsid w:val="0088707D"/>
    <w:rsid w:val="008B3DF6"/>
    <w:rsid w:val="008D0C0F"/>
    <w:rsid w:val="00A36269"/>
    <w:rsid w:val="00A415F1"/>
    <w:rsid w:val="00B1182A"/>
    <w:rsid w:val="00B45839"/>
    <w:rsid w:val="00B51DA1"/>
    <w:rsid w:val="00B616DA"/>
    <w:rsid w:val="00B95E89"/>
    <w:rsid w:val="00CB7C7A"/>
    <w:rsid w:val="00D56A5E"/>
    <w:rsid w:val="00E31171"/>
    <w:rsid w:val="00E950E2"/>
    <w:rsid w:val="00E96AF3"/>
    <w:rsid w:val="00EA1755"/>
    <w:rsid w:val="00F55964"/>
    <w:rsid w:val="00F83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85D9D"/>
  <w15:chartTrackingRefBased/>
  <w15:docId w15:val="{67BBE9BF-A139-404D-99D5-79FDB5B8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B3DF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B3D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2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8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3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45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548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125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31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06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24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20040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04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613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293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18" w:space="0" w:color="C6C6C6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07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5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482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9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182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3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93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4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0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75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53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296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6496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034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423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263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3117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22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56712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469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8903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frs.org/news-and-events/updates/iasb/2023/iasb-update-march-2023/" TargetMode="External"/><Relationship Id="rId13" Type="http://schemas.openxmlformats.org/officeDocument/2006/relationships/hyperlink" Target="https://www.ifrs.org/content/ifrs/home/projects/work-pla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frs.org/news-and-events/updates/iasb/2023/iasb-update-march-2023/" TargetMode="External"/><Relationship Id="rId12" Type="http://schemas.openxmlformats.org/officeDocument/2006/relationships/hyperlink" Target="https://www.ifrs.org/news-and-events/updates/iasb/2023/iasb-update-march-202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rs.org/content/ifrs/home/news-and-events/calendar/2023/march/international-accounting-standards-board.html" TargetMode="External"/><Relationship Id="rId11" Type="http://schemas.openxmlformats.org/officeDocument/2006/relationships/hyperlink" Target="https://www.ifrs.org/news-and-events/updates/iasb/2023/iasb-update-march-2023/" TargetMode="External"/><Relationship Id="rId5" Type="http://schemas.openxmlformats.org/officeDocument/2006/relationships/hyperlink" Target="https://www.ifrs.org/content/ifrs/home/projects/work-plan.htm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ifrs.org/news-and-events/updates/iasb/2023/iasb-update-march-202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frs.org/news-and-events/updates/iasb/2023/iasb-update-march-2023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10</Pages>
  <Words>2760</Words>
  <Characters>16280</Characters>
  <Application>Microsoft Office Word</Application>
  <DocSecurity>0</DocSecurity>
  <Lines>342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Svetoslava Velinova</dc:creator>
  <cp:keywords/>
  <dc:description/>
  <cp:lastModifiedBy>User</cp:lastModifiedBy>
  <cp:revision>8</cp:revision>
  <dcterms:created xsi:type="dcterms:W3CDTF">2023-04-04T05:38:00Z</dcterms:created>
  <dcterms:modified xsi:type="dcterms:W3CDTF">2023-04-05T03:49:00Z</dcterms:modified>
</cp:coreProperties>
</file>