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36C3F" w14:textId="77777777"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p>
    <w:p w14:paraId="6EF1F97A" w14:textId="568F0C8E" w:rsidR="00780FA7" w:rsidRPr="005A56A5" w:rsidRDefault="00D56402" w:rsidP="00780FA7">
      <w:pPr>
        <w:shd w:val="clear" w:color="auto" w:fill="A41F35"/>
        <w:spacing w:before="465" w:after="100" w:afterAutospacing="1" w:line="240" w:lineRule="auto"/>
        <w:outlineLvl w:val="0"/>
        <w:rPr>
          <w:rFonts w:ascii="Helvetica" w:eastAsia="Times New Roman" w:hAnsi="Helvetica" w:cs="Helvetica"/>
          <w:b/>
          <w:bCs/>
          <w:color w:val="FFFFFF"/>
          <w:kern w:val="36"/>
          <w:sz w:val="48"/>
          <w:szCs w:val="48"/>
          <w:lang w:val="bg-BG"/>
          <w14:ligatures w14:val="none"/>
        </w:rPr>
      </w:pPr>
      <w:r w:rsidRPr="005A56A5">
        <w:rPr>
          <w:rFonts w:ascii="Helvetica" w:eastAsia="Times New Roman" w:hAnsi="Helvetica" w:cs="Helvetica"/>
          <w:b/>
          <w:bCs/>
          <w:color w:val="FFFFFF"/>
          <w:kern w:val="36"/>
          <w:sz w:val="48"/>
          <w:szCs w:val="48"/>
          <w:lang w:val="bg-BG"/>
          <w14:ligatures w14:val="none"/>
        </w:rPr>
        <w:t xml:space="preserve">Информационен бюлетин на Съвета по международни счетоводни стандарти (IASB) </w:t>
      </w:r>
      <w:r w:rsidR="00B53AF7" w:rsidRPr="005A56A5">
        <w:rPr>
          <w:rFonts w:ascii="Helvetica" w:eastAsia="Times New Roman" w:hAnsi="Helvetica" w:cs="Helvetica"/>
          <w:b/>
          <w:bCs/>
          <w:color w:val="FFFFFF"/>
          <w:kern w:val="36"/>
          <w:sz w:val="48"/>
          <w:szCs w:val="48"/>
          <w:lang w:val="bg-BG"/>
          <w14:ligatures w14:val="none"/>
        </w:rPr>
        <w:t>-</w:t>
      </w:r>
      <w:r w:rsidRPr="005A56A5">
        <w:rPr>
          <w:rFonts w:ascii="Helvetica" w:eastAsia="Times New Roman" w:hAnsi="Helvetica" w:cs="Helvetica"/>
          <w:b/>
          <w:bCs/>
          <w:color w:val="FFFFFF"/>
          <w:kern w:val="36"/>
          <w:sz w:val="48"/>
          <w:szCs w:val="48"/>
          <w:lang w:val="bg-BG"/>
          <w14:ligatures w14:val="none"/>
        </w:rPr>
        <w:t xml:space="preserve"> февруари 2023 г.</w:t>
      </w:r>
    </w:p>
    <w:p w14:paraId="3AB07317" w14:textId="77777777"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p>
    <w:p w14:paraId="7E779C56" w14:textId="77777777"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p>
    <w:p w14:paraId="65B96485" w14:textId="631E72C8" w:rsidR="00780FA7" w:rsidRPr="005A56A5" w:rsidRDefault="00D56402"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Настоящият бюлетин на Съвета по международни счетоводни стандарти (IASB) представя предварителните решения на Съвета. Проектите, засегнати от тези решения могат да бъдат намерени в </w:t>
      </w:r>
      <w:hyperlink r:id="rId5" w:history="1">
        <w:r w:rsidRPr="005A56A5">
          <w:rPr>
            <w:rStyle w:val="Hyperlink"/>
            <w:rFonts w:ascii="Helvetica" w:eastAsia="Times New Roman" w:hAnsi="Helvetica" w:cs="Helvetica"/>
            <w:kern w:val="0"/>
            <w:sz w:val="24"/>
            <w:szCs w:val="24"/>
            <w:lang w:val="bg-BG"/>
            <w14:ligatures w14:val="none"/>
          </w:rPr>
          <w:t>работната програма</w:t>
        </w:r>
      </w:hyperlink>
      <w:r w:rsidRPr="005A56A5">
        <w:rPr>
          <w:rFonts w:ascii="Helvetica" w:eastAsia="Times New Roman" w:hAnsi="Helvetica" w:cs="Helvetica"/>
          <w:color w:val="575757"/>
          <w:kern w:val="0"/>
          <w:sz w:val="24"/>
          <w:szCs w:val="24"/>
          <w:lang w:val="bg-BG"/>
          <w14:ligatures w14:val="none"/>
        </w:rPr>
        <w:t>. Окончателните решения на Съвета по международни счетоводни стандарти относно МСФО стандарти (</w:t>
      </w:r>
      <w:r w:rsidR="00081EFA" w:rsidRPr="005A56A5">
        <w:rPr>
          <w:rFonts w:ascii="Helvetica" w:eastAsia="Times New Roman" w:hAnsi="Helvetica" w:cs="Helvetica"/>
          <w:color w:val="575757"/>
          <w:kern w:val="0"/>
          <w:sz w:val="24"/>
          <w:szCs w:val="24"/>
          <w:lang w:val="bg-BG"/>
          <w14:ligatures w14:val="none"/>
        </w:rPr>
        <w:t>IFRS</w:t>
      </w:r>
      <w:r w:rsidRPr="005A56A5">
        <w:rPr>
          <w:rFonts w:ascii="Helvetica" w:eastAsia="Times New Roman" w:hAnsi="Helvetica" w:cs="Helvetica"/>
          <w:color w:val="575757"/>
          <w:kern w:val="0"/>
          <w:sz w:val="24"/>
          <w:szCs w:val="24"/>
          <w:vertAlign w:val="superscript"/>
          <w:lang w:val="bg-BG"/>
          <w14:ligatures w14:val="none"/>
        </w:rPr>
        <w:t>®</w:t>
      </w:r>
      <w:r w:rsidRPr="005A56A5">
        <w:rPr>
          <w:rFonts w:ascii="Helvetica" w:eastAsia="Times New Roman" w:hAnsi="Helvetica" w:cs="Helvetica"/>
          <w:color w:val="575757"/>
          <w:kern w:val="0"/>
          <w:sz w:val="24"/>
          <w:szCs w:val="24"/>
          <w:lang w:val="bg-BG"/>
          <w14:ligatures w14:val="none"/>
        </w:rPr>
        <w:t> </w:t>
      </w:r>
      <w:proofErr w:type="spellStart"/>
      <w:r w:rsidRPr="005A56A5">
        <w:rPr>
          <w:rFonts w:ascii="Helvetica" w:eastAsia="Times New Roman" w:hAnsi="Helvetica" w:cs="Helvetica"/>
          <w:color w:val="575757"/>
          <w:kern w:val="0"/>
          <w:sz w:val="24"/>
          <w:szCs w:val="24"/>
          <w:lang w:val="bg-BG"/>
          <w14:ligatures w14:val="none"/>
        </w:rPr>
        <w:t>Standards</w:t>
      </w:r>
      <w:proofErr w:type="spellEnd"/>
      <w:r w:rsidRPr="005A56A5">
        <w:rPr>
          <w:rFonts w:ascii="Helvetica" w:eastAsia="Times New Roman" w:hAnsi="Helvetica" w:cs="Helvetica"/>
          <w:color w:val="575757"/>
          <w:kern w:val="0"/>
          <w:sz w:val="24"/>
          <w:szCs w:val="24"/>
          <w:lang w:val="bg-BG"/>
          <w14:ligatures w14:val="none"/>
        </w:rPr>
        <w:t>), Изменения и Разяснения (IFRIC</w:t>
      </w:r>
      <w:r w:rsidRPr="005A56A5">
        <w:rPr>
          <w:rFonts w:ascii="Helvetica" w:eastAsia="Times New Roman" w:hAnsi="Helvetica" w:cs="Helvetica"/>
          <w:color w:val="575757"/>
          <w:kern w:val="0"/>
          <w:sz w:val="24"/>
          <w:szCs w:val="24"/>
          <w:vertAlign w:val="superscript"/>
          <w:lang w:val="bg-BG"/>
          <w14:ligatures w14:val="none"/>
        </w:rPr>
        <w:t>®</w:t>
      </w:r>
      <w:r w:rsidRPr="005A56A5">
        <w:rPr>
          <w:rFonts w:ascii="Helvetica" w:eastAsia="Times New Roman" w:hAnsi="Helvetica" w:cs="Helvetica"/>
          <w:color w:val="575757"/>
          <w:kern w:val="0"/>
          <w:sz w:val="24"/>
          <w:szCs w:val="24"/>
          <w:lang w:val="bg-BG"/>
          <w14:ligatures w14:val="none"/>
        </w:rPr>
        <w:t> </w:t>
      </w:r>
      <w:proofErr w:type="spellStart"/>
      <w:r w:rsidRPr="005A56A5">
        <w:rPr>
          <w:rFonts w:ascii="Helvetica" w:eastAsia="Times New Roman" w:hAnsi="Helvetica" w:cs="Helvetica"/>
          <w:color w:val="575757"/>
          <w:kern w:val="0"/>
          <w:sz w:val="24"/>
          <w:szCs w:val="24"/>
          <w:lang w:val="bg-BG"/>
          <w14:ligatures w14:val="none"/>
        </w:rPr>
        <w:t>Interpretations</w:t>
      </w:r>
      <w:proofErr w:type="spellEnd"/>
      <w:r w:rsidRPr="005A56A5">
        <w:rPr>
          <w:rFonts w:ascii="Helvetica" w:eastAsia="Times New Roman" w:hAnsi="Helvetica" w:cs="Helvetica"/>
          <w:color w:val="575757"/>
          <w:kern w:val="0"/>
          <w:sz w:val="24"/>
          <w:szCs w:val="24"/>
          <w:lang w:val="bg-BG"/>
          <w14:ligatures w14:val="none"/>
        </w:rPr>
        <w:t xml:space="preserve">) се подлагат на официално гласуване, съгласно предвиденото в </w:t>
      </w:r>
      <w:r w:rsidRPr="005A56A5">
        <w:rPr>
          <w:rFonts w:ascii="Helvetica" w:eastAsia="Times New Roman" w:hAnsi="Helvetica" w:cs="Helvetica"/>
          <w:i/>
          <w:color w:val="575757"/>
          <w:kern w:val="0"/>
          <w:sz w:val="24"/>
          <w:szCs w:val="24"/>
          <w:lang w:val="bg-BG"/>
          <w14:ligatures w14:val="none"/>
        </w:rPr>
        <w:t>Ръководството по регламентираната процедура</w:t>
      </w:r>
      <w:r w:rsidRPr="005A56A5">
        <w:rPr>
          <w:rFonts w:ascii="Helvetica" w:eastAsia="Times New Roman" w:hAnsi="Helvetica" w:cs="Helvetica"/>
          <w:color w:val="575757"/>
          <w:kern w:val="0"/>
          <w:sz w:val="24"/>
          <w:szCs w:val="24"/>
          <w:lang w:val="bg-BG"/>
          <w14:ligatures w14:val="none"/>
        </w:rPr>
        <w:t xml:space="preserve"> на Фондация МСФО (</w:t>
      </w:r>
      <w:r w:rsidR="00081EFA" w:rsidRPr="005A56A5">
        <w:rPr>
          <w:rFonts w:ascii="Helvetica" w:eastAsia="Times New Roman" w:hAnsi="Helvetica" w:cs="Helvetica"/>
          <w:color w:val="575757"/>
          <w:kern w:val="0"/>
          <w:sz w:val="24"/>
          <w:szCs w:val="24"/>
          <w:lang w:val="bg-BG"/>
          <w14:ligatures w14:val="none"/>
        </w:rPr>
        <w:t>IFRS</w:t>
      </w:r>
      <w:r w:rsidRPr="005A56A5">
        <w:rPr>
          <w:rFonts w:ascii="Helvetica" w:eastAsia="Times New Roman" w:hAnsi="Helvetica" w:cs="Helvetica"/>
          <w:color w:val="575757"/>
          <w:kern w:val="0"/>
          <w:sz w:val="24"/>
          <w:szCs w:val="24"/>
          <w:lang w:val="bg-BG"/>
          <w14:ligatures w14:val="none"/>
        </w:rPr>
        <w:t xml:space="preserve"> </w:t>
      </w:r>
      <w:proofErr w:type="spellStart"/>
      <w:r w:rsidRPr="005A56A5">
        <w:rPr>
          <w:rFonts w:ascii="Helvetica" w:eastAsia="Times New Roman" w:hAnsi="Helvetica" w:cs="Helvetica"/>
          <w:color w:val="575757"/>
          <w:kern w:val="0"/>
          <w:sz w:val="24"/>
          <w:szCs w:val="24"/>
          <w:lang w:val="bg-BG"/>
          <w14:ligatures w14:val="none"/>
        </w:rPr>
        <w:t>Foundation</w:t>
      </w:r>
      <w:proofErr w:type="spellEnd"/>
      <w:r w:rsidRPr="005A56A5">
        <w:rPr>
          <w:rFonts w:ascii="Helvetica" w:eastAsia="Times New Roman" w:hAnsi="Helvetica" w:cs="Helvetica"/>
          <w:color w:val="575757"/>
          <w:kern w:val="0"/>
          <w:sz w:val="24"/>
          <w:szCs w:val="24"/>
          <w:lang w:val="bg-BG"/>
          <w14:ligatures w14:val="none"/>
        </w:rPr>
        <w:t>)</w:t>
      </w:r>
      <w:r w:rsidR="00780FA7" w:rsidRPr="005A56A5">
        <w:rPr>
          <w:rFonts w:ascii="Helvetica" w:eastAsia="Times New Roman" w:hAnsi="Helvetica" w:cs="Helvetica"/>
          <w:color w:val="575757"/>
          <w:kern w:val="0"/>
          <w:sz w:val="24"/>
          <w:szCs w:val="24"/>
          <w:lang w:val="bg-BG"/>
          <w14:ligatures w14:val="none"/>
        </w:rPr>
        <w:t>.</w:t>
      </w:r>
    </w:p>
    <w:p w14:paraId="1452211B" w14:textId="741C8EBD" w:rsidR="00780FA7" w:rsidRPr="005A56A5" w:rsidRDefault="00D56402"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проведе заседание на </w:t>
      </w:r>
      <w:hyperlink r:id="rId6" w:history="1">
        <w:r w:rsidR="00780FA7" w:rsidRPr="005A56A5">
          <w:rPr>
            <w:rFonts w:ascii="Helvetica" w:eastAsia="Times New Roman" w:hAnsi="Helvetica" w:cs="Helvetica"/>
            <w:color w:val="CD3333"/>
            <w:kern w:val="0"/>
            <w:sz w:val="24"/>
            <w:szCs w:val="24"/>
            <w:u w:val="single"/>
            <w:lang w:val="bg-BG"/>
            <w14:ligatures w14:val="none"/>
          </w:rPr>
          <w:t xml:space="preserve">20-23 </w:t>
        </w:r>
        <w:r w:rsidRPr="005A56A5">
          <w:rPr>
            <w:rFonts w:ascii="Helvetica" w:eastAsia="Times New Roman" w:hAnsi="Helvetica" w:cs="Helvetica"/>
            <w:color w:val="CD3333"/>
            <w:kern w:val="0"/>
            <w:sz w:val="24"/>
            <w:szCs w:val="24"/>
            <w:u w:val="single"/>
            <w:lang w:val="bg-BG"/>
            <w14:ligatures w14:val="none"/>
          </w:rPr>
          <w:t>февруари</w:t>
        </w:r>
        <w:r w:rsidR="00780FA7" w:rsidRPr="005A56A5">
          <w:rPr>
            <w:rFonts w:ascii="Helvetica" w:eastAsia="Times New Roman" w:hAnsi="Helvetica" w:cs="Helvetica"/>
            <w:color w:val="CD3333"/>
            <w:kern w:val="0"/>
            <w:sz w:val="24"/>
            <w:szCs w:val="24"/>
            <w:u w:val="single"/>
            <w:lang w:val="bg-BG"/>
            <w14:ligatures w14:val="none"/>
          </w:rPr>
          <w:t xml:space="preserve"> 2023</w:t>
        </w:r>
      </w:hyperlink>
      <w:r w:rsidRPr="005A56A5">
        <w:rPr>
          <w:rFonts w:ascii="Helvetica" w:eastAsia="Times New Roman" w:hAnsi="Helvetica" w:cs="Helvetica"/>
          <w:color w:val="CD3333"/>
          <w:kern w:val="0"/>
          <w:sz w:val="24"/>
          <w:szCs w:val="24"/>
          <w:u w:val="single"/>
          <w:lang w:val="bg-BG"/>
          <w14:ligatures w14:val="none"/>
        </w:rPr>
        <w:t xml:space="preserve"> г</w:t>
      </w:r>
      <w:r w:rsidR="00780FA7" w:rsidRPr="005A56A5">
        <w:rPr>
          <w:rFonts w:ascii="Helvetica" w:eastAsia="Times New Roman" w:hAnsi="Helvetica" w:cs="Helvetica"/>
          <w:color w:val="575757"/>
          <w:kern w:val="0"/>
          <w:sz w:val="24"/>
          <w:szCs w:val="24"/>
          <w:lang w:val="bg-BG"/>
          <w14:ligatures w14:val="none"/>
        </w:rPr>
        <w:t>.</w:t>
      </w:r>
    </w:p>
    <w:p w14:paraId="4F28E9B5" w14:textId="456F2246" w:rsidR="00780FA7" w:rsidRPr="005A56A5" w:rsidRDefault="00D56402" w:rsidP="00780FA7">
      <w:pPr>
        <w:spacing w:after="100" w:afterAutospacing="1" w:line="240" w:lineRule="auto"/>
        <w:outlineLvl w:val="1"/>
        <w:rPr>
          <w:rFonts w:ascii="Times New Roman" w:eastAsia="Times New Roman" w:hAnsi="Times New Roman" w:cs="Times New Roman"/>
          <w:b/>
          <w:bCs/>
          <w:color w:val="333333"/>
          <w:kern w:val="0"/>
          <w:sz w:val="34"/>
          <w:szCs w:val="34"/>
          <w:lang w:val="bg-BG"/>
          <w14:ligatures w14:val="none"/>
        </w:rPr>
      </w:pPr>
      <w:r w:rsidRPr="005A56A5">
        <w:rPr>
          <w:rFonts w:ascii="Times New Roman" w:eastAsia="Times New Roman" w:hAnsi="Times New Roman" w:cs="Times New Roman"/>
          <w:b/>
          <w:bCs/>
          <w:color w:val="333333"/>
          <w:kern w:val="0"/>
          <w:sz w:val="34"/>
          <w:szCs w:val="34"/>
          <w:lang w:val="bg-BG"/>
          <w14:ligatures w14:val="none"/>
        </w:rPr>
        <w:t>Съдържание</w:t>
      </w:r>
    </w:p>
    <w:p w14:paraId="6F9AA5DC" w14:textId="09C8C030" w:rsidR="00780FA7" w:rsidRPr="005A56A5" w:rsidRDefault="00D56402" w:rsidP="00780FA7">
      <w:pPr>
        <w:spacing w:before="450" w:after="300" w:line="240" w:lineRule="auto"/>
        <w:outlineLvl w:val="2"/>
        <w:rPr>
          <w:rFonts w:ascii="Times New Roman" w:eastAsia="Times New Roman" w:hAnsi="Times New Roman" w:cs="Times New Roman"/>
          <w:b/>
          <w:bCs/>
          <w:color w:val="333333"/>
          <w:kern w:val="0"/>
          <w:sz w:val="26"/>
          <w:szCs w:val="26"/>
          <w:lang w:val="bg-BG"/>
          <w14:ligatures w14:val="none"/>
        </w:rPr>
      </w:pPr>
      <w:r w:rsidRPr="005A56A5">
        <w:rPr>
          <w:rFonts w:ascii="Times New Roman" w:eastAsia="Times New Roman" w:hAnsi="Times New Roman" w:cs="Times New Roman"/>
          <w:b/>
          <w:bCs/>
          <w:color w:val="333333"/>
          <w:kern w:val="0"/>
          <w:sz w:val="26"/>
          <w:szCs w:val="26"/>
          <w:lang w:val="bg-BG"/>
          <w14:ligatures w14:val="none"/>
        </w:rPr>
        <w:t>Изследователска работа и изготвяне и въвеждане на стандарти</w:t>
      </w:r>
    </w:p>
    <w:p w14:paraId="1AD9D259" w14:textId="086E7300" w:rsidR="00780FA7" w:rsidRPr="005A56A5" w:rsidRDefault="00F7383B" w:rsidP="00780FA7">
      <w:pPr>
        <w:numPr>
          <w:ilvl w:val="0"/>
          <w:numId w:val="2"/>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7" w:anchor="1" w:history="1">
        <w:r w:rsidR="00081EFA" w:rsidRPr="005A56A5">
          <w:rPr>
            <w:rFonts w:ascii="Times New Roman" w:eastAsia="Times New Roman" w:hAnsi="Times New Roman" w:cs="Times New Roman"/>
            <w:color w:val="CD3333"/>
            <w:kern w:val="0"/>
            <w:sz w:val="24"/>
            <w:szCs w:val="24"/>
            <w:u w:val="single"/>
            <w:lang w:val="bg-BG"/>
            <w14:ligatures w14:val="none"/>
          </w:rPr>
          <w:t>Динамично управление на риска</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4)</w:t>
        </w:r>
      </w:hyperlink>
    </w:p>
    <w:p w14:paraId="316769B0" w14:textId="3E06F337" w:rsidR="00780FA7" w:rsidRPr="005A56A5" w:rsidRDefault="00F7383B" w:rsidP="00780FA7">
      <w:pPr>
        <w:numPr>
          <w:ilvl w:val="0"/>
          <w:numId w:val="2"/>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8" w:anchor="2" w:history="1">
        <w:r w:rsidR="00081EFA" w:rsidRPr="005A56A5">
          <w:rPr>
            <w:rFonts w:ascii="Times New Roman" w:eastAsia="Times New Roman" w:hAnsi="Times New Roman" w:cs="Times New Roman"/>
            <w:color w:val="CD3333"/>
            <w:kern w:val="0"/>
            <w:sz w:val="24"/>
            <w:szCs w:val="24"/>
            <w:u w:val="single"/>
            <w:lang w:val="bg-BG"/>
            <w14:ligatures w14:val="none"/>
          </w:rPr>
          <w:t>Финансови инструменти с характеристики на собствен капитал</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5)</w:t>
        </w:r>
      </w:hyperlink>
    </w:p>
    <w:p w14:paraId="674E581B" w14:textId="4BC22A06" w:rsidR="00780FA7" w:rsidRPr="005A56A5" w:rsidRDefault="00F7383B" w:rsidP="00780FA7">
      <w:pPr>
        <w:numPr>
          <w:ilvl w:val="0"/>
          <w:numId w:val="2"/>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9" w:anchor="3" w:history="1">
        <w:r w:rsidR="00081EFA" w:rsidRPr="005A56A5">
          <w:rPr>
            <w:rFonts w:ascii="Times New Roman" w:eastAsia="Times New Roman" w:hAnsi="Times New Roman" w:cs="Times New Roman"/>
            <w:color w:val="CD3333"/>
            <w:kern w:val="0"/>
            <w:sz w:val="24"/>
            <w:szCs w:val="24"/>
            <w:u w:val="single"/>
            <w:lang w:val="bg-BG"/>
            <w14:ligatures w14:val="none"/>
          </w:rPr>
          <w:t>Дейности с регулирани цени</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9)</w:t>
        </w:r>
      </w:hyperlink>
    </w:p>
    <w:p w14:paraId="4396F57A" w14:textId="457EC029" w:rsidR="00780FA7" w:rsidRPr="005A56A5" w:rsidRDefault="00F7383B" w:rsidP="00780FA7">
      <w:pPr>
        <w:numPr>
          <w:ilvl w:val="0"/>
          <w:numId w:val="2"/>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10" w:anchor="4" w:history="1">
        <w:r w:rsidR="00081EFA" w:rsidRPr="005A56A5">
          <w:rPr>
            <w:rFonts w:ascii="Times New Roman" w:eastAsia="Times New Roman" w:hAnsi="Times New Roman" w:cs="Times New Roman"/>
            <w:color w:val="CD3333"/>
            <w:kern w:val="0"/>
            <w:sz w:val="24"/>
            <w:szCs w:val="24"/>
            <w:u w:val="single"/>
            <w:lang w:val="bg-BG"/>
            <w14:ligatures w14:val="none"/>
          </w:rPr>
          <w:t>Бизнес комбинации</w:t>
        </w:r>
        <w:r w:rsidR="00780FA7" w:rsidRPr="005A56A5">
          <w:rPr>
            <w:rFonts w:ascii="Times New Roman" w:eastAsia="Times New Roman" w:hAnsi="Times New Roman" w:cs="Times New Roman"/>
            <w:color w:val="CD3333"/>
            <w:kern w:val="0"/>
            <w:sz w:val="24"/>
            <w:szCs w:val="24"/>
            <w:u w:val="single"/>
            <w:lang w:val="bg-BG"/>
            <w14:ligatures w14:val="none"/>
          </w:rPr>
          <w:t>—</w:t>
        </w:r>
        <w:r w:rsidR="00081EFA" w:rsidRPr="005A56A5">
          <w:rPr>
            <w:rFonts w:ascii="Times New Roman" w:eastAsia="Times New Roman" w:hAnsi="Times New Roman" w:cs="Times New Roman"/>
            <w:color w:val="CD3333"/>
            <w:kern w:val="0"/>
            <w:sz w:val="24"/>
            <w:szCs w:val="24"/>
            <w:u w:val="single"/>
            <w:lang w:val="bg-BG"/>
            <w14:ligatures w14:val="none"/>
          </w:rPr>
          <w:t>оповестявания</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081EFA" w:rsidRPr="005A56A5">
          <w:rPr>
            <w:rFonts w:ascii="Times New Roman" w:eastAsia="Times New Roman" w:hAnsi="Times New Roman" w:cs="Times New Roman"/>
            <w:color w:val="CD3333"/>
            <w:kern w:val="0"/>
            <w:sz w:val="24"/>
            <w:szCs w:val="24"/>
            <w:u w:val="single"/>
            <w:lang w:val="bg-BG"/>
            <w14:ligatures w14:val="none"/>
          </w:rPr>
          <w:t>репутация и обезценка</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18)</w:t>
        </w:r>
      </w:hyperlink>
    </w:p>
    <w:p w14:paraId="115411DB" w14:textId="118E0EB2" w:rsidR="00780FA7" w:rsidRPr="005A56A5" w:rsidRDefault="00F7383B" w:rsidP="00780FA7">
      <w:pPr>
        <w:numPr>
          <w:ilvl w:val="0"/>
          <w:numId w:val="2"/>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11" w:anchor="5" w:history="1">
        <w:r w:rsidR="00081EFA" w:rsidRPr="005A56A5">
          <w:rPr>
            <w:rFonts w:ascii="Times New Roman" w:eastAsia="Times New Roman" w:hAnsi="Times New Roman" w:cs="Times New Roman"/>
            <w:color w:val="CD3333"/>
            <w:kern w:val="0"/>
            <w:sz w:val="24"/>
            <w:szCs w:val="24"/>
            <w:u w:val="single"/>
            <w:lang w:val="bg-BG"/>
            <w14:ligatures w14:val="none"/>
          </w:rPr>
          <w:t>Преглед след въвеждане на</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127BAB" w:rsidRPr="005A56A5">
          <w:rPr>
            <w:rFonts w:ascii="Times New Roman" w:eastAsia="Times New Roman" w:hAnsi="Times New Roman" w:cs="Times New Roman"/>
            <w:color w:val="CD3333"/>
            <w:kern w:val="0"/>
            <w:sz w:val="24"/>
            <w:szCs w:val="24"/>
            <w:u w:val="single"/>
            <w:lang w:val="bg-BG"/>
            <w14:ligatures w14:val="none"/>
          </w:rPr>
          <w:t>МСФО</w:t>
        </w:r>
        <w:r w:rsidR="00780FA7" w:rsidRPr="005A56A5">
          <w:rPr>
            <w:rFonts w:ascii="Times New Roman" w:eastAsia="Times New Roman" w:hAnsi="Times New Roman" w:cs="Times New Roman"/>
            <w:color w:val="CD3333"/>
            <w:kern w:val="0"/>
            <w:sz w:val="24"/>
            <w:szCs w:val="24"/>
            <w:u w:val="single"/>
            <w:lang w:val="bg-BG"/>
            <w14:ligatures w14:val="none"/>
          </w:rPr>
          <w:t xml:space="preserve"> 9—</w:t>
        </w:r>
        <w:r w:rsidR="00081EFA" w:rsidRPr="005A56A5">
          <w:rPr>
            <w:rFonts w:ascii="Times New Roman" w:eastAsia="Times New Roman" w:hAnsi="Times New Roman" w:cs="Times New Roman"/>
            <w:color w:val="CD3333"/>
            <w:kern w:val="0"/>
            <w:sz w:val="24"/>
            <w:szCs w:val="24"/>
            <w:u w:val="single"/>
            <w:lang w:val="bg-BG"/>
            <w14:ligatures w14:val="none"/>
          </w:rPr>
          <w:t>обезценка</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D56402" w:rsidRPr="005A56A5">
          <w:rPr>
            <w:rFonts w:ascii="Times New Roman" w:eastAsia="Times New Roman" w:hAnsi="Times New Roman" w:cs="Times New Roman"/>
            <w:color w:val="CD3333"/>
            <w:kern w:val="0"/>
            <w:sz w:val="24"/>
            <w:szCs w:val="24"/>
            <w:u w:val="single"/>
            <w:lang w:val="bg-BG"/>
            <w14:ligatures w14:val="none"/>
          </w:rPr>
          <w:t>Документ</w:t>
        </w:r>
        <w:r w:rsidR="00081EFA" w:rsidRPr="005A56A5">
          <w:rPr>
            <w:rFonts w:ascii="Times New Roman" w:eastAsia="Times New Roman" w:hAnsi="Times New Roman" w:cs="Times New Roman"/>
            <w:color w:val="CD3333"/>
            <w:kern w:val="0"/>
            <w:sz w:val="24"/>
            <w:szCs w:val="24"/>
            <w:u w:val="single"/>
            <w:lang w:val="bg-BG"/>
            <w14:ligatures w14:val="none"/>
          </w:rPr>
          <w:t>и</w:t>
        </w:r>
        <w:r w:rsidR="00D56402" w:rsidRPr="005A56A5">
          <w:rPr>
            <w:rFonts w:ascii="Times New Roman" w:eastAsia="Times New Roman" w:hAnsi="Times New Roman" w:cs="Times New Roman"/>
            <w:color w:val="CD3333"/>
            <w:kern w:val="0"/>
            <w:sz w:val="24"/>
            <w:szCs w:val="24"/>
            <w:u w:val="single"/>
            <w:lang w:val="bg-BG"/>
            <w14:ligatures w14:val="none"/>
          </w:rPr>
          <w:t xml:space="preserve">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27–27</w:t>
        </w:r>
        <w:r w:rsidR="00081EFA" w:rsidRPr="005A56A5">
          <w:rPr>
            <w:rFonts w:ascii="Times New Roman" w:eastAsia="Times New Roman" w:hAnsi="Times New Roman" w:cs="Times New Roman"/>
            <w:color w:val="CD3333"/>
            <w:kern w:val="0"/>
            <w:sz w:val="24"/>
            <w:szCs w:val="24"/>
            <w:u w:val="single"/>
            <w:lang w:val="bg-BG"/>
            <w14:ligatures w14:val="none"/>
          </w:rPr>
          <w:t>Г</w:t>
        </w:r>
        <w:r w:rsidR="00780FA7" w:rsidRPr="005A56A5">
          <w:rPr>
            <w:rFonts w:ascii="Times New Roman" w:eastAsia="Times New Roman" w:hAnsi="Times New Roman" w:cs="Times New Roman"/>
            <w:color w:val="CD3333"/>
            <w:kern w:val="0"/>
            <w:sz w:val="24"/>
            <w:szCs w:val="24"/>
            <w:u w:val="single"/>
            <w:lang w:val="bg-BG"/>
            <w14:ligatures w14:val="none"/>
          </w:rPr>
          <w:t>)</w:t>
        </w:r>
      </w:hyperlink>
    </w:p>
    <w:p w14:paraId="613DAB70" w14:textId="62CF432C" w:rsidR="00780FA7" w:rsidRPr="005A56A5" w:rsidRDefault="00D56402" w:rsidP="00780FA7">
      <w:pPr>
        <w:spacing w:before="450" w:after="300" w:line="240" w:lineRule="auto"/>
        <w:outlineLvl w:val="2"/>
        <w:rPr>
          <w:rFonts w:ascii="Times New Roman" w:eastAsia="Times New Roman" w:hAnsi="Times New Roman" w:cs="Times New Roman"/>
          <w:b/>
          <w:bCs/>
          <w:color w:val="333333"/>
          <w:kern w:val="0"/>
          <w:sz w:val="26"/>
          <w:szCs w:val="26"/>
          <w:lang w:val="bg-BG"/>
          <w14:ligatures w14:val="none"/>
        </w:rPr>
      </w:pPr>
      <w:bookmarkStart w:id="0" w:name="_Hlk117663110"/>
      <w:r w:rsidRPr="005A56A5">
        <w:rPr>
          <w:rFonts w:ascii="Times New Roman" w:eastAsia="Times New Roman" w:hAnsi="Times New Roman" w:cs="Times New Roman"/>
          <w:b/>
          <w:bCs/>
          <w:color w:val="333333"/>
          <w:kern w:val="0"/>
          <w:sz w:val="26"/>
          <w:szCs w:val="26"/>
          <w:lang w:val="bg-BG"/>
          <w14:ligatures w14:val="none"/>
        </w:rPr>
        <w:t>Поддържане и последователно прилагане</w:t>
      </w:r>
      <w:bookmarkEnd w:id="0"/>
    </w:p>
    <w:p w14:paraId="15E6E053" w14:textId="57467B4C" w:rsidR="00780FA7" w:rsidRPr="005A56A5" w:rsidRDefault="00F7383B" w:rsidP="00780FA7">
      <w:pPr>
        <w:numPr>
          <w:ilvl w:val="0"/>
          <w:numId w:val="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12" w:anchor="6" w:history="1">
        <w:r w:rsidR="00081EFA" w:rsidRPr="005A56A5">
          <w:rPr>
            <w:rFonts w:ascii="Times New Roman" w:eastAsia="Times New Roman" w:hAnsi="Times New Roman" w:cs="Times New Roman"/>
            <w:color w:val="CD3333"/>
            <w:kern w:val="0"/>
            <w:sz w:val="24"/>
            <w:szCs w:val="24"/>
            <w:u w:val="single"/>
            <w:lang w:val="bg-BG"/>
            <w14:ligatures w14:val="none"/>
          </w:rPr>
          <w:t>Поддържане и последователно прилагане</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12)</w:t>
        </w:r>
      </w:hyperlink>
    </w:p>
    <w:p w14:paraId="55389490" w14:textId="09081AE4" w:rsidR="00780FA7" w:rsidRPr="005A56A5" w:rsidRDefault="00F7383B" w:rsidP="00780FA7">
      <w:pPr>
        <w:numPr>
          <w:ilvl w:val="0"/>
          <w:numId w:val="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13" w:anchor="7" w:history="1">
        <w:r w:rsidR="00081EFA" w:rsidRPr="005A56A5">
          <w:rPr>
            <w:rFonts w:ascii="Times New Roman" w:eastAsia="Times New Roman" w:hAnsi="Times New Roman" w:cs="Times New Roman"/>
            <w:color w:val="CD3333"/>
            <w:kern w:val="0"/>
            <w:sz w:val="24"/>
            <w:szCs w:val="24"/>
            <w:u w:val="single"/>
            <w:lang w:val="bg-BG"/>
            <w14:ligatures w14:val="none"/>
          </w:rPr>
          <w:t>Споразумения за финансиране на доставчици</w:t>
        </w:r>
        <w:r w:rsidR="00780FA7" w:rsidRPr="005A56A5">
          <w:rPr>
            <w:rFonts w:ascii="Times New Roman" w:eastAsia="Times New Roman" w:hAnsi="Times New Roman" w:cs="Times New Roman"/>
            <w:color w:val="CD3333"/>
            <w:kern w:val="0"/>
            <w:sz w:val="24"/>
            <w:szCs w:val="24"/>
            <w:u w:val="single"/>
            <w:lang w:val="bg-BG"/>
            <w14:ligatures w14:val="none"/>
          </w:rPr>
          <w:t>—</w:t>
        </w:r>
        <w:r w:rsidR="00081EFA" w:rsidRPr="005A56A5">
          <w:rPr>
            <w:rFonts w:ascii="Times New Roman" w:eastAsia="Times New Roman" w:hAnsi="Times New Roman" w:cs="Times New Roman"/>
            <w:color w:val="CD3333"/>
            <w:kern w:val="0"/>
            <w:sz w:val="24"/>
            <w:szCs w:val="24"/>
            <w:u w:val="single"/>
            <w:lang w:val="bg-BG"/>
            <w14:ligatures w14:val="none"/>
          </w:rPr>
          <w:t>преход</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081EFA" w:rsidRPr="005A56A5">
          <w:rPr>
            <w:rFonts w:ascii="Times New Roman" w:eastAsia="Times New Roman" w:hAnsi="Times New Roman" w:cs="Times New Roman"/>
            <w:color w:val="CD3333"/>
            <w:kern w:val="0"/>
            <w:sz w:val="24"/>
            <w:szCs w:val="24"/>
            <w:u w:val="single"/>
            <w:lang w:val="bg-BG"/>
            <w14:ligatures w14:val="none"/>
          </w:rPr>
          <w:t>дата на влизане в сила и надлежна процедура</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12A)</w:t>
        </w:r>
      </w:hyperlink>
    </w:p>
    <w:p w14:paraId="76A82BEE" w14:textId="20BAAFC4" w:rsidR="00780FA7" w:rsidRPr="005A56A5" w:rsidRDefault="00F7383B" w:rsidP="00780FA7">
      <w:pPr>
        <w:numPr>
          <w:ilvl w:val="0"/>
          <w:numId w:val="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14" w:anchor="8" w:history="1">
        <w:r w:rsidR="00081EFA" w:rsidRPr="005A56A5">
          <w:rPr>
            <w:rFonts w:ascii="Times New Roman" w:eastAsia="Times New Roman" w:hAnsi="Times New Roman" w:cs="Times New Roman"/>
            <w:color w:val="CD3333"/>
            <w:kern w:val="0"/>
            <w:sz w:val="24"/>
            <w:szCs w:val="24"/>
            <w:u w:val="single"/>
            <w:lang w:val="bg-BG"/>
            <w14:ligatures w14:val="none"/>
          </w:rPr>
          <w:t>Отсъствие на възможност за размяна</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081EFA" w:rsidRPr="005A56A5">
          <w:rPr>
            <w:rFonts w:ascii="Times New Roman" w:eastAsia="Times New Roman" w:hAnsi="Times New Roman" w:cs="Times New Roman"/>
            <w:color w:val="CD3333"/>
            <w:kern w:val="0"/>
            <w:sz w:val="24"/>
            <w:szCs w:val="24"/>
            <w:u w:val="single"/>
            <w:lang w:val="bg-BG"/>
            <w14:ligatures w14:val="none"/>
          </w:rPr>
          <w:t>предложени изменения в</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127BAB" w:rsidRPr="005A56A5">
          <w:rPr>
            <w:rFonts w:ascii="Times New Roman" w:eastAsia="Times New Roman" w:hAnsi="Times New Roman" w:cs="Times New Roman"/>
            <w:color w:val="CD3333"/>
            <w:kern w:val="0"/>
            <w:sz w:val="24"/>
            <w:szCs w:val="24"/>
            <w:u w:val="single"/>
            <w:lang w:val="bg-BG"/>
            <w14:ligatures w14:val="none"/>
          </w:rPr>
          <w:t>МСС</w:t>
        </w:r>
        <w:r w:rsidR="00780FA7" w:rsidRPr="005A56A5">
          <w:rPr>
            <w:rFonts w:ascii="Times New Roman" w:eastAsia="Times New Roman" w:hAnsi="Times New Roman" w:cs="Times New Roman"/>
            <w:color w:val="CD3333"/>
            <w:kern w:val="0"/>
            <w:sz w:val="24"/>
            <w:szCs w:val="24"/>
            <w:u w:val="single"/>
            <w:lang w:val="bg-BG"/>
            <w14:ligatures w14:val="none"/>
          </w:rPr>
          <w:t> 21)—</w:t>
        </w:r>
        <w:r w:rsidR="00081EFA" w:rsidRPr="005A56A5">
          <w:rPr>
            <w:rFonts w:ascii="Times New Roman" w:eastAsia="Times New Roman" w:hAnsi="Times New Roman" w:cs="Times New Roman"/>
            <w:color w:val="CD3333"/>
            <w:kern w:val="0"/>
            <w:sz w:val="24"/>
            <w:szCs w:val="24"/>
            <w:u w:val="single"/>
            <w:lang w:val="bg-BG"/>
            <w14:ligatures w14:val="none"/>
          </w:rPr>
          <w:t>надлежна процедура</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081EFA" w:rsidRPr="005A56A5">
          <w:rPr>
            <w:rFonts w:ascii="Times New Roman" w:eastAsia="Times New Roman" w:hAnsi="Times New Roman" w:cs="Times New Roman"/>
            <w:color w:val="CD3333"/>
            <w:kern w:val="0"/>
            <w:sz w:val="24"/>
            <w:szCs w:val="24"/>
            <w:u w:val="single"/>
            <w:lang w:val="bg-BG"/>
            <w14:ligatures w14:val="none"/>
          </w:rPr>
          <w:t>дата на влизане в сила и други въпроси</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12</w:t>
        </w:r>
        <w:r w:rsidR="00081EFA" w:rsidRPr="005A56A5">
          <w:rPr>
            <w:rFonts w:ascii="Times New Roman" w:eastAsia="Times New Roman" w:hAnsi="Times New Roman" w:cs="Times New Roman"/>
            <w:color w:val="CD3333"/>
            <w:kern w:val="0"/>
            <w:sz w:val="24"/>
            <w:szCs w:val="24"/>
            <w:u w:val="single"/>
            <w:lang w:val="bg-BG"/>
            <w14:ligatures w14:val="none"/>
          </w:rPr>
          <w:t>Б</w:t>
        </w:r>
        <w:r w:rsidR="00780FA7" w:rsidRPr="005A56A5">
          <w:rPr>
            <w:rFonts w:ascii="Times New Roman" w:eastAsia="Times New Roman" w:hAnsi="Times New Roman" w:cs="Times New Roman"/>
            <w:color w:val="CD3333"/>
            <w:kern w:val="0"/>
            <w:sz w:val="24"/>
            <w:szCs w:val="24"/>
            <w:u w:val="single"/>
            <w:lang w:val="bg-BG"/>
            <w14:ligatures w14:val="none"/>
          </w:rPr>
          <w:t>)</w:t>
        </w:r>
      </w:hyperlink>
    </w:p>
    <w:p w14:paraId="2CAA3E93" w14:textId="4F56BDB7" w:rsidR="00780FA7" w:rsidRPr="005A56A5" w:rsidRDefault="00F7383B" w:rsidP="00780FA7">
      <w:pPr>
        <w:numPr>
          <w:ilvl w:val="0"/>
          <w:numId w:val="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15" w:anchor="9" w:history="1">
        <w:r w:rsidR="004353F2" w:rsidRPr="005A56A5">
          <w:rPr>
            <w:rFonts w:ascii="Times New Roman" w:eastAsia="Times New Roman" w:hAnsi="Times New Roman" w:cs="Times New Roman"/>
            <w:color w:val="CD3333"/>
            <w:kern w:val="0"/>
            <w:sz w:val="24"/>
            <w:szCs w:val="24"/>
            <w:u w:val="single"/>
            <w:lang w:val="bg-BG"/>
            <w14:ligatures w14:val="none"/>
          </w:rPr>
          <w:t>Счетоводно отчитане на хеджиране от предприятие, прилагащо за първи път стандартите</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127BAB" w:rsidRPr="005A56A5">
          <w:rPr>
            <w:rFonts w:ascii="Times New Roman" w:eastAsia="Times New Roman" w:hAnsi="Times New Roman" w:cs="Times New Roman"/>
            <w:color w:val="CD3333"/>
            <w:kern w:val="0"/>
            <w:sz w:val="24"/>
            <w:szCs w:val="24"/>
            <w:u w:val="single"/>
            <w:lang w:val="bg-BG"/>
            <w14:ligatures w14:val="none"/>
          </w:rPr>
          <w:t>МСФО</w:t>
        </w:r>
        <w:r w:rsidR="00780FA7" w:rsidRPr="005A56A5">
          <w:rPr>
            <w:rFonts w:ascii="Times New Roman" w:eastAsia="Times New Roman" w:hAnsi="Times New Roman" w:cs="Times New Roman"/>
            <w:color w:val="CD3333"/>
            <w:kern w:val="0"/>
            <w:sz w:val="24"/>
            <w:szCs w:val="24"/>
            <w:u w:val="single"/>
            <w:lang w:val="bg-BG"/>
            <w14:ligatures w14:val="none"/>
          </w:rPr>
          <w:t xml:space="preserve"> 1)—</w:t>
        </w:r>
        <w:r w:rsidR="004353F2" w:rsidRPr="005A56A5">
          <w:rPr>
            <w:rFonts w:ascii="Times New Roman" w:eastAsia="Times New Roman" w:hAnsi="Times New Roman" w:cs="Times New Roman"/>
            <w:color w:val="CD3333"/>
            <w:kern w:val="0"/>
            <w:sz w:val="24"/>
            <w:szCs w:val="24"/>
            <w:u w:val="single"/>
            <w:lang w:val="bg-BG"/>
            <w14:ligatures w14:val="none"/>
          </w:rPr>
          <w:t>потенциално годишно подобрение</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12</w:t>
        </w:r>
        <w:r w:rsidR="004353F2" w:rsidRPr="005A56A5">
          <w:rPr>
            <w:rFonts w:ascii="Times New Roman" w:eastAsia="Times New Roman" w:hAnsi="Times New Roman" w:cs="Times New Roman"/>
            <w:color w:val="CD3333"/>
            <w:kern w:val="0"/>
            <w:sz w:val="24"/>
            <w:szCs w:val="24"/>
            <w:u w:val="single"/>
            <w:lang w:val="bg-BG"/>
            <w14:ligatures w14:val="none"/>
          </w:rPr>
          <w:t>В</w:t>
        </w:r>
        <w:r w:rsidR="00780FA7" w:rsidRPr="005A56A5">
          <w:rPr>
            <w:rFonts w:ascii="Times New Roman" w:eastAsia="Times New Roman" w:hAnsi="Times New Roman" w:cs="Times New Roman"/>
            <w:color w:val="CD3333"/>
            <w:kern w:val="0"/>
            <w:sz w:val="24"/>
            <w:szCs w:val="24"/>
            <w:u w:val="single"/>
            <w:lang w:val="bg-BG"/>
            <w14:ligatures w14:val="none"/>
          </w:rPr>
          <w:t>)</w:t>
        </w:r>
      </w:hyperlink>
    </w:p>
    <w:p w14:paraId="1A2F63A6" w14:textId="1B8F72E3" w:rsidR="00780FA7" w:rsidRPr="005A56A5" w:rsidRDefault="00F7383B" w:rsidP="004353F2">
      <w:pPr>
        <w:numPr>
          <w:ilvl w:val="0"/>
          <w:numId w:val="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16" w:anchor="10" w:history="1">
        <w:r w:rsidR="004353F2" w:rsidRPr="005A56A5">
          <w:rPr>
            <w:rFonts w:ascii="Times New Roman" w:eastAsia="Times New Roman" w:hAnsi="Times New Roman" w:cs="Times New Roman"/>
            <w:color w:val="CD3333"/>
            <w:kern w:val="0"/>
            <w:sz w:val="24"/>
            <w:szCs w:val="24"/>
            <w:u w:val="single"/>
            <w:lang w:val="bg-BG"/>
            <w14:ligatures w14:val="none"/>
          </w:rPr>
          <w:t>Определяне на „</w:t>
        </w:r>
        <w:r w:rsidRPr="005A56A5">
          <w:rPr>
            <w:rFonts w:ascii="Times New Roman" w:eastAsia="Times New Roman" w:hAnsi="Times New Roman" w:cs="Times New Roman"/>
            <w:color w:val="CD3333"/>
            <w:kern w:val="0"/>
            <w:sz w:val="24"/>
            <w:szCs w:val="24"/>
            <w:u w:val="single"/>
            <w:lang w:val="bg-BG"/>
            <w14:ligatures w14:val="none"/>
          </w:rPr>
          <w:t>фактически</w:t>
        </w:r>
        <w:r w:rsidR="004353F2" w:rsidRPr="005A56A5">
          <w:rPr>
            <w:rFonts w:ascii="Times New Roman" w:eastAsia="Times New Roman" w:hAnsi="Times New Roman" w:cs="Times New Roman"/>
            <w:color w:val="CD3333"/>
            <w:kern w:val="0"/>
            <w:sz w:val="24"/>
            <w:szCs w:val="24"/>
            <w:u w:val="single"/>
            <w:lang w:val="bg-BG"/>
            <w14:ligatures w14:val="none"/>
          </w:rPr>
          <w:t xml:space="preserve"> агент“</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127BAB" w:rsidRPr="005A56A5">
          <w:rPr>
            <w:rFonts w:ascii="Times New Roman" w:eastAsia="Times New Roman" w:hAnsi="Times New Roman" w:cs="Times New Roman"/>
            <w:color w:val="CD3333"/>
            <w:kern w:val="0"/>
            <w:sz w:val="24"/>
            <w:szCs w:val="24"/>
            <w:u w:val="single"/>
            <w:lang w:val="bg-BG"/>
            <w14:ligatures w14:val="none"/>
          </w:rPr>
          <w:t>МСФО</w:t>
        </w:r>
        <w:r w:rsidR="00780FA7" w:rsidRPr="005A56A5">
          <w:rPr>
            <w:rFonts w:ascii="Times New Roman" w:eastAsia="Times New Roman" w:hAnsi="Times New Roman" w:cs="Times New Roman"/>
            <w:color w:val="CD3333"/>
            <w:kern w:val="0"/>
            <w:sz w:val="24"/>
            <w:szCs w:val="24"/>
            <w:u w:val="single"/>
            <w:lang w:val="bg-BG"/>
            <w14:ligatures w14:val="none"/>
          </w:rPr>
          <w:t xml:space="preserve"> 10)—</w:t>
        </w:r>
        <w:r w:rsidR="004353F2" w:rsidRPr="005A56A5">
          <w:rPr>
            <w:lang w:val="bg-BG"/>
          </w:rPr>
          <w:t xml:space="preserve"> </w:t>
        </w:r>
        <w:r w:rsidR="004353F2" w:rsidRPr="005A56A5">
          <w:rPr>
            <w:rFonts w:ascii="Times New Roman" w:eastAsia="Times New Roman" w:hAnsi="Times New Roman" w:cs="Times New Roman"/>
            <w:color w:val="CD3333"/>
            <w:kern w:val="0"/>
            <w:sz w:val="24"/>
            <w:szCs w:val="24"/>
            <w:u w:val="single"/>
            <w:lang w:val="bg-BG"/>
            <w14:ligatures w14:val="none"/>
          </w:rPr>
          <w:t xml:space="preserve">потенциално годишно подобрение </w:t>
        </w:r>
        <w:r w:rsidR="00780FA7" w:rsidRPr="005A56A5">
          <w:rPr>
            <w:rFonts w:ascii="Times New Roman" w:eastAsia="Times New Roman" w:hAnsi="Times New Roman" w:cs="Times New Roman"/>
            <w:color w:val="CD3333"/>
            <w:kern w:val="0"/>
            <w:sz w:val="24"/>
            <w:szCs w:val="24"/>
            <w:u w:val="single"/>
            <w:lang w:val="bg-BG"/>
            <w14:ligatures w14:val="none"/>
          </w:rPr>
          <w:t>(</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12</w:t>
        </w:r>
        <w:r w:rsidR="004353F2" w:rsidRPr="005A56A5">
          <w:rPr>
            <w:rFonts w:ascii="Times New Roman" w:eastAsia="Times New Roman" w:hAnsi="Times New Roman" w:cs="Times New Roman"/>
            <w:color w:val="CD3333"/>
            <w:kern w:val="0"/>
            <w:sz w:val="24"/>
            <w:szCs w:val="24"/>
            <w:u w:val="single"/>
            <w:lang w:val="bg-BG"/>
            <w14:ligatures w14:val="none"/>
          </w:rPr>
          <w:t>Г</w:t>
        </w:r>
        <w:r w:rsidR="00780FA7" w:rsidRPr="005A56A5">
          <w:rPr>
            <w:rFonts w:ascii="Times New Roman" w:eastAsia="Times New Roman" w:hAnsi="Times New Roman" w:cs="Times New Roman"/>
            <w:color w:val="CD3333"/>
            <w:kern w:val="0"/>
            <w:sz w:val="24"/>
            <w:szCs w:val="24"/>
            <w:u w:val="single"/>
            <w:lang w:val="bg-BG"/>
            <w14:ligatures w14:val="none"/>
          </w:rPr>
          <w:t>)</w:t>
        </w:r>
      </w:hyperlink>
    </w:p>
    <w:p w14:paraId="270E8D68" w14:textId="1564F1ED" w:rsidR="00780FA7" w:rsidRPr="005A56A5" w:rsidRDefault="00F7383B" w:rsidP="004353F2">
      <w:pPr>
        <w:numPr>
          <w:ilvl w:val="0"/>
          <w:numId w:val="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17" w:anchor="11" w:history="1">
        <w:r w:rsidR="004353F2" w:rsidRPr="005A56A5">
          <w:rPr>
            <w:rFonts w:ascii="Times New Roman" w:eastAsia="Times New Roman" w:hAnsi="Times New Roman" w:cs="Times New Roman"/>
            <w:color w:val="CD3333"/>
            <w:kern w:val="0"/>
            <w:sz w:val="24"/>
            <w:szCs w:val="24"/>
            <w:u w:val="single"/>
            <w:lang w:val="bg-BG"/>
            <w14:ligatures w14:val="none"/>
          </w:rPr>
          <w:t>Цена на сделката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127BAB" w:rsidRPr="005A56A5">
          <w:rPr>
            <w:rFonts w:ascii="Times New Roman" w:eastAsia="Times New Roman" w:hAnsi="Times New Roman" w:cs="Times New Roman"/>
            <w:color w:val="CD3333"/>
            <w:kern w:val="0"/>
            <w:sz w:val="24"/>
            <w:szCs w:val="24"/>
            <w:u w:val="single"/>
            <w:lang w:val="bg-BG"/>
            <w14:ligatures w14:val="none"/>
          </w:rPr>
          <w:t>МСФО</w:t>
        </w:r>
        <w:r w:rsidR="00780FA7" w:rsidRPr="005A56A5">
          <w:rPr>
            <w:rFonts w:ascii="Times New Roman" w:eastAsia="Times New Roman" w:hAnsi="Times New Roman" w:cs="Times New Roman"/>
            <w:color w:val="CD3333"/>
            <w:kern w:val="0"/>
            <w:sz w:val="24"/>
            <w:szCs w:val="24"/>
            <w:u w:val="single"/>
            <w:lang w:val="bg-BG"/>
            <w14:ligatures w14:val="none"/>
          </w:rPr>
          <w:t xml:space="preserve"> 9)—</w:t>
        </w:r>
        <w:r w:rsidR="004353F2" w:rsidRPr="005A56A5">
          <w:rPr>
            <w:lang w:val="bg-BG"/>
          </w:rPr>
          <w:t xml:space="preserve"> </w:t>
        </w:r>
        <w:r w:rsidR="004353F2" w:rsidRPr="005A56A5">
          <w:rPr>
            <w:rFonts w:ascii="Times New Roman" w:eastAsia="Times New Roman" w:hAnsi="Times New Roman" w:cs="Times New Roman"/>
            <w:color w:val="CD3333"/>
            <w:kern w:val="0"/>
            <w:sz w:val="24"/>
            <w:szCs w:val="24"/>
            <w:u w:val="single"/>
            <w:lang w:val="bg-BG"/>
            <w14:ligatures w14:val="none"/>
          </w:rPr>
          <w:t xml:space="preserve">потенциално годишно подобрение </w:t>
        </w:r>
        <w:r w:rsidR="00780FA7" w:rsidRPr="005A56A5">
          <w:rPr>
            <w:rFonts w:ascii="Times New Roman" w:eastAsia="Times New Roman" w:hAnsi="Times New Roman" w:cs="Times New Roman"/>
            <w:color w:val="CD3333"/>
            <w:kern w:val="0"/>
            <w:sz w:val="24"/>
            <w:szCs w:val="24"/>
            <w:u w:val="single"/>
            <w:lang w:val="bg-BG"/>
            <w14:ligatures w14:val="none"/>
          </w:rPr>
          <w:t>(</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12</w:t>
        </w:r>
        <w:r w:rsidR="004353F2" w:rsidRPr="005A56A5">
          <w:rPr>
            <w:rFonts w:ascii="Times New Roman" w:eastAsia="Times New Roman" w:hAnsi="Times New Roman" w:cs="Times New Roman"/>
            <w:color w:val="CD3333"/>
            <w:kern w:val="0"/>
            <w:sz w:val="24"/>
            <w:szCs w:val="24"/>
            <w:u w:val="single"/>
            <w:lang w:val="bg-BG"/>
            <w14:ligatures w14:val="none"/>
          </w:rPr>
          <w:t>Д</w:t>
        </w:r>
        <w:r w:rsidR="00780FA7" w:rsidRPr="005A56A5">
          <w:rPr>
            <w:rFonts w:ascii="Times New Roman" w:eastAsia="Times New Roman" w:hAnsi="Times New Roman" w:cs="Times New Roman"/>
            <w:color w:val="CD3333"/>
            <w:kern w:val="0"/>
            <w:sz w:val="24"/>
            <w:szCs w:val="24"/>
            <w:u w:val="single"/>
            <w:lang w:val="bg-BG"/>
            <w14:ligatures w14:val="none"/>
          </w:rPr>
          <w:t>)</w:t>
        </w:r>
      </w:hyperlink>
    </w:p>
    <w:p w14:paraId="745387CC" w14:textId="49BE97DB" w:rsidR="00780FA7" w:rsidRPr="005A56A5" w:rsidRDefault="00F7383B" w:rsidP="004353F2">
      <w:pPr>
        <w:numPr>
          <w:ilvl w:val="0"/>
          <w:numId w:val="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18" w:anchor="12" w:history="1">
        <w:r w:rsidR="004353F2" w:rsidRPr="005A56A5">
          <w:rPr>
            <w:rFonts w:ascii="Times New Roman" w:eastAsia="Times New Roman" w:hAnsi="Times New Roman" w:cs="Times New Roman"/>
            <w:color w:val="CD3333"/>
            <w:kern w:val="0"/>
            <w:sz w:val="24"/>
            <w:szCs w:val="24"/>
            <w:u w:val="single"/>
            <w:lang w:val="bg-BG"/>
            <w14:ligatures w14:val="none"/>
          </w:rPr>
          <w:t>Метод на цената на придобиване</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127BAB" w:rsidRPr="005A56A5">
          <w:rPr>
            <w:rFonts w:ascii="Times New Roman" w:eastAsia="Times New Roman" w:hAnsi="Times New Roman" w:cs="Times New Roman"/>
            <w:color w:val="CD3333"/>
            <w:kern w:val="0"/>
            <w:sz w:val="24"/>
            <w:szCs w:val="24"/>
            <w:u w:val="single"/>
            <w:lang w:val="bg-BG"/>
            <w14:ligatures w14:val="none"/>
          </w:rPr>
          <w:t>МСС</w:t>
        </w:r>
        <w:r w:rsidR="00780FA7" w:rsidRPr="005A56A5">
          <w:rPr>
            <w:rFonts w:ascii="Times New Roman" w:eastAsia="Times New Roman" w:hAnsi="Times New Roman" w:cs="Times New Roman"/>
            <w:color w:val="CD3333"/>
            <w:kern w:val="0"/>
            <w:sz w:val="24"/>
            <w:szCs w:val="24"/>
            <w:u w:val="single"/>
            <w:lang w:val="bg-BG"/>
            <w14:ligatures w14:val="none"/>
          </w:rPr>
          <w:t xml:space="preserve"> 7)—</w:t>
        </w:r>
        <w:r w:rsidR="004353F2" w:rsidRPr="005A56A5">
          <w:rPr>
            <w:lang w:val="bg-BG"/>
          </w:rPr>
          <w:t xml:space="preserve"> </w:t>
        </w:r>
        <w:r w:rsidR="004353F2" w:rsidRPr="005A56A5">
          <w:rPr>
            <w:rFonts w:ascii="Times New Roman" w:eastAsia="Times New Roman" w:hAnsi="Times New Roman" w:cs="Times New Roman"/>
            <w:color w:val="CD3333"/>
            <w:kern w:val="0"/>
            <w:sz w:val="24"/>
            <w:szCs w:val="24"/>
            <w:u w:val="single"/>
            <w:lang w:val="bg-BG"/>
            <w14:ligatures w14:val="none"/>
          </w:rPr>
          <w:t xml:space="preserve">потенциално годишно подобрение </w:t>
        </w:r>
        <w:r w:rsidR="00780FA7" w:rsidRPr="005A56A5">
          <w:rPr>
            <w:rFonts w:ascii="Times New Roman" w:eastAsia="Times New Roman" w:hAnsi="Times New Roman" w:cs="Times New Roman"/>
            <w:color w:val="CD3333"/>
            <w:kern w:val="0"/>
            <w:sz w:val="24"/>
            <w:szCs w:val="24"/>
            <w:u w:val="single"/>
            <w:lang w:val="bg-BG"/>
            <w14:ligatures w14:val="none"/>
          </w:rPr>
          <w:t>(</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12</w:t>
        </w:r>
        <w:r w:rsidR="004353F2" w:rsidRPr="005A56A5">
          <w:rPr>
            <w:rFonts w:ascii="Times New Roman" w:eastAsia="Times New Roman" w:hAnsi="Times New Roman" w:cs="Times New Roman"/>
            <w:color w:val="CD3333"/>
            <w:kern w:val="0"/>
            <w:sz w:val="24"/>
            <w:szCs w:val="24"/>
            <w:u w:val="single"/>
            <w:lang w:val="bg-BG"/>
            <w14:ligatures w14:val="none"/>
          </w:rPr>
          <w:t>Е</w:t>
        </w:r>
        <w:r w:rsidR="00780FA7" w:rsidRPr="005A56A5">
          <w:rPr>
            <w:rFonts w:ascii="Times New Roman" w:eastAsia="Times New Roman" w:hAnsi="Times New Roman" w:cs="Times New Roman"/>
            <w:color w:val="CD3333"/>
            <w:kern w:val="0"/>
            <w:sz w:val="24"/>
            <w:szCs w:val="24"/>
            <w:u w:val="single"/>
            <w:lang w:val="bg-BG"/>
            <w14:ligatures w14:val="none"/>
          </w:rPr>
          <w:t>)</w:t>
        </w:r>
      </w:hyperlink>
    </w:p>
    <w:p w14:paraId="438DA614" w14:textId="04C7E4AA" w:rsidR="00780FA7" w:rsidRPr="005A56A5" w:rsidRDefault="00F7383B" w:rsidP="004353F2">
      <w:pPr>
        <w:numPr>
          <w:ilvl w:val="0"/>
          <w:numId w:val="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19" w:anchor="13" w:history="1">
        <w:r w:rsidR="004353F2" w:rsidRPr="005A56A5">
          <w:rPr>
            <w:rFonts w:ascii="Times New Roman" w:eastAsia="Times New Roman" w:hAnsi="Times New Roman" w:cs="Times New Roman"/>
            <w:color w:val="CD3333"/>
            <w:kern w:val="0"/>
            <w:sz w:val="24"/>
            <w:szCs w:val="24"/>
            <w:u w:val="single"/>
            <w:lang w:val="bg-BG"/>
            <w14:ligatures w14:val="none"/>
          </w:rPr>
          <w:t>Печалба или загуба при отписване</w:t>
        </w:r>
        <w:r w:rsidR="00780FA7" w:rsidRPr="005A56A5">
          <w:rPr>
            <w:rFonts w:ascii="Times New Roman" w:eastAsia="Times New Roman" w:hAnsi="Times New Roman" w:cs="Times New Roman"/>
            <w:color w:val="CD3333"/>
            <w:kern w:val="0"/>
            <w:sz w:val="24"/>
            <w:szCs w:val="24"/>
            <w:u w:val="single"/>
            <w:lang w:val="bg-BG"/>
            <w14:ligatures w14:val="none"/>
          </w:rPr>
          <w:t xml:space="preserve"> (</w:t>
        </w:r>
        <w:r w:rsidR="00127BAB" w:rsidRPr="005A56A5">
          <w:rPr>
            <w:rFonts w:ascii="Times New Roman" w:eastAsia="Times New Roman" w:hAnsi="Times New Roman" w:cs="Times New Roman"/>
            <w:color w:val="CD3333"/>
            <w:kern w:val="0"/>
            <w:sz w:val="24"/>
            <w:szCs w:val="24"/>
            <w:u w:val="single"/>
            <w:lang w:val="bg-BG"/>
            <w14:ligatures w14:val="none"/>
          </w:rPr>
          <w:t>МСФО</w:t>
        </w:r>
        <w:r w:rsidR="00780FA7" w:rsidRPr="005A56A5">
          <w:rPr>
            <w:rFonts w:ascii="Times New Roman" w:eastAsia="Times New Roman" w:hAnsi="Times New Roman" w:cs="Times New Roman"/>
            <w:color w:val="CD3333"/>
            <w:kern w:val="0"/>
            <w:sz w:val="24"/>
            <w:szCs w:val="24"/>
            <w:u w:val="single"/>
            <w:lang w:val="bg-BG"/>
            <w14:ligatures w14:val="none"/>
          </w:rPr>
          <w:t xml:space="preserve"> 7)—</w:t>
        </w:r>
        <w:r w:rsidR="004353F2" w:rsidRPr="005A56A5">
          <w:rPr>
            <w:lang w:val="bg-BG"/>
          </w:rPr>
          <w:t xml:space="preserve"> </w:t>
        </w:r>
        <w:r w:rsidR="004353F2" w:rsidRPr="005A56A5">
          <w:rPr>
            <w:rFonts w:ascii="Times New Roman" w:eastAsia="Times New Roman" w:hAnsi="Times New Roman" w:cs="Times New Roman"/>
            <w:color w:val="CD3333"/>
            <w:kern w:val="0"/>
            <w:sz w:val="24"/>
            <w:szCs w:val="24"/>
            <w:u w:val="single"/>
            <w:lang w:val="bg-BG"/>
            <w14:ligatures w14:val="none"/>
          </w:rPr>
          <w:t xml:space="preserve">потенциално годишно подобрение </w:t>
        </w:r>
        <w:r w:rsidR="00780FA7" w:rsidRPr="005A56A5">
          <w:rPr>
            <w:rFonts w:ascii="Times New Roman" w:eastAsia="Times New Roman" w:hAnsi="Times New Roman" w:cs="Times New Roman"/>
            <w:color w:val="CD3333"/>
            <w:kern w:val="0"/>
            <w:sz w:val="24"/>
            <w:szCs w:val="24"/>
            <w:u w:val="single"/>
            <w:lang w:val="bg-BG"/>
            <w14:ligatures w14:val="none"/>
          </w:rPr>
          <w:t>(</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12</w:t>
        </w:r>
        <w:r w:rsidR="004353F2" w:rsidRPr="005A56A5">
          <w:rPr>
            <w:rFonts w:ascii="Times New Roman" w:eastAsia="Times New Roman" w:hAnsi="Times New Roman" w:cs="Times New Roman"/>
            <w:color w:val="CD3333"/>
            <w:kern w:val="0"/>
            <w:sz w:val="24"/>
            <w:szCs w:val="24"/>
            <w:u w:val="single"/>
            <w:lang w:val="bg-BG"/>
            <w14:ligatures w14:val="none"/>
          </w:rPr>
          <w:t>Ж</w:t>
        </w:r>
        <w:r w:rsidR="00780FA7" w:rsidRPr="005A56A5">
          <w:rPr>
            <w:rFonts w:ascii="Times New Roman" w:eastAsia="Times New Roman" w:hAnsi="Times New Roman" w:cs="Times New Roman"/>
            <w:color w:val="CD3333"/>
            <w:kern w:val="0"/>
            <w:sz w:val="24"/>
            <w:szCs w:val="24"/>
            <w:u w:val="single"/>
            <w:lang w:val="bg-BG"/>
            <w14:ligatures w14:val="none"/>
          </w:rPr>
          <w:t>)</w:t>
        </w:r>
      </w:hyperlink>
    </w:p>
    <w:p w14:paraId="2C29289B" w14:textId="1401DFCC" w:rsidR="00780FA7" w:rsidRPr="005A56A5" w:rsidRDefault="00F7383B" w:rsidP="004353F2">
      <w:pPr>
        <w:numPr>
          <w:ilvl w:val="0"/>
          <w:numId w:val="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hyperlink r:id="rId20" w:anchor="14" w:history="1">
        <w:r w:rsidR="004353F2" w:rsidRPr="005A56A5">
          <w:rPr>
            <w:rFonts w:ascii="Times New Roman" w:eastAsia="Times New Roman" w:hAnsi="Times New Roman" w:cs="Times New Roman"/>
            <w:color w:val="CD3333"/>
            <w:kern w:val="0"/>
            <w:sz w:val="24"/>
            <w:szCs w:val="24"/>
            <w:u w:val="single"/>
            <w:lang w:val="bg-BG"/>
            <w14:ligatures w14:val="none"/>
          </w:rPr>
          <w:t>Оповестяване на кредитния риск</w:t>
        </w:r>
        <w:r w:rsidR="00780FA7" w:rsidRPr="005A56A5">
          <w:rPr>
            <w:rFonts w:ascii="Times New Roman" w:eastAsia="Times New Roman" w:hAnsi="Times New Roman" w:cs="Times New Roman"/>
            <w:color w:val="CD3333"/>
            <w:kern w:val="0"/>
            <w:sz w:val="24"/>
            <w:szCs w:val="24"/>
            <w:u w:val="single"/>
            <w:lang w:val="bg-BG"/>
            <w14:ligatures w14:val="none"/>
          </w:rPr>
          <w:t>—</w:t>
        </w:r>
        <w:r w:rsidR="004353F2" w:rsidRPr="005A56A5">
          <w:rPr>
            <w:lang w:val="bg-BG"/>
          </w:rPr>
          <w:t xml:space="preserve"> </w:t>
        </w:r>
        <w:r w:rsidR="004353F2" w:rsidRPr="005A56A5">
          <w:rPr>
            <w:rFonts w:ascii="Times New Roman" w:eastAsia="Times New Roman" w:hAnsi="Times New Roman" w:cs="Times New Roman"/>
            <w:color w:val="CD3333"/>
            <w:kern w:val="0"/>
            <w:sz w:val="24"/>
            <w:szCs w:val="24"/>
            <w:u w:val="single"/>
            <w:lang w:val="bg-BG"/>
            <w14:ligatures w14:val="none"/>
          </w:rPr>
          <w:t xml:space="preserve">потенциално годишно подобрение </w:t>
        </w:r>
        <w:r w:rsidR="00780FA7" w:rsidRPr="005A56A5">
          <w:rPr>
            <w:rFonts w:ascii="Times New Roman" w:eastAsia="Times New Roman" w:hAnsi="Times New Roman" w:cs="Times New Roman"/>
            <w:color w:val="CD3333"/>
            <w:kern w:val="0"/>
            <w:sz w:val="24"/>
            <w:szCs w:val="24"/>
            <w:u w:val="single"/>
            <w:lang w:val="bg-BG"/>
            <w14:ligatures w14:val="none"/>
          </w:rPr>
          <w:t>(</w:t>
        </w:r>
        <w:r w:rsidR="00D56402" w:rsidRPr="005A56A5">
          <w:rPr>
            <w:rFonts w:ascii="Times New Roman" w:eastAsia="Times New Roman" w:hAnsi="Times New Roman" w:cs="Times New Roman"/>
            <w:color w:val="CD3333"/>
            <w:kern w:val="0"/>
            <w:sz w:val="24"/>
            <w:szCs w:val="24"/>
            <w:u w:val="single"/>
            <w:lang w:val="bg-BG"/>
            <w14:ligatures w14:val="none"/>
          </w:rPr>
          <w:t>Документ по програмата</w:t>
        </w:r>
        <w:r w:rsidR="00780FA7" w:rsidRPr="005A56A5">
          <w:rPr>
            <w:rFonts w:ascii="Times New Roman" w:eastAsia="Times New Roman" w:hAnsi="Times New Roman" w:cs="Times New Roman"/>
            <w:color w:val="CD3333"/>
            <w:kern w:val="0"/>
            <w:sz w:val="24"/>
            <w:szCs w:val="24"/>
            <w:u w:val="single"/>
            <w:lang w:val="bg-BG"/>
            <w14:ligatures w14:val="none"/>
          </w:rPr>
          <w:t xml:space="preserve"> 12</w:t>
        </w:r>
        <w:r w:rsidR="004353F2" w:rsidRPr="005A56A5">
          <w:rPr>
            <w:rFonts w:ascii="Times New Roman" w:eastAsia="Times New Roman" w:hAnsi="Times New Roman" w:cs="Times New Roman"/>
            <w:color w:val="CD3333"/>
            <w:kern w:val="0"/>
            <w:sz w:val="24"/>
            <w:szCs w:val="24"/>
            <w:u w:val="single"/>
            <w:lang w:val="bg-BG"/>
            <w14:ligatures w14:val="none"/>
          </w:rPr>
          <w:t xml:space="preserve"> З</w:t>
        </w:r>
        <w:r w:rsidR="00780FA7" w:rsidRPr="005A56A5">
          <w:rPr>
            <w:rFonts w:ascii="Times New Roman" w:eastAsia="Times New Roman" w:hAnsi="Times New Roman" w:cs="Times New Roman"/>
            <w:color w:val="CD3333"/>
            <w:kern w:val="0"/>
            <w:sz w:val="24"/>
            <w:szCs w:val="24"/>
            <w:u w:val="single"/>
            <w:lang w:val="bg-BG"/>
            <w14:ligatures w14:val="none"/>
          </w:rPr>
          <w:t>)</w:t>
        </w:r>
      </w:hyperlink>
    </w:p>
    <w:p w14:paraId="420785E5" w14:textId="2F1DBB3B" w:rsidR="00780FA7" w:rsidRPr="005A56A5" w:rsidRDefault="00ED20B1" w:rsidP="00780FA7">
      <w:pPr>
        <w:spacing w:before="450" w:after="300" w:line="240" w:lineRule="auto"/>
        <w:outlineLvl w:val="1"/>
        <w:rPr>
          <w:rFonts w:ascii="Times New Roman" w:eastAsia="Times New Roman" w:hAnsi="Times New Roman" w:cs="Times New Roman"/>
          <w:b/>
          <w:bCs/>
          <w:color w:val="333333"/>
          <w:kern w:val="0"/>
          <w:sz w:val="34"/>
          <w:szCs w:val="34"/>
          <w:lang w:val="bg-BG"/>
          <w14:ligatures w14:val="none"/>
        </w:rPr>
      </w:pPr>
      <w:r w:rsidRPr="005A56A5">
        <w:rPr>
          <w:rFonts w:ascii="Times New Roman" w:eastAsia="Times New Roman" w:hAnsi="Times New Roman" w:cs="Times New Roman"/>
          <w:b/>
          <w:bCs/>
          <w:color w:val="333333"/>
          <w:kern w:val="0"/>
          <w:sz w:val="34"/>
          <w:szCs w:val="34"/>
          <w:lang w:val="bg-BG"/>
          <w14:ligatures w14:val="none"/>
        </w:rPr>
        <w:t>Изследователска работа и изготвяне и въвеждане на стандарти</w:t>
      </w:r>
    </w:p>
    <w:p w14:paraId="35A875E3" w14:textId="24F68040" w:rsidR="00780FA7" w:rsidRPr="005A56A5" w:rsidRDefault="0001307C" w:rsidP="00780FA7">
      <w:pPr>
        <w:spacing w:before="100" w:beforeAutospacing="1" w:after="100" w:afterAutospacing="1" w:line="240" w:lineRule="auto"/>
        <w:outlineLvl w:val="2"/>
        <w:rPr>
          <w:rFonts w:ascii="Times New Roman" w:eastAsia="Times New Roman" w:hAnsi="Times New Roman" w:cs="Times New Roman"/>
          <w:b/>
          <w:bCs/>
          <w:color w:val="CD3333"/>
          <w:kern w:val="0"/>
          <w:sz w:val="26"/>
          <w:szCs w:val="26"/>
          <w:lang w:val="bg-BG"/>
          <w14:ligatures w14:val="none"/>
        </w:rPr>
      </w:pPr>
      <w:r w:rsidRPr="005A56A5">
        <w:rPr>
          <w:rFonts w:ascii="Times New Roman" w:eastAsia="Times New Roman" w:hAnsi="Times New Roman" w:cs="Times New Roman"/>
          <w:b/>
          <w:bCs/>
          <w:color w:val="CD3333"/>
          <w:kern w:val="0"/>
          <w:sz w:val="26"/>
          <w:szCs w:val="26"/>
          <w:lang w:val="bg-BG"/>
          <w14:ligatures w14:val="none"/>
        </w:rPr>
        <w:t>Динамично управление на риска</w:t>
      </w:r>
      <w:r w:rsidR="00780FA7" w:rsidRPr="005A56A5">
        <w:rPr>
          <w:rFonts w:ascii="Times New Roman" w:eastAsia="Times New Roman" w:hAnsi="Times New Roman" w:cs="Times New Roman"/>
          <w:b/>
          <w:bCs/>
          <w:color w:val="CD3333"/>
          <w:kern w:val="0"/>
          <w:sz w:val="26"/>
          <w:szCs w:val="26"/>
          <w:lang w:val="bg-BG"/>
          <w14:ligatures w14:val="none"/>
        </w:rPr>
        <w:t xml:space="preserve"> (</w:t>
      </w:r>
      <w:r w:rsidR="00D56402" w:rsidRPr="005A56A5">
        <w:rPr>
          <w:rFonts w:ascii="Times New Roman" w:eastAsia="Times New Roman" w:hAnsi="Times New Roman" w:cs="Times New Roman"/>
          <w:b/>
          <w:bCs/>
          <w:color w:val="CD3333"/>
          <w:kern w:val="0"/>
          <w:sz w:val="26"/>
          <w:szCs w:val="26"/>
          <w:lang w:val="bg-BG"/>
          <w14:ligatures w14:val="none"/>
        </w:rPr>
        <w:t>Документ по програмата</w:t>
      </w:r>
      <w:r w:rsidR="00780FA7" w:rsidRPr="005A56A5">
        <w:rPr>
          <w:rFonts w:ascii="Times New Roman" w:eastAsia="Times New Roman" w:hAnsi="Times New Roman" w:cs="Times New Roman"/>
          <w:b/>
          <w:bCs/>
          <w:color w:val="CD3333"/>
          <w:kern w:val="0"/>
          <w:sz w:val="26"/>
          <w:szCs w:val="26"/>
          <w:lang w:val="bg-BG"/>
          <w14:ligatures w14:val="none"/>
        </w:rPr>
        <w:t xml:space="preserve"> 4)</w:t>
      </w:r>
    </w:p>
    <w:p w14:paraId="1ABF5B2F" w14:textId="38CDA962" w:rsidR="00780FA7" w:rsidRPr="005A56A5" w:rsidRDefault="00924C84"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На 22 февруари 2023 г. IASB проведе заседание, за да продължи обсъжданията си във връзка с разработването на модела </w:t>
      </w:r>
      <w:r w:rsidR="00701905">
        <w:rPr>
          <w:rFonts w:ascii="Helvetica" w:eastAsia="Times New Roman" w:hAnsi="Helvetica" w:cs="Helvetica"/>
          <w:color w:val="575757"/>
          <w:kern w:val="0"/>
          <w:sz w:val="24"/>
          <w:szCs w:val="24"/>
          <w:lang w:val="bg-BG"/>
          <w14:ligatures w14:val="none"/>
        </w:rPr>
        <w:t>н</w:t>
      </w:r>
      <w:r w:rsidRPr="005A56A5">
        <w:rPr>
          <w:rFonts w:ascii="Helvetica" w:eastAsia="Times New Roman" w:hAnsi="Helvetica" w:cs="Helvetica"/>
          <w:color w:val="575757"/>
          <w:kern w:val="0"/>
          <w:sz w:val="24"/>
          <w:szCs w:val="24"/>
          <w:lang w:val="bg-BG"/>
          <w14:ligatures w14:val="none"/>
        </w:rPr>
        <w:t>а динамично управление на риска</w:t>
      </w:r>
      <w:r w:rsidR="00780FA7" w:rsidRPr="005A56A5">
        <w:rPr>
          <w:rFonts w:ascii="Helvetica" w:eastAsia="Times New Roman" w:hAnsi="Helvetica" w:cs="Helvetica"/>
          <w:color w:val="575757"/>
          <w:kern w:val="0"/>
          <w:sz w:val="24"/>
          <w:szCs w:val="24"/>
          <w:lang w:val="bg-BG"/>
          <w14:ligatures w14:val="none"/>
        </w:rPr>
        <w:t xml:space="preserve">. IASB </w:t>
      </w:r>
      <w:r w:rsidRPr="005A56A5">
        <w:rPr>
          <w:rFonts w:ascii="Helvetica" w:eastAsia="Times New Roman" w:hAnsi="Helvetica" w:cs="Helvetica"/>
          <w:color w:val="575757"/>
          <w:kern w:val="0"/>
          <w:sz w:val="24"/>
          <w:szCs w:val="24"/>
          <w:lang w:val="bg-BG"/>
          <w14:ligatures w14:val="none"/>
        </w:rPr>
        <w:t>обсъди</w:t>
      </w:r>
      <w:r w:rsidR="00780FA7" w:rsidRPr="005A56A5">
        <w:rPr>
          <w:rFonts w:ascii="Helvetica" w:eastAsia="Times New Roman" w:hAnsi="Helvetica" w:cs="Helvetica"/>
          <w:color w:val="575757"/>
          <w:kern w:val="0"/>
          <w:sz w:val="24"/>
          <w:szCs w:val="24"/>
          <w:lang w:val="bg-BG"/>
          <w14:ligatures w14:val="none"/>
        </w:rPr>
        <w:t>:</w:t>
      </w:r>
    </w:p>
    <w:p w14:paraId="3A19EC1F" w14:textId="270792AE" w:rsidR="00780FA7" w:rsidRPr="005A56A5" w:rsidRDefault="0001307C" w:rsidP="00780FA7">
      <w:pPr>
        <w:numPr>
          <w:ilvl w:val="0"/>
          <w:numId w:val="4"/>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дали финансови активи, оценени по справедлива стойност през друг всеобхватен доход</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или по справедлива стойност през печалбата или загубата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отговарят на условията за включване при определяне на текущата нетна открита рискова позиция на предприятието</w:t>
      </w:r>
      <w:r w:rsidR="00780FA7" w:rsidRPr="005A56A5">
        <w:rPr>
          <w:rFonts w:ascii="Times New Roman" w:eastAsia="Times New Roman" w:hAnsi="Times New Roman" w:cs="Times New Roman"/>
          <w:color w:val="575757"/>
          <w:kern w:val="0"/>
          <w:sz w:val="24"/>
          <w:szCs w:val="24"/>
          <w:lang w:val="bg-BG"/>
          <w14:ligatures w14:val="none"/>
        </w:rPr>
        <w:t xml:space="preserve"> (</w:t>
      </w:r>
      <w:r w:rsidR="00D56402" w:rsidRPr="005A56A5">
        <w:rPr>
          <w:rFonts w:ascii="Times New Roman" w:eastAsia="Times New Roman" w:hAnsi="Times New Roman" w:cs="Times New Roman"/>
          <w:color w:val="575757"/>
          <w:kern w:val="0"/>
          <w:sz w:val="24"/>
          <w:szCs w:val="24"/>
          <w:lang w:val="bg-BG"/>
          <w14:ligatures w14:val="none"/>
        </w:rPr>
        <w:t>Документ по програмата</w:t>
      </w:r>
      <w:r w:rsidR="00780FA7" w:rsidRPr="005A56A5">
        <w:rPr>
          <w:rFonts w:ascii="Times New Roman" w:eastAsia="Times New Roman" w:hAnsi="Times New Roman" w:cs="Times New Roman"/>
          <w:color w:val="575757"/>
          <w:kern w:val="0"/>
          <w:sz w:val="24"/>
          <w:szCs w:val="24"/>
          <w:lang w:val="bg-BG"/>
          <w14:ligatures w14:val="none"/>
        </w:rPr>
        <w:t xml:space="preserve"> 4A); </w:t>
      </w:r>
      <w:r w:rsidRPr="005A56A5">
        <w:rPr>
          <w:rFonts w:ascii="Times New Roman" w:eastAsia="Times New Roman" w:hAnsi="Times New Roman" w:cs="Times New Roman"/>
          <w:color w:val="575757"/>
          <w:kern w:val="0"/>
          <w:sz w:val="24"/>
          <w:szCs w:val="24"/>
          <w:lang w:val="bg-BG"/>
          <w14:ligatures w14:val="none"/>
        </w:rPr>
        <w:t>и</w:t>
      </w:r>
    </w:p>
    <w:p w14:paraId="0F843722" w14:textId="799F4145" w:rsidR="00780FA7" w:rsidRPr="005A56A5" w:rsidRDefault="0001307C" w:rsidP="00780FA7">
      <w:pPr>
        <w:numPr>
          <w:ilvl w:val="0"/>
          <w:numId w:val="4"/>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дали е необходимо да се прецизира изискването за оценяване резултатите от модела на динамично управление на риска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включително как да бъдат отразени във финансовия отчет ефектите от неочаквани промени в модела</w:t>
      </w:r>
      <w:r w:rsidR="00780FA7" w:rsidRPr="005A56A5">
        <w:rPr>
          <w:rFonts w:ascii="Times New Roman" w:eastAsia="Times New Roman" w:hAnsi="Times New Roman" w:cs="Times New Roman"/>
          <w:color w:val="575757"/>
          <w:kern w:val="0"/>
          <w:sz w:val="24"/>
          <w:szCs w:val="24"/>
          <w:lang w:val="bg-BG"/>
          <w14:ligatures w14:val="none"/>
        </w:rPr>
        <w:t xml:space="preserve"> (</w:t>
      </w:r>
      <w:r w:rsidR="00D56402" w:rsidRPr="005A56A5">
        <w:rPr>
          <w:rFonts w:ascii="Times New Roman" w:eastAsia="Times New Roman" w:hAnsi="Times New Roman" w:cs="Times New Roman"/>
          <w:color w:val="575757"/>
          <w:kern w:val="0"/>
          <w:sz w:val="24"/>
          <w:szCs w:val="24"/>
          <w:lang w:val="bg-BG"/>
          <w14:ligatures w14:val="none"/>
        </w:rPr>
        <w:t>Документ по програмата</w:t>
      </w:r>
      <w:r w:rsidR="00780FA7" w:rsidRPr="005A56A5">
        <w:rPr>
          <w:rFonts w:ascii="Times New Roman" w:eastAsia="Times New Roman" w:hAnsi="Times New Roman" w:cs="Times New Roman"/>
          <w:color w:val="575757"/>
          <w:kern w:val="0"/>
          <w:sz w:val="24"/>
          <w:szCs w:val="24"/>
          <w:lang w:val="bg-BG"/>
          <w14:ligatures w14:val="none"/>
        </w:rPr>
        <w:t xml:space="preserve"> 4</w:t>
      </w:r>
      <w:r w:rsidRPr="005A56A5">
        <w:rPr>
          <w:rFonts w:ascii="Times New Roman" w:eastAsia="Times New Roman" w:hAnsi="Times New Roman" w:cs="Times New Roman"/>
          <w:color w:val="575757"/>
          <w:kern w:val="0"/>
          <w:sz w:val="24"/>
          <w:szCs w:val="24"/>
          <w:lang w:val="bg-BG"/>
          <w14:ligatures w14:val="none"/>
        </w:rPr>
        <w:t>Б</w:t>
      </w:r>
      <w:r w:rsidR="00780FA7" w:rsidRPr="005A56A5">
        <w:rPr>
          <w:rFonts w:ascii="Times New Roman" w:eastAsia="Times New Roman" w:hAnsi="Times New Roman" w:cs="Times New Roman"/>
          <w:color w:val="575757"/>
          <w:kern w:val="0"/>
          <w:sz w:val="24"/>
          <w:szCs w:val="24"/>
          <w:lang w:val="bg-BG"/>
          <w14:ligatures w14:val="none"/>
        </w:rPr>
        <w:t>).</w:t>
      </w:r>
    </w:p>
    <w:p w14:paraId="5E43CCF8" w14:textId="4F5CB60B" w:rsidR="00780FA7" w:rsidRPr="005A56A5" w:rsidRDefault="0001307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b/>
          <w:bCs/>
          <w:i/>
          <w:iCs/>
          <w:color w:val="575757"/>
          <w:kern w:val="0"/>
          <w:sz w:val="24"/>
          <w:szCs w:val="24"/>
          <w:lang w:val="bg-BG"/>
          <w14:ligatures w14:val="none"/>
        </w:rPr>
        <w:t>Позиции, отговарящи на условията за определяне в</w:t>
      </w:r>
      <w:r w:rsidR="00780FA7" w:rsidRPr="005A56A5">
        <w:rPr>
          <w:rFonts w:ascii="Helvetica" w:eastAsia="Times New Roman" w:hAnsi="Helvetica" w:cs="Helvetica"/>
          <w:b/>
          <w:bCs/>
          <w:i/>
          <w:iCs/>
          <w:color w:val="575757"/>
          <w:kern w:val="0"/>
          <w:sz w:val="24"/>
          <w:szCs w:val="24"/>
          <w:lang w:val="bg-BG"/>
          <w14:ligatures w14:val="none"/>
        </w:rPr>
        <w:t xml:space="preserve"> </w:t>
      </w:r>
      <w:r w:rsidRPr="005A56A5">
        <w:rPr>
          <w:rFonts w:ascii="Helvetica" w:eastAsia="Times New Roman" w:hAnsi="Helvetica" w:cs="Helvetica"/>
          <w:b/>
          <w:bCs/>
          <w:i/>
          <w:iCs/>
          <w:color w:val="575757"/>
          <w:kern w:val="0"/>
          <w:sz w:val="24"/>
          <w:szCs w:val="24"/>
          <w:lang w:val="bg-BG"/>
          <w14:ligatures w14:val="none"/>
        </w:rPr>
        <w:t>текущата нетна открита рискова позиция</w:t>
      </w:r>
      <w:r w:rsidR="00780FA7" w:rsidRPr="005A56A5">
        <w:rPr>
          <w:rFonts w:ascii="Helvetica" w:eastAsia="Times New Roman" w:hAnsi="Helvetica" w:cs="Helvetica"/>
          <w:b/>
          <w:bCs/>
          <w:color w:val="575757"/>
          <w:kern w:val="0"/>
          <w:sz w:val="24"/>
          <w:szCs w:val="24"/>
          <w:lang w:val="bg-BG"/>
          <w14:ligatures w14:val="none"/>
        </w:rPr>
        <w:t> (</w:t>
      </w:r>
      <w:r w:rsidR="00D56402" w:rsidRPr="005A56A5">
        <w:rPr>
          <w:rFonts w:ascii="Helvetica" w:eastAsia="Times New Roman" w:hAnsi="Helvetica" w:cs="Helvetica"/>
          <w:b/>
          <w:bCs/>
          <w:color w:val="575757"/>
          <w:kern w:val="0"/>
          <w:sz w:val="24"/>
          <w:szCs w:val="24"/>
          <w:lang w:val="bg-BG"/>
          <w14:ligatures w14:val="none"/>
        </w:rPr>
        <w:t>Документ по програмата</w:t>
      </w:r>
      <w:r w:rsidR="00780FA7" w:rsidRPr="005A56A5">
        <w:rPr>
          <w:rFonts w:ascii="Helvetica" w:eastAsia="Times New Roman" w:hAnsi="Helvetica" w:cs="Helvetica"/>
          <w:b/>
          <w:bCs/>
          <w:color w:val="575757"/>
          <w:kern w:val="0"/>
          <w:sz w:val="24"/>
          <w:szCs w:val="24"/>
          <w:lang w:val="bg-BG"/>
          <w14:ligatures w14:val="none"/>
        </w:rPr>
        <w:t xml:space="preserve"> 4A)</w:t>
      </w:r>
    </w:p>
    <w:p w14:paraId="6A1B3A15" w14:textId="6DB1C013"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01307C" w:rsidRPr="005A56A5">
        <w:rPr>
          <w:rFonts w:ascii="Helvetica" w:eastAsia="Times New Roman" w:hAnsi="Helvetica" w:cs="Helvetica"/>
          <w:color w:val="575757"/>
          <w:kern w:val="0"/>
          <w:sz w:val="24"/>
          <w:szCs w:val="24"/>
          <w:lang w:val="bg-BG"/>
          <w14:ligatures w14:val="none"/>
        </w:rPr>
        <w:t>че когато предприятието определя своята</w:t>
      </w:r>
      <w:r w:rsidR="00780FA7" w:rsidRPr="005A56A5">
        <w:rPr>
          <w:rFonts w:ascii="Helvetica" w:eastAsia="Times New Roman" w:hAnsi="Helvetica" w:cs="Helvetica"/>
          <w:color w:val="575757"/>
          <w:kern w:val="0"/>
          <w:sz w:val="24"/>
          <w:szCs w:val="24"/>
          <w:lang w:val="bg-BG"/>
          <w14:ligatures w14:val="none"/>
        </w:rPr>
        <w:t xml:space="preserve"> </w:t>
      </w:r>
      <w:r w:rsidR="0001307C" w:rsidRPr="005A56A5">
        <w:rPr>
          <w:rFonts w:ascii="Helvetica" w:eastAsia="Times New Roman" w:hAnsi="Helvetica" w:cs="Helvetica"/>
          <w:color w:val="575757"/>
          <w:kern w:val="0"/>
          <w:sz w:val="24"/>
          <w:szCs w:val="24"/>
          <w:lang w:val="bg-BG"/>
          <w14:ligatures w14:val="none"/>
        </w:rPr>
        <w:t>текущата нетна открита рискова позиция съгласно модела на динамично управление на риска</w:t>
      </w:r>
      <w:r w:rsidR="00780FA7" w:rsidRPr="005A56A5">
        <w:rPr>
          <w:rFonts w:ascii="Helvetica" w:eastAsia="Times New Roman" w:hAnsi="Helvetica" w:cs="Helvetica"/>
          <w:color w:val="575757"/>
          <w:kern w:val="0"/>
          <w:sz w:val="24"/>
          <w:szCs w:val="24"/>
          <w:lang w:val="bg-BG"/>
          <w14:ligatures w14:val="none"/>
        </w:rPr>
        <w:t xml:space="preserve">, </w:t>
      </w:r>
      <w:r w:rsidR="0001307C" w:rsidRPr="005A56A5">
        <w:rPr>
          <w:rFonts w:ascii="Helvetica" w:eastAsia="Times New Roman" w:hAnsi="Helvetica" w:cs="Helvetica"/>
          <w:color w:val="575757"/>
          <w:kern w:val="0"/>
          <w:sz w:val="24"/>
          <w:szCs w:val="24"/>
          <w:lang w:val="bg-BG"/>
          <w14:ligatures w14:val="none"/>
        </w:rPr>
        <w:t>финансови активи,</w:t>
      </w:r>
      <w:r w:rsidR="00780FA7" w:rsidRPr="005A56A5">
        <w:rPr>
          <w:rFonts w:ascii="Helvetica" w:eastAsia="Times New Roman" w:hAnsi="Helvetica" w:cs="Helvetica"/>
          <w:color w:val="575757"/>
          <w:kern w:val="0"/>
          <w:sz w:val="24"/>
          <w:szCs w:val="24"/>
          <w:lang w:val="bg-BG"/>
          <w14:ligatures w14:val="none"/>
        </w:rPr>
        <w:t xml:space="preserve"> </w:t>
      </w:r>
      <w:r w:rsidR="0001307C" w:rsidRPr="005A56A5">
        <w:rPr>
          <w:rFonts w:ascii="Helvetica" w:eastAsia="Times New Roman" w:hAnsi="Helvetica" w:cs="Helvetica"/>
          <w:color w:val="575757"/>
          <w:kern w:val="0"/>
          <w:sz w:val="24"/>
          <w:szCs w:val="24"/>
          <w:lang w:val="bg-BG"/>
          <w14:ligatures w14:val="none"/>
        </w:rPr>
        <w:t>оценени по справедлива стойност през друг всеобхватен доход, отговарят на условията за определяне в</w:t>
      </w:r>
      <w:r w:rsidR="00780FA7" w:rsidRPr="005A56A5">
        <w:rPr>
          <w:rFonts w:ascii="Helvetica" w:eastAsia="Times New Roman" w:hAnsi="Helvetica" w:cs="Helvetica"/>
          <w:color w:val="575757"/>
          <w:kern w:val="0"/>
          <w:sz w:val="24"/>
          <w:szCs w:val="24"/>
          <w:lang w:val="bg-BG"/>
          <w14:ligatures w14:val="none"/>
        </w:rPr>
        <w:t xml:space="preserve"> </w:t>
      </w:r>
      <w:r w:rsidR="0001307C" w:rsidRPr="005A56A5">
        <w:rPr>
          <w:rFonts w:ascii="Helvetica" w:eastAsia="Times New Roman" w:hAnsi="Helvetica" w:cs="Helvetica"/>
          <w:color w:val="575757"/>
          <w:kern w:val="0"/>
          <w:sz w:val="24"/>
          <w:szCs w:val="24"/>
          <w:lang w:val="bg-BG"/>
          <w14:ligatures w14:val="none"/>
        </w:rPr>
        <w:t>модела на динамично управление на риска</w:t>
      </w:r>
      <w:r w:rsidR="00780FA7" w:rsidRPr="005A56A5">
        <w:rPr>
          <w:rFonts w:ascii="Helvetica" w:eastAsia="Times New Roman" w:hAnsi="Helvetica" w:cs="Helvetica"/>
          <w:color w:val="575757"/>
          <w:kern w:val="0"/>
          <w:sz w:val="24"/>
          <w:szCs w:val="24"/>
          <w:lang w:val="bg-BG"/>
          <w14:ligatures w14:val="none"/>
        </w:rPr>
        <w:t xml:space="preserve">, </w:t>
      </w:r>
      <w:r w:rsidR="0001307C" w:rsidRPr="005A56A5">
        <w:rPr>
          <w:rFonts w:ascii="Helvetica" w:eastAsia="Times New Roman" w:hAnsi="Helvetica" w:cs="Helvetica"/>
          <w:color w:val="575757"/>
          <w:kern w:val="0"/>
          <w:sz w:val="24"/>
          <w:szCs w:val="24"/>
          <w:lang w:val="bg-BG"/>
          <w14:ligatures w14:val="none"/>
        </w:rPr>
        <w:t>а финансови активи,</w:t>
      </w:r>
      <w:r w:rsidR="00780FA7" w:rsidRPr="005A56A5">
        <w:rPr>
          <w:rFonts w:ascii="Helvetica" w:eastAsia="Times New Roman" w:hAnsi="Helvetica" w:cs="Helvetica"/>
          <w:color w:val="575757"/>
          <w:kern w:val="0"/>
          <w:sz w:val="24"/>
          <w:szCs w:val="24"/>
          <w:lang w:val="bg-BG"/>
          <w14:ligatures w14:val="none"/>
        </w:rPr>
        <w:t xml:space="preserve"> </w:t>
      </w:r>
      <w:r w:rsidR="0001307C" w:rsidRPr="005A56A5">
        <w:rPr>
          <w:rFonts w:ascii="Helvetica" w:eastAsia="Times New Roman" w:hAnsi="Helvetica" w:cs="Helvetica"/>
          <w:color w:val="575757"/>
          <w:kern w:val="0"/>
          <w:sz w:val="24"/>
          <w:szCs w:val="24"/>
          <w:lang w:val="bg-BG"/>
          <w14:ligatures w14:val="none"/>
        </w:rPr>
        <w:t>оценени по справедлива стойност през печалбата или загубата</w:t>
      </w:r>
      <w:r w:rsidR="00426008" w:rsidRPr="005A56A5">
        <w:rPr>
          <w:rFonts w:ascii="Helvetica" w:eastAsia="Times New Roman" w:hAnsi="Helvetica" w:cs="Helvetica"/>
          <w:color w:val="575757"/>
          <w:kern w:val="0"/>
          <w:sz w:val="24"/>
          <w:szCs w:val="24"/>
          <w:lang w:val="bg-BG"/>
          <w14:ligatures w14:val="none"/>
        </w:rPr>
        <w:t>,</w:t>
      </w:r>
      <w:r w:rsidR="0001307C" w:rsidRPr="005A56A5">
        <w:rPr>
          <w:rFonts w:ascii="Helvetica" w:eastAsia="Times New Roman" w:hAnsi="Helvetica" w:cs="Helvetica"/>
          <w:color w:val="575757"/>
          <w:kern w:val="0"/>
          <w:sz w:val="24"/>
          <w:szCs w:val="24"/>
          <w:lang w:val="bg-BG"/>
          <w14:ligatures w14:val="none"/>
        </w:rPr>
        <w:t xml:space="preserve"> не отговарят</w:t>
      </w:r>
      <w:r w:rsidR="00780FA7" w:rsidRPr="005A56A5">
        <w:rPr>
          <w:rFonts w:ascii="Helvetica" w:eastAsia="Times New Roman" w:hAnsi="Helvetica" w:cs="Helvetica"/>
          <w:color w:val="575757"/>
          <w:kern w:val="0"/>
          <w:sz w:val="24"/>
          <w:szCs w:val="24"/>
          <w:lang w:val="bg-BG"/>
          <w14:ligatures w14:val="none"/>
        </w:rPr>
        <w:t xml:space="preserve">. </w:t>
      </w:r>
      <w:r w:rsidR="0001307C" w:rsidRPr="005A56A5">
        <w:rPr>
          <w:rFonts w:ascii="Helvetica" w:eastAsia="Times New Roman" w:hAnsi="Helvetica" w:cs="Helvetica"/>
          <w:color w:val="575757"/>
          <w:kern w:val="0"/>
          <w:sz w:val="24"/>
          <w:szCs w:val="24"/>
          <w:lang w:val="bg-BG"/>
          <w14:ligatures w14:val="none"/>
        </w:rPr>
        <w:t>Логическата обосновка на</w:t>
      </w:r>
      <w:r w:rsidR="00780FA7" w:rsidRPr="005A56A5">
        <w:rPr>
          <w:rFonts w:ascii="Helvetica" w:eastAsia="Times New Roman" w:hAnsi="Helvetica" w:cs="Helvetica"/>
          <w:color w:val="575757"/>
          <w:kern w:val="0"/>
          <w:sz w:val="24"/>
          <w:szCs w:val="24"/>
          <w:lang w:val="bg-BG"/>
          <w14:ligatures w14:val="none"/>
        </w:rPr>
        <w:t xml:space="preserve"> IASB</w:t>
      </w:r>
      <w:r w:rsidR="00C00EB1" w:rsidRPr="005A56A5">
        <w:rPr>
          <w:rFonts w:ascii="Helvetica" w:eastAsia="Times New Roman" w:hAnsi="Helvetica" w:cs="Helvetica"/>
          <w:color w:val="575757"/>
          <w:kern w:val="0"/>
          <w:sz w:val="24"/>
          <w:szCs w:val="24"/>
          <w:lang w:val="bg-BG"/>
          <w14:ligatures w14:val="none"/>
        </w:rPr>
        <w:t xml:space="preserve"> за неговото неокончателно решение е, че финансовите активи,</w:t>
      </w:r>
      <w:r w:rsidR="00780FA7" w:rsidRPr="005A56A5">
        <w:rPr>
          <w:rFonts w:ascii="Helvetica" w:eastAsia="Times New Roman" w:hAnsi="Helvetica" w:cs="Helvetica"/>
          <w:color w:val="575757"/>
          <w:kern w:val="0"/>
          <w:sz w:val="24"/>
          <w:szCs w:val="24"/>
          <w:lang w:val="bg-BG"/>
          <w14:ligatures w14:val="none"/>
        </w:rPr>
        <w:t xml:space="preserve"> </w:t>
      </w:r>
      <w:r w:rsidR="0001307C" w:rsidRPr="005A56A5">
        <w:rPr>
          <w:rFonts w:ascii="Helvetica" w:eastAsia="Times New Roman" w:hAnsi="Helvetica" w:cs="Helvetica"/>
          <w:color w:val="575757"/>
          <w:kern w:val="0"/>
          <w:sz w:val="24"/>
          <w:szCs w:val="24"/>
          <w:lang w:val="bg-BG"/>
          <w14:ligatures w14:val="none"/>
        </w:rPr>
        <w:t>оценени по справедлива стойност през друг всеобхватен доход</w:t>
      </w:r>
      <w:r w:rsidR="00C00EB1" w:rsidRPr="005A56A5">
        <w:rPr>
          <w:rFonts w:ascii="Helvetica" w:eastAsia="Times New Roman" w:hAnsi="Helvetica" w:cs="Helvetica"/>
          <w:color w:val="575757"/>
          <w:kern w:val="0"/>
          <w:sz w:val="24"/>
          <w:szCs w:val="24"/>
          <w:lang w:val="bg-BG"/>
          <w14:ligatures w14:val="none"/>
        </w:rPr>
        <w:t>,</w:t>
      </w:r>
      <w:r w:rsidR="00780FA7" w:rsidRPr="005A56A5">
        <w:rPr>
          <w:rFonts w:ascii="Helvetica" w:eastAsia="Times New Roman" w:hAnsi="Helvetica" w:cs="Helvetica"/>
          <w:color w:val="575757"/>
          <w:kern w:val="0"/>
          <w:sz w:val="24"/>
          <w:szCs w:val="24"/>
          <w:lang w:val="bg-BG"/>
          <w14:ligatures w14:val="none"/>
        </w:rPr>
        <w:t xml:space="preserve"> </w:t>
      </w:r>
      <w:r w:rsidR="00C00EB1" w:rsidRPr="005A56A5">
        <w:rPr>
          <w:rFonts w:ascii="Helvetica" w:eastAsia="Times New Roman" w:hAnsi="Helvetica" w:cs="Helvetica"/>
          <w:color w:val="575757"/>
          <w:kern w:val="0"/>
          <w:sz w:val="24"/>
          <w:szCs w:val="24"/>
          <w:lang w:val="bg-BG"/>
          <w14:ligatures w14:val="none"/>
        </w:rPr>
        <w:t>имат същата изложеност на променливост в бъдещия нетен лихвен доход и справедлива стойност,</w:t>
      </w:r>
      <w:r w:rsidR="00780FA7" w:rsidRPr="005A56A5">
        <w:rPr>
          <w:rFonts w:ascii="Helvetica" w:eastAsia="Times New Roman" w:hAnsi="Helvetica" w:cs="Helvetica"/>
          <w:color w:val="575757"/>
          <w:kern w:val="0"/>
          <w:sz w:val="24"/>
          <w:szCs w:val="24"/>
          <w:lang w:val="bg-BG"/>
          <w14:ligatures w14:val="none"/>
        </w:rPr>
        <w:t xml:space="preserve"> </w:t>
      </w:r>
      <w:r w:rsidR="00C00EB1" w:rsidRPr="005A56A5">
        <w:rPr>
          <w:rFonts w:ascii="Helvetica" w:eastAsia="Times New Roman" w:hAnsi="Helvetica" w:cs="Helvetica"/>
          <w:color w:val="575757"/>
          <w:kern w:val="0"/>
          <w:sz w:val="24"/>
          <w:szCs w:val="24"/>
          <w:lang w:val="bg-BG"/>
          <w14:ligatures w14:val="none"/>
        </w:rPr>
        <w:t>както финансовите активи, оценени по амортизирана цена на придобиване</w:t>
      </w:r>
      <w:r w:rsidR="00780FA7" w:rsidRPr="005A56A5">
        <w:rPr>
          <w:rFonts w:ascii="Helvetica" w:eastAsia="Times New Roman" w:hAnsi="Helvetica" w:cs="Helvetica"/>
          <w:color w:val="575757"/>
          <w:kern w:val="0"/>
          <w:sz w:val="24"/>
          <w:szCs w:val="24"/>
          <w:lang w:val="bg-BG"/>
          <w14:ligatures w14:val="none"/>
        </w:rPr>
        <w:t>.</w:t>
      </w:r>
    </w:p>
    <w:p w14:paraId="3190185D" w14:textId="2C4A7B43"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lastRenderedPageBreak/>
        <w:t>Всичките дванадесет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00036E5F" w14:textId="5531AADD" w:rsidR="00780FA7" w:rsidRPr="005A56A5" w:rsidRDefault="00426008"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b/>
          <w:bCs/>
          <w:i/>
          <w:iCs/>
          <w:color w:val="575757"/>
          <w:kern w:val="0"/>
          <w:sz w:val="24"/>
          <w:szCs w:val="24"/>
          <w:lang w:val="bg-BG"/>
          <w14:ligatures w14:val="none"/>
        </w:rPr>
        <w:t xml:space="preserve">Оценяване на резултатите от модела и неочаквани промени </w:t>
      </w:r>
      <w:r w:rsidR="00780FA7" w:rsidRPr="005A56A5">
        <w:rPr>
          <w:rFonts w:ascii="Helvetica" w:eastAsia="Times New Roman" w:hAnsi="Helvetica" w:cs="Helvetica"/>
          <w:b/>
          <w:bCs/>
          <w:color w:val="575757"/>
          <w:kern w:val="0"/>
          <w:sz w:val="24"/>
          <w:szCs w:val="24"/>
          <w:lang w:val="bg-BG"/>
          <w14:ligatures w14:val="none"/>
        </w:rPr>
        <w:t>(</w:t>
      </w:r>
      <w:r w:rsidR="00D56402" w:rsidRPr="005A56A5">
        <w:rPr>
          <w:rFonts w:ascii="Helvetica" w:eastAsia="Times New Roman" w:hAnsi="Helvetica" w:cs="Helvetica"/>
          <w:b/>
          <w:bCs/>
          <w:color w:val="575757"/>
          <w:kern w:val="0"/>
          <w:sz w:val="24"/>
          <w:szCs w:val="24"/>
          <w:lang w:val="bg-BG"/>
          <w14:ligatures w14:val="none"/>
        </w:rPr>
        <w:t>Документ по програмата</w:t>
      </w:r>
      <w:r w:rsidR="00780FA7" w:rsidRPr="005A56A5">
        <w:rPr>
          <w:rFonts w:ascii="Helvetica" w:eastAsia="Times New Roman" w:hAnsi="Helvetica" w:cs="Helvetica"/>
          <w:b/>
          <w:bCs/>
          <w:color w:val="575757"/>
          <w:kern w:val="0"/>
          <w:sz w:val="24"/>
          <w:szCs w:val="24"/>
          <w:lang w:val="bg-BG"/>
          <w14:ligatures w14:val="none"/>
        </w:rPr>
        <w:t xml:space="preserve"> 4</w:t>
      </w:r>
      <w:r w:rsidRPr="005A56A5">
        <w:rPr>
          <w:rFonts w:ascii="Helvetica" w:eastAsia="Times New Roman" w:hAnsi="Helvetica" w:cs="Helvetica"/>
          <w:b/>
          <w:bCs/>
          <w:color w:val="575757"/>
          <w:kern w:val="0"/>
          <w:sz w:val="24"/>
          <w:szCs w:val="24"/>
          <w:lang w:val="bg-BG"/>
          <w14:ligatures w14:val="none"/>
        </w:rPr>
        <w:t>Б</w:t>
      </w:r>
      <w:r w:rsidR="00780FA7" w:rsidRPr="005A56A5">
        <w:rPr>
          <w:rFonts w:ascii="Helvetica" w:eastAsia="Times New Roman" w:hAnsi="Helvetica" w:cs="Helvetica"/>
          <w:b/>
          <w:bCs/>
          <w:color w:val="575757"/>
          <w:kern w:val="0"/>
          <w:sz w:val="24"/>
          <w:szCs w:val="24"/>
          <w:lang w:val="bg-BG"/>
          <w14:ligatures w14:val="none"/>
        </w:rPr>
        <w:t>)</w:t>
      </w:r>
    </w:p>
    <w:p w14:paraId="1EADEA09" w14:textId="041BC32A"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426008" w:rsidRPr="005A56A5">
        <w:rPr>
          <w:rFonts w:ascii="Helvetica" w:eastAsia="Times New Roman" w:hAnsi="Helvetica" w:cs="Helvetica"/>
          <w:color w:val="575757"/>
          <w:kern w:val="0"/>
          <w:sz w:val="24"/>
          <w:szCs w:val="24"/>
          <w:lang w:val="bg-BG"/>
          <w14:ligatures w14:val="none"/>
        </w:rPr>
        <w:t xml:space="preserve">да не изисква предприятието да извършва ретроспективно оценяване спрямо целевия си профил, тъй като такова оценяване не би предоставило полезна информация </w:t>
      </w:r>
      <w:r w:rsidR="00A330FE">
        <w:rPr>
          <w:rFonts w:ascii="Helvetica" w:eastAsia="Times New Roman" w:hAnsi="Helvetica" w:cs="Helvetica"/>
          <w:color w:val="575757"/>
          <w:kern w:val="0"/>
          <w:sz w:val="24"/>
          <w:szCs w:val="24"/>
          <w:lang w:val="bg-BG"/>
          <w14:ligatures w14:val="none"/>
        </w:rPr>
        <w:t>за</w:t>
      </w:r>
      <w:r w:rsidR="00426008" w:rsidRPr="005A56A5">
        <w:rPr>
          <w:rFonts w:ascii="Helvetica" w:eastAsia="Times New Roman" w:hAnsi="Helvetica" w:cs="Helvetica"/>
          <w:color w:val="575757"/>
          <w:kern w:val="0"/>
          <w:sz w:val="24"/>
          <w:szCs w:val="24"/>
          <w:lang w:val="bg-BG"/>
          <w14:ligatures w14:val="none"/>
        </w:rPr>
        <w:t xml:space="preserve"> потребителите на финансовия отчет</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 xml:space="preserve">IASB </w:t>
      </w:r>
      <w:r w:rsidR="00426008" w:rsidRPr="005A56A5">
        <w:rPr>
          <w:rFonts w:ascii="Helvetica" w:eastAsia="Times New Roman" w:hAnsi="Helvetica" w:cs="Helvetica"/>
          <w:color w:val="575757"/>
          <w:kern w:val="0"/>
          <w:sz w:val="24"/>
          <w:szCs w:val="24"/>
          <w:lang w:val="bg-BG"/>
          <w14:ligatures w14:val="none"/>
        </w:rPr>
        <w:t xml:space="preserve">обаче </w:t>
      </w:r>
      <w:r w:rsidRPr="005A56A5">
        <w:rPr>
          <w:rFonts w:ascii="Helvetica" w:eastAsia="Times New Roman" w:hAnsi="Helvetica" w:cs="Helvetica"/>
          <w:color w:val="575757"/>
          <w:kern w:val="0"/>
          <w:sz w:val="24"/>
          <w:szCs w:val="24"/>
          <w:lang w:val="bg-BG"/>
          <w14:ligatures w14:val="none"/>
        </w:rPr>
        <w:t>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426008" w:rsidRPr="005A56A5">
        <w:rPr>
          <w:rFonts w:ascii="Helvetica" w:eastAsia="Times New Roman" w:hAnsi="Helvetica" w:cs="Helvetica"/>
          <w:color w:val="575757"/>
          <w:kern w:val="0"/>
          <w:sz w:val="24"/>
          <w:szCs w:val="24"/>
          <w:lang w:val="bg-BG"/>
          <w14:ligatures w14:val="none"/>
        </w:rPr>
        <w:t>да изисква предприятието да оценява</w:t>
      </w:r>
      <w:r w:rsidR="00780FA7" w:rsidRPr="005A56A5">
        <w:rPr>
          <w:rFonts w:ascii="Helvetica" w:eastAsia="Times New Roman" w:hAnsi="Helvetica" w:cs="Helvetica"/>
          <w:color w:val="575757"/>
          <w:kern w:val="0"/>
          <w:sz w:val="24"/>
          <w:szCs w:val="24"/>
          <w:lang w:val="bg-BG"/>
          <w14:ligatures w14:val="none"/>
        </w:rPr>
        <w:t xml:space="preserve"> </w:t>
      </w:r>
      <w:r w:rsidR="00426008" w:rsidRPr="005A56A5">
        <w:rPr>
          <w:rFonts w:ascii="Helvetica" w:eastAsia="Times New Roman" w:hAnsi="Helvetica" w:cs="Helvetica"/>
          <w:color w:val="575757"/>
          <w:kern w:val="0"/>
          <w:sz w:val="24"/>
          <w:szCs w:val="24"/>
          <w:lang w:val="bg-BG"/>
          <w14:ligatures w14:val="none"/>
        </w:rPr>
        <w:t>дали</w:t>
      </w:r>
      <w:r w:rsidR="00780FA7" w:rsidRPr="005A56A5">
        <w:rPr>
          <w:rFonts w:ascii="Helvetica" w:eastAsia="Times New Roman" w:hAnsi="Helvetica" w:cs="Helvetica"/>
          <w:color w:val="575757"/>
          <w:kern w:val="0"/>
          <w:sz w:val="24"/>
          <w:szCs w:val="24"/>
          <w:lang w:val="bg-BG"/>
          <w14:ligatures w14:val="none"/>
        </w:rPr>
        <w:t xml:space="preserve"> </w:t>
      </w:r>
      <w:r w:rsidR="00426008" w:rsidRPr="005A56A5">
        <w:rPr>
          <w:rFonts w:ascii="Helvetica" w:eastAsia="Times New Roman" w:hAnsi="Helvetica" w:cs="Helvetica"/>
          <w:color w:val="575757"/>
          <w:kern w:val="0"/>
          <w:sz w:val="24"/>
          <w:szCs w:val="24"/>
          <w:lang w:val="bg-BG"/>
          <w14:ligatures w14:val="none"/>
        </w:rPr>
        <w:t>текущата нетна открита рискова позиция към края на периода на оценяване на модела на динамично управление на риска</w:t>
      </w:r>
      <w:r w:rsidR="00780FA7" w:rsidRPr="005A56A5">
        <w:rPr>
          <w:rFonts w:ascii="Helvetica" w:eastAsia="Times New Roman" w:hAnsi="Helvetica" w:cs="Helvetica"/>
          <w:color w:val="575757"/>
          <w:kern w:val="0"/>
          <w:sz w:val="24"/>
          <w:szCs w:val="24"/>
          <w:lang w:val="bg-BG"/>
          <w14:ligatures w14:val="none"/>
        </w:rPr>
        <w:t xml:space="preserve"> </w:t>
      </w:r>
      <w:r w:rsidR="00426008" w:rsidRPr="005A56A5">
        <w:rPr>
          <w:rFonts w:ascii="Helvetica" w:eastAsia="Times New Roman" w:hAnsi="Helvetica" w:cs="Helvetica"/>
          <w:color w:val="575757"/>
          <w:kern w:val="0"/>
          <w:sz w:val="24"/>
          <w:szCs w:val="24"/>
          <w:lang w:val="bg-BG"/>
          <w14:ligatures w14:val="none"/>
        </w:rPr>
        <w:t>може да реализира очакваните ползи</w:t>
      </w:r>
      <w:r w:rsidR="00780FA7" w:rsidRPr="005A56A5">
        <w:rPr>
          <w:rFonts w:ascii="Helvetica" w:eastAsia="Times New Roman" w:hAnsi="Helvetica" w:cs="Helvetica"/>
          <w:color w:val="575757"/>
          <w:kern w:val="0"/>
          <w:sz w:val="24"/>
          <w:szCs w:val="24"/>
          <w:lang w:val="bg-BG"/>
          <w14:ligatures w14:val="none"/>
        </w:rPr>
        <w:t xml:space="preserve"> (</w:t>
      </w:r>
      <w:r w:rsidR="00426008" w:rsidRPr="005A56A5">
        <w:rPr>
          <w:rFonts w:ascii="Helvetica" w:eastAsia="Times New Roman" w:hAnsi="Helvetica" w:cs="Helvetica"/>
          <w:color w:val="575757"/>
          <w:kern w:val="0"/>
          <w:sz w:val="24"/>
          <w:szCs w:val="24"/>
          <w:lang w:val="bg-BG"/>
          <w14:ligatures w14:val="none"/>
        </w:rPr>
        <w:t>под формата на намалена променливост в печалбата или икономическата стойност</w:t>
      </w:r>
      <w:r w:rsidR="00780FA7" w:rsidRPr="005A56A5">
        <w:rPr>
          <w:rFonts w:ascii="Helvetica" w:eastAsia="Times New Roman" w:hAnsi="Helvetica" w:cs="Helvetica"/>
          <w:color w:val="575757"/>
          <w:kern w:val="0"/>
          <w:sz w:val="24"/>
          <w:szCs w:val="24"/>
          <w:lang w:val="bg-BG"/>
          <w14:ligatures w14:val="none"/>
        </w:rPr>
        <w:t>)</w:t>
      </w:r>
      <w:r w:rsidR="00426008" w:rsidRPr="005A56A5">
        <w:rPr>
          <w:rFonts w:ascii="Helvetica" w:eastAsia="Times New Roman" w:hAnsi="Helvetica" w:cs="Helvetica"/>
          <w:color w:val="575757"/>
          <w:kern w:val="0"/>
          <w:sz w:val="24"/>
          <w:szCs w:val="24"/>
          <w:lang w:val="bg-BG"/>
          <w14:ligatures w14:val="none"/>
        </w:rPr>
        <w:t>, представени от корекцията на динамичното управление на риска</w:t>
      </w:r>
      <w:r w:rsidR="00780FA7" w:rsidRPr="005A56A5">
        <w:rPr>
          <w:rFonts w:ascii="Helvetica" w:eastAsia="Times New Roman" w:hAnsi="Helvetica" w:cs="Helvetica"/>
          <w:color w:val="575757"/>
          <w:kern w:val="0"/>
          <w:sz w:val="24"/>
          <w:szCs w:val="24"/>
          <w:lang w:val="bg-BG"/>
          <w14:ligatures w14:val="none"/>
        </w:rPr>
        <w:t>.</w:t>
      </w:r>
    </w:p>
    <w:p w14:paraId="10F8259A" w14:textId="5D8C5FA7"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1AC74D71" w14:textId="7C306D92" w:rsidR="00780FA7" w:rsidRPr="005A56A5" w:rsidRDefault="00ED20B1" w:rsidP="00780FA7">
      <w:pPr>
        <w:spacing w:before="100" w:beforeAutospacing="1" w:after="100" w:afterAutospacing="1" w:line="240" w:lineRule="auto"/>
        <w:outlineLvl w:val="3"/>
        <w:rPr>
          <w:rFonts w:ascii="Times New Roman" w:eastAsia="Times New Roman" w:hAnsi="Times New Roman" w:cs="Times New Roman"/>
          <w:b/>
          <w:bCs/>
          <w:i/>
          <w:iCs/>
          <w:color w:val="575757"/>
          <w:kern w:val="0"/>
          <w:sz w:val="26"/>
          <w:szCs w:val="26"/>
          <w:lang w:val="bg-BG"/>
          <w14:ligatures w14:val="none"/>
        </w:rPr>
      </w:pPr>
      <w:r w:rsidRPr="005A56A5">
        <w:rPr>
          <w:rFonts w:ascii="Times New Roman" w:eastAsia="Times New Roman" w:hAnsi="Times New Roman" w:cs="Times New Roman"/>
          <w:b/>
          <w:bCs/>
          <w:i/>
          <w:iCs/>
          <w:color w:val="575757"/>
          <w:kern w:val="0"/>
          <w:sz w:val="26"/>
          <w:szCs w:val="26"/>
          <w:lang w:val="bg-BG"/>
          <w14:ligatures w14:val="none"/>
        </w:rPr>
        <w:t>Следващ етап</w:t>
      </w:r>
    </w:p>
    <w:p w14:paraId="6AF2A4A1" w14:textId="2070F826"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426008" w:rsidRPr="005A56A5">
        <w:rPr>
          <w:rFonts w:ascii="Helvetica" w:eastAsia="Times New Roman" w:hAnsi="Helvetica" w:cs="Helvetica"/>
          <w:color w:val="575757"/>
          <w:kern w:val="0"/>
          <w:sz w:val="24"/>
          <w:szCs w:val="24"/>
          <w:lang w:val="bg-BG"/>
          <w14:ligatures w14:val="none"/>
        </w:rPr>
        <w:t>ще продължи обсъжданията си по темите, идентифицирани в плана на проекта</w:t>
      </w:r>
      <w:r w:rsidRPr="005A56A5">
        <w:rPr>
          <w:rFonts w:ascii="Helvetica" w:eastAsia="Times New Roman" w:hAnsi="Helvetica" w:cs="Helvetica"/>
          <w:color w:val="575757"/>
          <w:kern w:val="0"/>
          <w:sz w:val="24"/>
          <w:szCs w:val="24"/>
          <w:lang w:val="bg-BG"/>
          <w14:ligatures w14:val="none"/>
        </w:rPr>
        <w:t>.</w:t>
      </w:r>
    </w:p>
    <w:p w14:paraId="79A29C00" w14:textId="440CCCC7" w:rsidR="00780FA7" w:rsidRPr="005A56A5" w:rsidRDefault="00426008" w:rsidP="00780FA7">
      <w:pPr>
        <w:spacing w:before="100" w:beforeAutospacing="1" w:after="100" w:afterAutospacing="1" w:line="240" w:lineRule="auto"/>
        <w:outlineLvl w:val="2"/>
        <w:rPr>
          <w:rFonts w:ascii="Times New Roman" w:eastAsia="Times New Roman" w:hAnsi="Times New Roman" w:cs="Times New Roman"/>
          <w:b/>
          <w:bCs/>
          <w:color w:val="CD3333"/>
          <w:kern w:val="0"/>
          <w:sz w:val="26"/>
          <w:szCs w:val="26"/>
          <w:lang w:val="bg-BG"/>
          <w14:ligatures w14:val="none"/>
        </w:rPr>
      </w:pPr>
      <w:r w:rsidRPr="005A56A5">
        <w:rPr>
          <w:rFonts w:ascii="Times New Roman" w:eastAsia="Times New Roman" w:hAnsi="Times New Roman" w:cs="Times New Roman"/>
          <w:b/>
          <w:bCs/>
          <w:color w:val="CD3333"/>
          <w:kern w:val="0"/>
          <w:sz w:val="26"/>
          <w:szCs w:val="26"/>
          <w:lang w:val="bg-BG"/>
          <w14:ligatures w14:val="none"/>
        </w:rPr>
        <w:t xml:space="preserve">Финансови инструменти с характеристики на собствен капитал </w:t>
      </w:r>
      <w:r w:rsidR="00780FA7" w:rsidRPr="005A56A5">
        <w:rPr>
          <w:rFonts w:ascii="Times New Roman" w:eastAsia="Times New Roman" w:hAnsi="Times New Roman" w:cs="Times New Roman"/>
          <w:b/>
          <w:bCs/>
          <w:color w:val="CD3333"/>
          <w:kern w:val="0"/>
          <w:sz w:val="26"/>
          <w:szCs w:val="26"/>
          <w:lang w:val="bg-BG"/>
          <w14:ligatures w14:val="none"/>
        </w:rPr>
        <w:t>(</w:t>
      </w:r>
      <w:r w:rsidR="00D56402" w:rsidRPr="005A56A5">
        <w:rPr>
          <w:rFonts w:ascii="Times New Roman" w:eastAsia="Times New Roman" w:hAnsi="Times New Roman" w:cs="Times New Roman"/>
          <w:b/>
          <w:bCs/>
          <w:color w:val="CD3333"/>
          <w:kern w:val="0"/>
          <w:sz w:val="26"/>
          <w:szCs w:val="26"/>
          <w:lang w:val="bg-BG"/>
          <w14:ligatures w14:val="none"/>
        </w:rPr>
        <w:t>Документ по програмата</w:t>
      </w:r>
      <w:r w:rsidR="00780FA7" w:rsidRPr="005A56A5">
        <w:rPr>
          <w:rFonts w:ascii="Times New Roman" w:eastAsia="Times New Roman" w:hAnsi="Times New Roman" w:cs="Times New Roman"/>
          <w:b/>
          <w:bCs/>
          <w:color w:val="CD3333"/>
          <w:kern w:val="0"/>
          <w:sz w:val="26"/>
          <w:szCs w:val="26"/>
          <w:lang w:val="bg-BG"/>
          <w14:ligatures w14:val="none"/>
        </w:rPr>
        <w:t xml:space="preserve"> 5)</w:t>
      </w:r>
    </w:p>
    <w:p w14:paraId="6E47969F" w14:textId="53C807E7" w:rsidR="00780FA7" w:rsidRPr="005A56A5" w:rsidRDefault="00924C84"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На 22 февруари 2023 г. IASB проведе заседание, за да обсъди</w:t>
      </w:r>
      <w:r w:rsidR="00780FA7" w:rsidRPr="005A56A5">
        <w:rPr>
          <w:rFonts w:ascii="Helvetica" w:eastAsia="Times New Roman" w:hAnsi="Helvetica" w:cs="Helvetica"/>
          <w:color w:val="575757"/>
          <w:kern w:val="0"/>
          <w:sz w:val="24"/>
          <w:szCs w:val="24"/>
          <w:lang w:val="bg-BG"/>
          <w14:ligatures w14:val="none"/>
        </w:rPr>
        <w:t>:</w:t>
      </w:r>
    </w:p>
    <w:p w14:paraId="4B6A3DE2" w14:textId="24C7FBE6" w:rsidR="00780FA7" w:rsidRPr="005A56A5" w:rsidRDefault="00211453" w:rsidP="00780FA7">
      <w:pPr>
        <w:numPr>
          <w:ilvl w:val="0"/>
          <w:numId w:val="5"/>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нуждаещи се от уточняване въпроси по теми в плана на проекта, свързани с класифицирането и представянето</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45D4E523" w14:textId="30471A7E" w:rsidR="00780FA7" w:rsidRPr="005A56A5" w:rsidRDefault="00211453" w:rsidP="00780FA7">
      <w:pPr>
        <w:numPr>
          <w:ilvl w:val="0"/>
          <w:numId w:val="5"/>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 xml:space="preserve">потенциалното разработване на специфични изисквания за представяне по отношение на инструменти на собствения капитал, които попадат в обхвата на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32</w:t>
      </w:r>
      <w:r w:rsidR="00780FA7" w:rsidRPr="005A56A5">
        <w:rPr>
          <w:rFonts w:ascii="Times New Roman" w:eastAsia="Times New Roman" w:hAnsi="Times New Roman" w:cs="Times New Roman"/>
          <w:i/>
          <w:iCs/>
          <w:color w:val="575757"/>
          <w:kern w:val="0"/>
          <w:sz w:val="24"/>
          <w:szCs w:val="24"/>
          <w:lang w:val="bg-BG"/>
          <w14:ligatures w14:val="none"/>
        </w:rPr>
        <w:t> </w:t>
      </w:r>
      <w:r w:rsidRPr="005A56A5">
        <w:rPr>
          <w:rFonts w:ascii="Times New Roman" w:eastAsia="Times New Roman" w:hAnsi="Times New Roman" w:cs="Times New Roman"/>
          <w:i/>
          <w:iCs/>
          <w:color w:val="575757"/>
          <w:kern w:val="0"/>
          <w:sz w:val="24"/>
          <w:szCs w:val="24"/>
          <w:lang w:val="bg-BG"/>
          <w14:ligatures w14:val="none"/>
        </w:rPr>
        <w:t>Финансови инструменти</w:t>
      </w:r>
      <w:r w:rsidR="00780FA7" w:rsidRPr="005A56A5">
        <w:rPr>
          <w:rFonts w:ascii="Times New Roman" w:eastAsia="Times New Roman" w:hAnsi="Times New Roman" w:cs="Times New Roman"/>
          <w:i/>
          <w:iCs/>
          <w:color w:val="575757"/>
          <w:kern w:val="0"/>
          <w:sz w:val="24"/>
          <w:szCs w:val="24"/>
          <w:lang w:val="bg-BG"/>
          <w14:ligatures w14:val="none"/>
        </w:rPr>
        <w:t xml:space="preserve">: </w:t>
      </w:r>
      <w:r w:rsidRPr="005A56A5">
        <w:rPr>
          <w:rFonts w:ascii="Times New Roman" w:eastAsia="Times New Roman" w:hAnsi="Times New Roman" w:cs="Times New Roman"/>
          <w:i/>
          <w:iCs/>
          <w:color w:val="575757"/>
          <w:kern w:val="0"/>
          <w:sz w:val="24"/>
          <w:szCs w:val="24"/>
          <w:lang w:val="bg-BG"/>
          <w14:ligatures w14:val="none"/>
        </w:rPr>
        <w:t>представяне</w:t>
      </w:r>
      <w:r w:rsidR="00780FA7" w:rsidRPr="005A56A5">
        <w:rPr>
          <w:rFonts w:ascii="Times New Roman" w:eastAsia="Times New Roman" w:hAnsi="Times New Roman" w:cs="Times New Roman"/>
          <w:color w:val="575757"/>
          <w:kern w:val="0"/>
          <w:sz w:val="24"/>
          <w:szCs w:val="24"/>
          <w:lang w:val="bg-BG"/>
          <w14:ligatures w14:val="none"/>
        </w:rPr>
        <w:t>.</w:t>
      </w:r>
    </w:p>
    <w:p w14:paraId="136747FC" w14:textId="2DE82DB9" w:rsidR="00780FA7" w:rsidRPr="005A56A5" w:rsidRDefault="00211453"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b/>
          <w:bCs/>
          <w:i/>
          <w:iCs/>
          <w:color w:val="575757"/>
          <w:kern w:val="0"/>
          <w:sz w:val="24"/>
          <w:szCs w:val="24"/>
          <w:lang w:val="bg-BG"/>
          <w14:ligatures w14:val="none"/>
        </w:rPr>
        <w:t>Класифициране и представяне</w:t>
      </w:r>
      <w:r w:rsidR="00780FA7" w:rsidRPr="005A56A5">
        <w:rPr>
          <w:rFonts w:ascii="Helvetica" w:eastAsia="Times New Roman" w:hAnsi="Helvetica" w:cs="Helvetica"/>
          <w:b/>
          <w:bCs/>
          <w:i/>
          <w:iCs/>
          <w:color w:val="575757"/>
          <w:kern w:val="0"/>
          <w:sz w:val="24"/>
          <w:szCs w:val="24"/>
          <w:lang w:val="bg-BG"/>
          <w14:ligatures w14:val="none"/>
        </w:rPr>
        <w:t>—</w:t>
      </w:r>
      <w:r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Helvetica" w:eastAsia="Times New Roman" w:hAnsi="Helvetica" w:cs="Helvetica"/>
          <w:b/>
          <w:bCs/>
          <w:i/>
          <w:iCs/>
          <w:color w:val="575757"/>
          <w:kern w:val="0"/>
          <w:sz w:val="24"/>
          <w:szCs w:val="24"/>
          <w:lang w:val="bg-BG"/>
          <w14:ligatures w14:val="none"/>
        </w:rPr>
        <w:t xml:space="preserve">нуждаещи се от уточняване въпроси </w:t>
      </w:r>
      <w:r w:rsidR="00780FA7" w:rsidRPr="005A56A5">
        <w:rPr>
          <w:rFonts w:ascii="Helvetica" w:eastAsia="Times New Roman" w:hAnsi="Helvetica" w:cs="Helvetica"/>
          <w:b/>
          <w:bCs/>
          <w:color w:val="575757"/>
          <w:kern w:val="0"/>
          <w:sz w:val="24"/>
          <w:szCs w:val="24"/>
          <w:lang w:val="bg-BG"/>
          <w14:ligatures w14:val="none"/>
        </w:rPr>
        <w:t>(</w:t>
      </w:r>
      <w:r w:rsidRPr="005A56A5">
        <w:rPr>
          <w:rFonts w:ascii="Helvetica" w:eastAsia="Times New Roman" w:hAnsi="Helvetica" w:cs="Helvetica"/>
          <w:b/>
          <w:bCs/>
          <w:color w:val="575757"/>
          <w:kern w:val="0"/>
          <w:sz w:val="24"/>
          <w:szCs w:val="24"/>
          <w:lang w:val="bg-BG"/>
          <w14:ligatures w14:val="none"/>
        </w:rPr>
        <w:t>Документи по програмата</w:t>
      </w:r>
      <w:r w:rsidR="00780FA7" w:rsidRPr="005A56A5">
        <w:rPr>
          <w:rFonts w:ascii="Helvetica" w:eastAsia="Times New Roman" w:hAnsi="Helvetica" w:cs="Helvetica"/>
          <w:b/>
          <w:bCs/>
          <w:color w:val="575757"/>
          <w:kern w:val="0"/>
          <w:sz w:val="24"/>
          <w:szCs w:val="24"/>
          <w:lang w:val="bg-BG"/>
          <w14:ligatures w14:val="none"/>
        </w:rPr>
        <w:t xml:space="preserve"> 5A </w:t>
      </w:r>
      <w:r w:rsidRPr="005A56A5">
        <w:rPr>
          <w:rFonts w:ascii="Helvetica" w:eastAsia="Times New Roman" w:hAnsi="Helvetica" w:cs="Helvetica"/>
          <w:b/>
          <w:bCs/>
          <w:color w:val="575757"/>
          <w:kern w:val="0"/>
          <w:sz w:val="24"/>
          <w:szCs w:val="24"/>
          <w:lang w:val="bg-BG"/>
          <w14:ligatures w14:val="none"/>
        </w:rPr>
        <w:t>и</w:t>
      </w:r>
      <w:r w:rsidR="00780FA7" w:rsidRPr="005A56A5">
        <w:rPr>
          <w:rFonts w:ascii="Helvetica" w:eastAsia="Times New Roman" w:hAnsi="Helvetica" w:cs="Helvetica"/>
          <w:b/>
          <w:bCs/>
          <w:color w:val="575757"/>
          <w:kern w:val="0"/>
          <w:sz w:val="24"/>
          <w:szCs w:val="24"/>
          <w:lang w:val="bg-BG"/>
          <w14:ligatures w14:val="none"/>
        </w:rPr>
        <w:t xml:space="preserve"> 5</w:t>
      </w:r>
      <w:r w:rsidRPr="005A56A5">
        <w:rPr>
          <w:rFonts w:ascii="Helvetica" w:eastAsia="Times New Roman" w:hAnsi="Helvetica" w:cs="Helvetica"/>
          <w:b/>
          <w:bCs/>
          <w:color w:val="575757"/>
          <w:kern w:val="0"/>
          <w:sz w:val="24"/>
          <w:szCs w:val="24"/>
          <w:lang w:val="bg-BG"/>
          <w14:ligatures w14:val="none"/>
        </w:rPr>
        <w:t>Б</w:t>
      </w:r>
      <w:r w:rsidR="00780FA7" w:rsidRPr="005A56A5">
        <w:rPr>
          <w:rFonts w:ascii="Helvetica" w:eastAsia="Times New Roman" w:hAnsi="Helvetica" w:cs="Helvetica"/>
          <w:b/>
          <w:bCs/>
          <w:color w:val="575757"/>
          <w:kern w:val="0"/>
          <w:sz w:val="24"/>
          <w:szCs w:val="24"/>
          <w:lang w:val="bg-BG"/>
          <w14:ligatures w14:val="none"/>
        </w:rPr>
        <w:t>)</w:t>
      </w:r>
    </w:p>
    <w:p w14:paraId="7C4140F8" w14:textId="53A16EA0" w:rsidR="00780FA7" w:rsidRPr="005A56A5" w:rsidRDefault="00211453"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i/>
          <w:iCs/>
          <w:color w:val="575757"/>
          <w:kern w:val="0"/>
          <w:sz w:val="24"/>
          <w:szCs w:val="24"/>
          <w:lang w:val="bg-BG"/>
          <w14:ligatures w14:val="none"/>
        </w:rPr>
        <w:t>Условие „фиксирани за фиксирани“</w:t>
      </w:r>
    </w:p>
    <w:p w14:paraId="6E6673A9" w14:textId="425A7968"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211453" w:rsidRPr="005A56A5">
        <w:rPr>
          <w:rFonts w:ascii="Helvetica" w:eastAsia="Times New Roman" w:hAnsi="Helvetica" w:cs="Helvetica"/>
          <w:color w:val="575757"/>
          <w:kern w:val="0"/>
          <w:sz w:val="24"/>
          <w:szCs w:val="24"/>
          <w:lang w:val="bg-BG"/>
          <w14:ligatures w14:val="none"/>
        </w:rPr>
        <w:t>как предприятието ще прилага условието „фиксирани за фиксирани“ при класифициране на конвертируеми облигации, ако притежателят има избор между две фиксирани съотношения на конвертиране</w:t>
      </w:r>
      <w:r w:rsidRPr="005A56A5">
        <w:rPr>
          <w:rFonts w:ascii="Helvetica" w:eastAsia="Times New Roman" w:hAnsi="Helvetica" w:cs="Helvetica"/>
          <w:color w:val="575757"/>
          <w:kern w:val="0"/>
          <w:sz w:val="24"/>
          <w:szCs w:val="24"/>
          <w:lang w:val="bg-BG"/>
          <w14:ligatures w14:val="none"/>
        </w:rPr>
        <w:t xml:space="preserve"> </w:t>
      </w:r>
      <w:r w:rsidR="00211453" w:rsidRPr="005A56A5">
        <w:rPr>
          <w:rFonts w:ascii="Helvetica" w:eastAsia="Times New Roman" w:hAnsi="Helvetica" w:cs="Helvetica"/>
          <w:color w:val="575757"/>
          <w:kern w:val="0"/>
          <w:sz w:val="24"/>
          <w:szCs w:val="24"/>
          <w:lang w:val="bg-BG"/>
          <w14:ligatures w14:val="none"/>
        </w:rPr>
        <w:t>с различни видове собствени акции</w:t>
      </w:r>
      <w:r w:rsidRPr="005A56A5">
        <w:rPr>
          <w:rFonts w:ascii="Helvetica" w:eastAsia="Times New Roman" w:hAnsi="Helvetica" w:cs="Helvetica"/>
          <w:color w:val="575757"/>
          <w:kern w:val="0"/>
          <w:sz w:val="24"/>
          <w:szCs w:val="24"/>
          <w:lang w:val="bg-BG"/>
          <w14:ligatures w14:val="none"/>
        </w:rPr>
        <w:t>.</w:t>
      </w:r>
    </w:p>
    <w:p w14:paraId="6B70071D" w14:textId="1B4E4D1F"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211453" w:rsidRPr="005A56A5">
        <w:rPr>
          <w:rFonts w:ascii="Helvetica" w:eastAsia="Times New Roman" w:hAnsi="Helvetica" w:cs="Helvetica"/>
          <w:color w:val="575757"/>
          <w:kern w:val="0"/>
          <w:sz w:val="24"/>
          <w:szCs w:val="24"/>
          <w:lang w:val="bg-BG"/>
          <w14:ligatures w14:val="none"/>
        </w:rPr>
        <w:t>да измени фундаменталния принцип</w:t>
      </w:r>
      <w:r w:rsidR="00780FA7" w:rsidRPr="005A56A5">
        <w:rPr>
          <w:rFonts w:ascii="Helvetica" w:eastAsia="Times New Roman" w:hAnsi="Helvetica" w:cs="Helvetica"/>
          <w:color w:val="575757"/>
          <w:kern w:val="0"/>
          <w:sz w:val="24"/>
          <w:szCs w:val="24"/>
          <w:lang w:val="bg-BG"/>
          <w14:ligatures w14:val="none"/>
        </w:rPr>
        <w:t xml:space="preserve">, </w:t>
      </w:r>
      <w:r w:rsidR="00211453" w:rsidRPr="005A56A5">
        <w:rPr>
          <w:rFonts w:ascii="Helvetica" w:eastAsia="Times New Roman" w:hAnsi="Helvetica" w:cs="Helvetica"/>
          <w:color w:val="575757"/>
          <w:kern w:val="0"/>
          <w:sz w:val="24"/>
          <w:szCs w:val="24"/>
          <w:lang w:val="bg-BG"/>
          <w14:ligatures w14:val="none"/>
        </w:rPr>
        <w:t>договорен в порядък на работна хипотеза през април</w:t>
      </w:r>
      <w:r w:rsidR="00780FA7" w:rsidRPr="005A56A5">
        <w:rPr>
          <w:rFonts w:ascii="Helvetica" w:eastAsia="Times New Roman" w:hAnsi="Helvetica" w:cs="Helvetica"/>
          <w:color w:val="575757"/>
          <w:kern w:val="0"/>
          <w:sz w:val="24"/>
          <w:szCs w:val="24"/>
          <w:lang w:val="bg-BG"/>
          <w14:ligatures w14:val="none"/>
        </w:rPr>
        <w:t xml:space="preserve"> 2020</w:t>
      </w:r>
      <w:r w:rsidR="00211453" w:rsidRPr="005A56A5">
        <w:rPr>
          <w:rFonts w:ascii="Helvetica" w:eastAsia="Times New Roman" w:hAnsi="Helvetica" w:cs="Helvetica"/>
          <w:color w:val="575757"/>
          <w:kern w:val="0"/>
          <w:sz w:val="24"/>
          <w:szCs w:val="24"/>
          <w:lang w:val="bg-BG"/>
          <w14:ligatures w14:val="none"/>
        </w:rPr>
        <w:t xml:space="preserve"> г.</w:t>
      </w:r>
      <w:r w:rsidR="00780FA7" w:rsidRPr="005A56A5">
        <w:rPr>
          <w:rFonts w:ascii="Helvetica" w:eastAsia="Times New Roman" w:hAnsi="Helvetica" w:cs="Helvetica"/>
          <w:color w:val="575757"/>
          <w:kern w:val="0"/>
          <w:sz w:val="24"/>
          <w:szCs w:val="24"/>
          <w:lang w:val="bg-BG"/>
          <w14:ligatures w14:val="none"/>
        </w:rPr>
        <w:t xml:space="preserve">, </w:t>
      </w:r>
      <w:r w:rsidR="00211453" w:rsidRPr="005A56A5">
        <w:rPr>
          <w:rFonts w:ascii="Helvetica" w:eastAsia="Times New Roman" w:hAnsi="Helvetica" w:cs="Helvetica"/>
          <w:color w:val="575757"/>
          <w:kern w:val="0"/>
          <w:sz w:val="24"/>
          <w:szCs w:val="24"/>
          <w:lang w:val="bg-BG"/>
          <w14:ligatures w14:val="none"/>
        </w:rPr>
        <w:t>който пояснява кога е изпълнено условието „фиксирани за фиксирани“</w:t>
      </w:r>
      <w:r w:rsidR="00780FA7" w:rsidRPr="005A56A5">
        <w:rPr>
          <w:rFonts w:ascii="Helvetica" w:eastAsia="Times New Roman" w:hAnsi="Helvetica" w:cs="Helvetica"/>
          <w:color w:val="575757"/>
          <w:kern w:val="0"/>
          <w:sz w:val="24"/>
          <w:szCs w:val="24"/>
          <w:lang w:val="bg-BG"/>
          <w14:ligatures w14:val="none"/>
        </w:rPr>
        <w:t xml:space="preserve">. </w:t>
      </w:r>
      <w:r w:rsidR="00211453" w:rsidRPr="005A56A5">
        <w:rPr>
          <w:rFonts w:ascii="Helvetica" w:eastAsia="Times New Roman" w:hAnsi="Helvetica" w:cs="Helvetica"/>
          <w:color w:val="575757"/>
          <w:kern w:val="0"/>
          <w:sz w:val="24"/>
          <w:szCs w:val="24"/>
          <w:lang w:val="bg-BG"/>
          <w14:ligatures w14:val="none"/>
        </w:rPr>
        <w:t>Фундаменталният принцип</w:t>
      </w:r>
      <w:r w:rsidR="00780FA7" w:rsidRPr="005A56A5">
        <w:rPr>
          <w:rFonts w:ascii="Helvetica" w:eastAsia="Times New Roman" w:hAnsi="Helvetica" w:cs="Helvetica"/>
          <w:color w:val="575757"/>
          <w:kern w:val="0"/>
          <w:sz w:val="24"/>
          <w:szCs w:val="24"/>
          <w:lang w:val="bg-BG"/>
          <w14:ligatures w14:val="none"/>
        </w:rPr>
        <w:t xml:space="preserve">, </w:t>
      </w:r>
      <w:r w:rsidR="00211453" w:rsidRPr="005A56A5">
        <w:rPr>
          <w:rFonts w:ascii="Helvetica" w:eastAsia="Times New Roman" w:hAnsi="Helvetica" w:cs="Helvetica"/>
          <w:color w:val="575757"/>
          <w:kern w:val="0"/>
          <w:sz w:val="24"/>
          <w:szCs w:val="24"/>
          <w:lang w:val="bg-BG"/>
          <w14:ligatures w14:val="none"/>
        </w:rPr>
        <w:t>съгласно изменението</w:t>
      </w:r>
      <w:r w:rsidR="00780FA7" w:rsidRPr="005A56A5">
        <w:rPr>
          <w:rFonts w:ascii="Helvetica" w:eastAsia="Times New Roman" w:hAnsi="Helvetica" w:cs="Helvetica"/>
          <w:color w:val="575757"/>
          <w:kern w:val="0"/>
          <w:sz w:val="24"/>
          <w:szCs w:val="24"/>
          <w:lang w:val="bg-BG"/>
          <w14:ligatures w14:val="none"/>
        </w:rPr>
        <w:t xml:space="preserve">, </w:t>
      </w:r>
      <w:r w:rsidR="00211453" w:rsidRPr="005A56A5">
        <w:rPr>
          <w:rFonts w:ascii="Helvetica" w:eastAsia="Times New Roman" w:hAnsi="Helvetica" w:cs="Helvetica"/>
          <w:color w:val="575757"/>
          <w:kern w:val="0"/>
          <w:sz w:val="24"/>
          <w:szCs w:val="24"/>
          <w:lang w:val="bg-BG"/>
          <w14:ligatures w14:val="none"/>
        </w:rPr>
        <w:t xml:space="preserve">посочва, че условието е изпълнено, ако предприятието </w:t>
      </w:r>
      <w:r w:rsidR="00211453" w:rsidRPr="005A56A5">
        <w:rPr>
          <w:rFonts w:ascii="Helvetica" w:eastAsia="Times New Roman" w:hAnsi="Helvetica" w:cs="Helvetica"/>
          <w:color w:val="575757"/>
          <w:kern w:val="0"/>
          <w:sz w:val="24"/>
          <w:szCs w:val="24"/>
          <w:lang w:val="bg-BG"/>
          <w14:ligatures w14:val="none"/>
        </w:rPr>
        <w:lastRenderedPageBreak/>
        <w:t>знае колко единици функционална валута ще замени</w:t>
      </w:r>
      <w:r w:rsidR="00780FA7" w:rsidRPr="005A56A5">
        <w:rPr>
          <w:rFonts w:ascii="Helvetica" w:eastAsia="Times New Roman" w:hAnsi="Helvetica" w:cs="Helvetica"/>
          <w:color w:val="575757"/>
          <w:kern w:val="0"/>
          <w:sz w:val="24"/>
          <w:szCs w:val="24"/>
          <w:lang w:val="bg-BG"/>
          <w14:ligatures w14:val="none"/>
        </w:rPr>
        <w:t> </w:t>
      </w:r>
      <w:r w:rsidR="00A04C0E" w:rsidRPr="005A56A5">
        <w:rPr>
          <w:rFonts w:ascii="Helvetica" w:eastAsia="Times New Roman" w:hAnsi="Helvetica" w:cs="Helvetica"/>
          <w:i/>
          <w:iCs/>
          <w:color w:val="575757"/>
          <w:kern w:val="0"/>
          <w:sz w:val="24"/>
          <w:szCs w:val="24"/>
          <w:lang w:val="bg-BG"/>
          <w14:ligatures w14:val="none"/>
        </w:rPr>
        <w:t>за всеки вид от</w:t>
      </w:r>
      <w:r w:rsidR="00780FA7" w:rsidRPr="005A56A5">
        <w:rPr>
          <w:rFonts w:ascii="Helvetica" w:eastAsia="Times New Roman" w:hAnsi="Helvetica" w:cs="Helvetica"/>
          <w:i/>
          <w:iCs/>
          <w:color w:val="575757"/>
          <w:kern w:val="0"/>
          <w:sz w:val="24"/>
          <w:szCs w:val="24"/>
          <w:lang w:val="bg-BG"/>
          <w14:ligatures w14:val="none"/>
        </w:rPr>
        <w:t> </w:t>
      </w:r>
      <w:r w:rsidR="00A04C0E" w:rsidRPr="005A56A5">
        <w:rPr>
          <w:rFonts w:ascii="Helvetica" w:eastAsia="Times New Roman" w:hAnsi="Helvetica" w:cs="Helvetica"/>
          <w:color w:val="575757"/>
          <w:kern w:val="0"/>
          <w:sz w:val="24"/>
          <w:szCs w:val="24"/>
          <w:lang w:val="bg-BG"/>
          <w14:ligatures w14:val="none"/>
        </w:rPr>
        <w:t>собствените акции, ако опцията бъде упражнена</w:t>
      </w:r>
      <w:r w:rsidR="00780FA7" w:rsidRPr="005A56A5">
        <w:rPr>
          <w:rFonts w:ascii="Helvetica" w:eastAsia="Times New Roman" w:hAnsi="Helvetica" w:cs="Helvetica"/>
          <w:color w:val="575757"/>
          <w:kern w:val="0"/>
          <w:sz w:val="24"/>
          <w:szCs w:val="24"/>
          <w:lang w:val="bg-BG"/>
          <w14:ligatures w14:val="none"/>
        </w:rPr>
        <w:t>.</w:t>
      </w:r>
    </w:p>
    <w:p w14:paraId="43CDD2F4" w14:textId="71171524"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Единадесет от дванадесетте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4A22B860" w14:textId="604E150B" w:rsidR="00780FA7" w:rsidRPr="005A56A5" w:rsidRDefault="001F6B64"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i/>
          <w:iCs/>
          <w:color w:val="575757"/>
          <w:kern w:val="0"/>
          <w:sz w:val="24"/>
          <w:szCs w:val="24"/>
          <w:lang w:val="bg-BG"/>
          <w14:ligatures w14:val="none"/>
        </w:rPr>
        <w:t>Прекласифициране</w:t>
      </w:r>
    </w:p>
    <w:p w14:paraId="31081DA2" w14:textId="762C9D0A"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1F6B64" w:rsidRPr="005A56A5">
        <w:rPr>
          <w:rFonts w:ascii="Helvetica" w:eastAsia="Times New Roman" w:hAnsi="Helvetica" w:cs="Helvetica"/>
          <w:color w:val="575757"/>
          <w:kern w:val="0"/>
          <w:sz w:val="24"/>
          <w:szCs w:val="24"/>
          <w:lang w:val="bg-BG"/>
          <w14:ligatures w14:val="none"/>
        </w:rPr>
        <w:t>обсъди необходимостта от последователност при използването на термина „прекласифициране“ в</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МСС</w:t>
      </w:r>
      <w:r w:rsidRPr="005A56A5">
        <w:rPr>
          <w:rFonts w:ascii="Helvetica" w:eastAsia="Times New Roman" w:hAnsi="Helvetica" w:cs="Helvetica"/>
          <w:color w:val="575757"/>
          <w:kern w:val="0"/>
          <w:sz w:val="24"/>
          <w:szCs w:val="24"/>
          <w:lang w:val="bg-BG"/>
          <w14:ligatures w14:val="none"/>
        </w:rPr>
        <w:t xml:space="preserve"> 32. IASB </w:t>
      </w:r>
      <w:r w:rsidR="001F6B64" w:rsidRPr="005A56A5">
        <w:rPr>
          <w:rFonts w:ascii="Helvetica" w:eastAsia="Times New Roman" w:hAnsi="Helvetica" w:cs="Helvetica"/>
          <w:color w:val="575757"/>
          <w:kern w:val="0"/>
          <w:sz w:val="24"/>
          <w:szCs w:val="24"/>
          <w:lang w:val="bg-BG"/>
          <w14:ligatures w14:val="none"/>
        </w:rPr>
        <w:t xml:space="preserve">обсъди също така въпроса кога предприятие, прилагащо предложените общи изисквания, договорени в порядък на работна хипотеза през юни </w:t>
      </w:r>
      <w:r w:rsidRPr="005A56A5">
        <w:rPr>
          <w:rFonts w:ascii="Helvetica" w:eastAsia="Times New Roman" w:hAnsi="Helvetica" w:cs="Helvetica"/>
          <w:color w:val="575757"/>
          <w:kern w:val="0"/>
          <w:sz w:val="24"/>
          <w:szCs w:val="24"/>
          <w:lang w:val="bg-BG"/>
          <w14:ligatures w14:val="none"/>
        </w:rPr>
        <w:t xml:space="preserve">2022 </w:t>
      </w:r>
      <w:r w:rsidR="001F6B64" w:rsidRPr="005A56A5">
        <w:rPr>
          <w:rFonts w:ascii="Helvetica" w:eastAsia="Times New Roman" w:hAnsi="Helvetica" w:cs="Helvetica"/>
          <w:color w:val="575757"/>
          <w:kern w:val="0"/>
          <w:sz w:val="24"/>
          <w:szCs w:val="24"/>
          <w:lang w:val="bg-BG"/>
          <w14:ligatures w14:val="none"/>
        </w:rPr>
        <w:t>г. ще отчита счетоводно прекласифициране между финансови пасиви и инструменти на собствения капитал</w:t>
      </w:r>
      <w:r w:rsidRPr="005A56A5">
        <w:rPr>
          <w:rFonts w:ascii="Helvetica" w:eastAsia="Times New Roman" w:hAnsi="Helvetica" w:cs="Helvetica"/>
          <w:color w:val="575757"/>
          <w:kern w:val="0"/>
          <w:sz w:val="24"/>
          <w:szCs w:val="24"/>
          <w:lang w:val="bg-BG"/>
          <w14:ligatures w14:val="none"/>
        </w:rPr>
        <w:t>.</w:t>
      </w:r>
    </w:p>
    <w:p w14:paraId="1F6592C4" w14:textId="5D3FB1FB"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16BC248D" w14:textId="6EB25261" w:rsidR="00780FA7" w:rsidRPr="005A56A5" w:rsidRDefault="001F6B64" w:rsidP="00780FA7">
      <w:pPr>
        <w:numPr>
          <w:ilvl w:val="0"/>
          <w:numId w:val="6"/>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замени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„прекласифицирани“ и „прекласифициране“ с алтернативни фрази в параграф</w:t>
      </w:r>
      <w:r w:rsidR="00780FA7" w:rsidRPr="005A56A5">
        <w:rPr>
          <w:rFonts w:ascii="Times New Roman" w:eastAsia="Times New Roman" w:hAnsi="Times New Roman" w:cs="Times New Roman"/>
          <w:color w:val="575757"/>
          <w:kern w:val="0"/>
          <w:sz w:val="24"/>
          <w:szCs w:val="24"/>
          <w:lang w:val="bg-BG"/>
          <w14:ligatures w14:val="none"/>
        </w:rPr>
        <w:t xml:space="preserve"> 23 </w:t>
      </w:r>
      <w:r w:rsidRPr="005A56A5">
        <w:rPr>
          <w:rFonts w:ascii="Times New Roman" w:eastAsia="Times New Roman" w:hAnsi="Times New Roman" w:cs="Times New Roman"/>
          <w:color w:val="575757"/>
          <w:kern w:val="0"/>
          <w:sz w:val="24"/>
          <w:szCs w:val="24"/>
          <w:lang w:val="bg-BG"/>
          <w14:ligatures w14:val="none"/>
        </w:rPr>
        <w:t>от</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xml:space="preserve"> 32.</w:t>
      </w:r>
    </w:p>
    <w:p w14:paraId="4AD2E34E" w14:textId="0D989FD0" w:rsidR="00780FA7" w:rsidRPr="005A56A5" w:rsidRDefault="001F6B64" w:rsidP="00780FA7">
      <w:pPr>
        <w:numPr>
          <w:ilvl w:val="0"/>
          <w:numId w:val="6"/>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изисква предприятието да извърши прекласифициране на датата на промяната в обстоятелствата, която е довела до необходимост от прекласификации</w:t>
      </w:r>
      <w:r w:rsidR="00780FA7" w:rsidRPr="005A56A5">
        <w:rPr>
          <w:rFonts w:ascii="Times New Roman" w:eastAsia="Times New Roman" w:hAnsi="Times New Roman" w:cs="Times New Roman"/>
          <w:color w:val="575757"/>
          <w:kern w:val="0"/>
          <w:sz w:val="24"/>
          <w:szCs w:val="24"/>
          <w:lang w:val="bg-BG"/>
          <w14:ligatures w14:val="none"/>
        </w:rPr>
        <w:t xml:space="preserve">. IASB </w:t>
      </w:r>
      <w:r w:rsidRPr="005A56A5">
        <w:rPr>
          <w:rFonts w:ascii="Times New Roman" w:eastAsia="Times New Roman" w:hAnsi="Times New Roman" w:cs="Times New Roman"/>
          <w:color w:val="575757"/>
          <w:kern w:val="0"/>
          <w:sz w:val="24"/>
          <w:szCs w:val="24"/>
          <w:lang w:val="bg-BG"/>
          <w14:ligatures w14:val="none"/>
        </w:rPr>
        <w:t>обаче ще зададе въпрос в предстоящия да бъде издаден проект за обсъждане, за да оцени практическите съображения във връзка с това изискване</w:t>
      </w:r>
      <w:r w:rsidR="00780FA7" w:rsidRPr="005A56A5">
        <w:rPr>
          <w:rFonts w:ascii="Times New Roman" w:eastAsia="Times New Roman" w:hAnsi="Times New Roman" w:cs="Times New Roman"/>
          <w:color w:val="575757"/>
          <w:kern w:val="0"/>
          <w:sz w:val="24"/>
          <w:szCs w:val="24"/>
          <w:lang w:val="bg-BG"/>
          <w14:ligatures w14:val="none"/>
        </w:rPr>
        <w:t>.</w:t>
      </w:r>
    </w:p>
    <w:p w14:paraId="1766F603" w14:textId="7762AF0E"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63F8A04A" w14:textId="43AB2CC6" w:rsidR="00780FA7" w:rsidRPr="005A56A5" w:rsidRDefault="001F6B64"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i/>
          <w:iCs/>
          <w:color w:val="575757"/>
          <w:kern w:val="0"/>
          <w:sz w:val="24"/>
          <w:szCs w:val="24"/>
          <w:lang w:val="bg-BG"/>
          <w14:ligatures w14:val="none"/>
        </w:rPr>
        <w:t>Ефектът на закони върху договорните условия</w:t>
      </w:r>
    </w:p>
    <w:p w14:paraId="542A107F" w14:textId="484C0444"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635E18" w:rsidRPr="005A56A5">
        <w:rPr>
          <w:rFonts w:ascii="Helvetica" w:eastAsia="Times New Roman" w:hAnsi="Helvetica" w:cs="Helvetica"/>
          <w:color w:val="575757"/>
          <w:kern w:val="0"/>
          <w:sz w:val="24"/>
          <w:szCs w:val="24"/>
          <w:lang w:val="bg-BG"/>
          <w14:ligatures w14:val="none"/>
        </w:rPr>
        <w:t>обсъди обратна информация от заинтересованите страни относно предложените принципи</w:t>
      </w:r>
      <w:r w:rsidRPr="005A56A5">
        <w:rPr>
          <w:rFonts w:ascii="Helvetica" w:eastAsia="Times New Roman" w:hAnsi="Helvetica" w:cs="Helvetica"/>
          <w:color w:val="575757"/>
          <w:kern w:val="0"/>
          <w:sz w:val="24"/>
          <w:szCs w:val="24"/>
          <w:lang w:val="bg-BG"/>
          <w14:ligatures w14:val="none"/>
        </w:rPr>
        <w:t xml:space="preserve"> (</w:t>
      </w:r>
      <w:r w:rsidR="00635E18" w:rsidRPr="005A56A5">
        <w:rPr>
          <w:rFonts w:ascii="Helvetica" w:eastAsia="Times New Roman" w:hAnsi="Helvetica" w:cs="Helvetica"/>
          <w:color w:val="575757"/>
          <w:kern w:val="0"/>
          <w:sz w:val="24"/>
          <w:szCs w:val="24"/>
          <w:lang w:val="bg-BG"/>
          <w14:ligatures w14:val="none"/>
        </w:rPr>
        <w:t>договорени в порядък на работна хипотеза през декември</w:t>
      </w:r>
      <w:r w:rsidRPr="005A56A5">
        <w:rPr>
          <w:rFonts w:ascii="Helvetica" w:eastAsia="Times New Roman" w:hAnsi="Helvetica" w:cs="Helvetica"/>
          <w:color w:val="575757"/>
          <w:kern w:val="0"/>
          <w:sz w:val="24"/>
          <w:szCs w:val="24"/>
          <w:lang w:val="bg-BG"/>
          <w14:ligatures w14:val="none"/>
        </w:rPr>
        <w:t xml:space="preserve"> 2021</w:t>
      </w:r>
      <w:r w:rsidR="00635E18" w:rsidRPr="005A56A5">
        <w:rPr>
          <w:rFonts w:ascii="Helvetica" w:eastAsia="Times New Roman" w:hAnsi="Helvetica" w:cs="Helvetica"/>
          <w:color w:val="575757"/>
          <w:kern w:val="0"/>
          <w:sz w:val="24"/>
          <w:szCs w:val="24"/>
          <w:lang w:val="bg-BG"/>
          <w14:ligatures w14:val="none"/>
        </w:rPr>
        <w:t xml:space="preserve"> г.</w:t>
      </w:r>
      <w:r w:rsidRPr="005A56A5">
        <w:rPr>
          <w:rFonts w:ascii="Helvetica" w:eastAsia="Times New Roman" w:hAnsi="Helvetica" w:cs="Helvetica"/>
          <w:color w:val="575757"/>
          <w:kern w:val="0"/>
          <w:sz w:val="24"/>
          <w:szCs w:val="24"/>
          <w:lang w:val="bg-BG"/>
          <w14:ligatures w14:val="none"/>
        </w:rPr>
        <w:t>)</w:t>
      </w:r>
      <w:r w:rsidR="00635E18" w:rsidRPr="005A56A5">
        <w:rPr>
          <w:rFonts w:ascii="Helvetica" w:eastAsia="Times New Roman" w:hAnsi="Helvetica" w:cs="Helvetica"/>
          <w:color w:val="575757"/>
          <w:kern w:val="0"/>
          <w:sz w:val="24"/>
          <w:szCs w:val="24"/>
          <w:lang w:val="bg-BG"/>
          <w14:ligatures w14:val="none"/>
        </w:rPr>
        <w:t>, които от предприятието ще се изисква</w:t>
      </w:r>
      <w:r w:rsidRPr="005A56A5">
        <w:rPr>
          <w:rFonts w:ascii="Helvetica" w:eastAsia="Times New Roman" w:hAnsi="Helvetica" w:cs="Helvetica"/>
          <w:color w:val="575757"/>
          <w:kern w:val="0"/>
          <w:sz w:val="24"/>
          <w:szCs w:val="24"/>
          <w:lang w:val="bg-BG"/>
          <w14:ligatures w14:val="none"/>
        </w:rPr>
        <w:t xml:space="preserve"> </w:t>
      </w:r>
      <w:r w:rsidR="00635E18" w:rsidRPr="005A56A5">
        <w:rPr>
          <w:rFonts w:ascii="Helvetica" w:eastAsia="Times New Roman" w:hAnsi="Helvetica" w:cs="Helvetica"/>
          <w:color w:val="575757"/>
          <w:kern w:val="0"/>
          <w:sz w:val="24"/>
          <w:szCs w:val="24"/>
          <w:lang w:val="bg-BG"/>
          <w14:ligatures w14:val="none"/>
        </w:rPr>
        <w:t>да прилага, когато определя дали права и задължения, произтичащи от законово изискване се вземат под внимание при класифицирането на финансов инструмент като финансов пасив или инструмент на собствения капитал</w:t>
      </w:r>
      <w:r w:rsidRPr="005A56A5">
        <w:rPr>
          <w:rFonts w:ascii="Helvetica" w:eastAsia="Times New Roman" w:hAnsi="Helvetica" w:cs="Helvetica"/>
          <w:color w:val="575757"/>
          <w:kern w:val="0"/>
          <w:sz w:val="24"/>
          <w:szCs w:val="24"/>
          <w:lang w:val="bg-BG"/>
          <w14:ligatures w14:val="none"/>
        </w:rPr>
        <w:t>.</w:t>
      </w:r>
    </w:p>
    <w:p w14:paraId="6CC7BB44" w14:textId="66F8BC37"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635E18" w:rsidRPr="005A56A5">
        <w:rPr>
          <w:rFonts w:ascii="Helvetica" w:eastAsia="Times New Roman" w:hAnsi="Helvetica" w:cs="Helvetica"/>
          <w:color w:val="575757"/>
          <w:kern w:val="0"/>
          <w:sz w:val="24"/>
          <w:szCs w:val="24"/>
          <w:lang w:val="bg-BG"/>
          <w14:ligatures w14:val="none"/>
        </w:rPr>
        <w:t>да опрости предложените принципи като изиска предприятието да вземе под внимание</w:t>
      </w:r>
      <w:r w:rsidR="00780FA7" w:rsidRPr="005A56A5">
        <w:rPr>
          <w:rFonts w:ascii="Helvetica" w:eastAsia="Times New Roman" w:hAnsi="Helvetica" w:cs="Helvetica"/>
          <w:color w:val="575757"/>
          <w:kern w:val="0"/>
          <w:sz w:val="24"/>
          <w:szCs w:val="24"/>
          <w:lang w:val="bg-BG"/>
          <w14:ligatures w14:val="none"/>
        </w:rPr>
        <w:t xml:space="preserve">, </w:t>
      </w:r>
      <w:r w:rsidR="00635E18" w:rsidRPr="005A56A5">
        <w:rPr>
          <w:rFonts w:ascii="Helvetica" w:eastAsia="Times New Roman" w:hAnsi="Helvetica" w:cs="Helvetica"/>
          <w:color w:val="575757"/>
          <w:kern w:val="0"/>
          <w:sz w:val="24"/>
          <w:szCs w:val="24"/>
          <w:lang w:val="bg-BG"/>
          <w14:ligatures w14:val="none"/>
        </w:rPr>
        <w:t>при класифициране на финансовия инструмент</w:t>
      </w:r>
      <w:r w:rsidR="00780FA7" w:rsidRPr="005A56A5">
        <w:rPr>
          <w:rFonts w:ascii="Helvetica" w:eastAsia="Times New Roman" w:hAnsi="Helvetica" w:cs="Helvetica"/>
          <w:color w:val="575757"/>
          <w:kern w:val="0"/>
          <w:sz w:val="24"/>
          <w:szCs w:val="24"/>
          <w:lang w:val="bg-BG"/>
          <w14:ligatures w14:val="none"/>
        </w:rPr>
        <w:t xml:space="preserve">, </w:t>
      </w:r>
      <w:r w:rsidR="00635E18" w:rsidRPr="005A56A5">
        <w:rPr>
          <w:rFonts w:ascii="Helvetica" w:eastAsia="Times New Roman" w:hAnsi="Helvetica" w:cs="Helvetica"/>
          <w:color w:val="575757"/>
          <w:kern w:val="0"/>
          <w:sz w:val="24"/>
          <w:szCs w:val="24"/>
          <w:lang w:val="bg-BG"/>
          <w14:ligatures w14:val="none"/>
        </w:rPr>
        <w:t>единствено подлежащите на принудително изпълнение договорни условия, които пораждат права и задължения, в допълнение към, или по-конкретни от, тези, установени в приложимото законодателство</w:t>
      </w:r>
      <w:r w:rsidR="00780FA7" w:rsidRPr="005A56A5">
        <w:rPr>
          <w:rFonts w:ascii="Helvetica" w:eastAsia="Times New Roman" w:hAnsi="Helvetica" w:cs="Helvetica"/>
          <w:color w:val="575757"/>
          <w:kern w:val="0"/>
          <w:sz w:val="24"/>
          <w:szCs w:val="24"/>
          <w:lang w:val="bg-BG"/>
          <w14:ligatures w14:val="none"/>
        </w:rPr>
        <w:t>.</w:t>
      </w:r>
    </w:p>
    <w:p w14:paraId="45680575" w14:textId="101A05C5"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42A626C1" w14:textId="64590153" w:rsidR="00780FA7" w:rsidRPr="005A56A5" w:rsidRDefault="00635E18"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i/>
          <w:iCs/>
          <w:color w:val="575757"/>
          <w:kern w:val="0"/>
          <w:sz w:val="24"/>
          <w:szCs w:val="24"/>
          <w:lang w:val="bg-BG"/>
          <w14:ligatures w14:val="none"/>
        </w:rPr>
        <w:t>Задължения за обратно изкупуване на инструменти</w:t>
      </w:r>
      <w:r w:rsidR="00780FA7" w:rsidRPr="005A56A5">
        <w:rPr>
          <w:rFonts w:ascii="Helvetica" w:eastAsia="Times New Roman" w:hAnsi="Helvetica" w:cs="Helvetica"/>
          <w:i/>
          <w:iCs/>
          <w:color w:val="575757"/>
          <w:kern w:val="0"/>
          <w:sz w:val="24"/>
          <w:szCs w:val="24"/>
          <w:lang w:val="bg-BG"/>
          <w14:ligatures w14:val="none"/>
        </w:rPr>
        <w:t xml:space="preserve"> </w:t>
      </w:r>
      <w:r w:rsidRPr="005A56A5">
        <w:rPr>
          <w:rFonts w:ascii="Helvetica" w:eastAsia="Times New Roman" w:hAnsi="Helvetica" w:cs="Helvetica"/>
          <w:i/>
          <w:iCs/>
          <w:color w:val="575757"/>
          <w:kern w:val="0"/>
          <w:sz w:val="24"/>
          <w:szCs w:val="24"/>
          <w:lang w:val="bg-BG"/>
          <w14:ligatures w14:val="none"/>
        </w:rPr>
        <w:t>на собствения капитал</w:t>
      </w:r>
    </w:p>
    <w:p w14:paraId="7B299E5D" w14:textId="10D34863"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635E18" w:rsidRPr="005A56A5">
        <w:rPr>
          <w:rFonts w:ascii="Helvetica" w:eastAsia="Times New Roman" w:hAnsi="Helvetica" w:cs="Helvetica"/>
          <w:color w:val="575757"/>
          <w:kern w:val="0"/>
          <w:sz w:val="24"/>
          <w:szCs w:val="24"/>
          <w:lang w:val="bg-BG"/>
          <w14:ligatures w14:val="none"/>
        </w:rPr>
        <w:t>обсъди дали да измени</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МСС</w:t>
      </w:r>
      <w:r w:rsidRPr="005A56A5">
        <w:rPr>
          <w:rFonts w:ascii="Helvetica" w:eastAsia="Times New Roman" w:hAnsi="Helvetica" w:cs="Helvetica"/>
          <w:color w:val="575757"/>
          <w:kern w:val="0"/>
          <w:sz w:val="24"/>
          <w:szCs w:val="24"/>
          <w:lang w:val="bg-BG"/>
          <w14:ligatures w14:val="none"/>
        </w:rPr>
        <w:t xml:space="preserve"> 32</w:t>
      </w:r>
      <w:r w:rsidR="003C1E38" w:rsidRPr="005A56A5">
        <w:rPr>
          <w:rFonts w:ascii="Helvetica" w:eastAsia="Times New Roman" w:hAnsi="Helvetica" w:cs="Helvetica"/>
          <w:color w:val="575757"/>
          <w:kern w:val="0"/>
          <w:sz w:val="24"/>
          <w:szCs w:val="24"/>
          <w:lang w:val="bg-BG"/>
          <w14:ligatures w14:val="none"/>
        </w:rPr>
        <w:t>, така че</w:t>
      </w:r>
      <w:r w:rsidRPr="005A56A5">
        <w:rPr>
          <w:rFonts w:ascii="Helvetica" w:eastAsia="Times New Roman" w:hAnsi="Helvetica" w:cs="Helvetica"/>
          <w:color w:val="575757"/>
          <w:kern w:val="0"/>
          <w:sz w:val="24"/>
          <w:szCs w:val="24"/>
          <w:lang w:val="bg-BG"/>
          <w14:ligatures w14:val="none"/>
        </w:rPr>
        <w:t>:</w:t>
      </w:r>
    </w:p>
    <w:p w14:paraId="06AD5757" w14:textId="45F3C96C" w:rsidR="00780FA7" w:rsidRPr="005A56A5" w:rsidRDefault="003C1E38" w:rsidP="00780FA7">
      <w:pPr>
        <w:numPr>
          <w:ilvl w:val="0"/>
          <w:numId w:val="7"/>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lastRenderedPageBreak/>
        <w:t>да поясни допълнително</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 xml:space="preserve">изискването относно счетоводното отчитане на финансови инструменти, съдържащи задължения предприятието да изкупи обратно </w:t>
      </w:r>
      <w:r w:rsidR="00E81376" w:rsidRPr="005A56A5">
        <w:rPr>
          <w:rFonts w:ascii="Times New Roman" w:eastAsia="Times New Roman" w:hAnsi="Times New Roman" w:cs="Times New Roman"/>
          <w:color w:val="575757"/>
          <w:kern w:val="0"/>
          <w:sz w:val="24"/>
          <w:szCs w:val="24"/>
          <w:lang w:val="bg-BG"/>
          <w14:ligatures w14:val="none"/>
        </w:rPr>
        <w:t xml:space="preserve">свои </w:t>
      </w:r>
      <w:r w:rsidRPr="005A56A5">
        <w:rPr>
          <w:rFonts w:ascii="Times New Roman" w:eastAsia="Times New Roman" w:hAnsi="Times New Roman" w:cs="Times New Roman"/>
          <w:color w:val="575757"/>
          <w:kern w:val="0"/>
          <w:sz w:val="24"/>
          <w:szCs w:val="24"/>
          <w:lang w:val="bg-BG"/>
          <w14:ligatures w14:val="none"/>
        </w:rPr>
        <w:t>инструменти на собствения капитал</w:t>
      </w:r>
      <w:r w:rsidR="00780FA7" w:rsidRPr="005A56A5">
        <w:rPr>
          <w:rFonts w:ascii="Times New Roman" w:eastAsia="Times New Roman" w:hAnsi="Times New Roman" w:cs="Times New Roman"/>
          <w:color w:val="575757"/>
          <w:kern w:val="0"/>
          <w:sz w:val="24"/>
          <w:szCs w:val="24"/>
          <w:lang w:val="bg-BG"/>
          <w14:ligatures w14:val="none"/>
        </w:rPr>
        <w:t xml:space="preserve">, </w:t>
      </w:r>
      <w:r w:rsidR="007546DD" w:rsidRPr="005A56A5">
        <w:rPr>
          <w:rFonts w:ascii="Times New Roman" w:eastAsia="Times New Roman" w:hAnsi="Times New Roman" w:cs="Times New Roman"/>
          <w:color w:val="575757"/>
          <w:kern w:val="0"/>
          <w:sz w:val="24"/>
          <w:szCs w:val="24"/>
          <w:lang w:val="bg-BG"/>
          <w14:ligatures w14:val="none"/>
        </w:rPr>
        <w:t>включително издадени пут</w:t>
      </w:r>
      <w:r w:rsidR="00E81376" w:rsidRPr="005A56A5">
        <w:rPr>
          <w:rFonts w:ascii="Times New Roman" w:eastAsia="Times New Roman" w:hAnsi="Times New Roman" w:cs="Times New Roman"/>
          <w:color w:val="575757"/>
          <w:kern w:val="0"/>
          <w:sz w:val="24"/>
          <w:szCs w:val="24"/>
          <w:lang w:val="bg-BG"/>
          <w14:ligatures w14:val="none"/>
        </w:rPr>
        <w:t xml:space="preserve"> </w:t>
      </w:r>
      <w:r w:rsidR="007546DD" w:rsidRPr="005A56A5">
        <w:rPr>
          <w:rFonts w:ascii="Times New Roman" w:eastAsia="Times New Roman" w:hAnsi="Times New Roman" w:cs="Times New Roman"/>
          <w:color w:val="575757"/>
          <w:kern w:val="0"/>
          <w:sz w:val="24"/>
          <w:szCs w:val="24"/>
          <w:lang w:val="bg-BG"/>
          <w14:ligatures w14:val="none"/>
        </w:rPr>
        <w:t>опции по неконтролиращи участия</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42FC5A54" w14:textId="2D6CFE6E" w:rsidR="00780FA7" w:rsidRPr="005A56A5" w:rsidRDefault="007546DD" w:rsidP="00780FA7">
      <w:pPr>
        <w:numPr>
          <w:ilvl w:val="0"/>
          <w:numId w:val="7"/>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 xml:space="preserve">да гарантира последователност между тези изисквания и изискванията относно счетоводното отчитане на финансови инструменти, съдържащи </w:t>
      </w:r>
      <w:r w:rsidR="00D6195F" w:rsidRPr="005A56A5">
        <w:rPr>
          <w:rFonts w:ascii="Times New Roman" w:eastAsia="Times New Roman" w:hAnsi="Times New Roman" w:cs="Times New Roman"/>
          <w:color w:val="575757"/>
          <w:kern w:val="0"/>
          <w:sz w:val="24"/>
          <w:szCs w:val="24"/>
          <w:lang w:val="bg-BG"/>
          <w14:ligatures w14:val="none"/>
        </w:rPr>
        <w:t>клаузи</w:t>
      </w:r>
      <w:r w:rsidRPr="005A56A5">
        <w:rPr>
          <w:rFonts w:ascii="Times New Roman" w:eastAsia="Times New Roman" w:hAnsi="Times New Roman" w:cs="Times New Roman"/>
          <w:color w:val="575757"/>
          <w:kern w:val="0"/>
          <w:sz w:val="24"/>
          <w:szCs w:val="24"/>
          <w:lang w:val="bg-BG"/>
          <w14:ligatures w14:val="none"/>
        </w:rPr>
        <w:t xml:space="preserve"> за </w:t>
      </w:r>
      <w:r w:rsidR="00D6195F" w:rsidRPr="005A56A5">
        <w:rPr>
          <w:rFonts w:ascii="Times New Roman" w:eastAsia="Times New Roman" w:hAnsi="Times New Roman" w:cs="Times New Roman"/>
          <w:color w:val="575757"/>
          <w:kern w:val="0"/>
          <w:sz w:val="24"/>
          <w:szCs w:val="24"/>
          <w:lang w:val="bg-BG"/>
          <w14:ligatures w14:val="none"/>
        </w:rPr>
        <w:t>уреждане под условие</w:t>
      </w:r>
      <w:r w:rsidRPr="005A56A5">
        <w:rPr>
          <w:rFonts w:ascii="Times New Roman" w:eastAsia="Times New Roman" w:hAnsi="Times New Roman" w:cs="Times New Roman"/>
          <w:color w:val="575757"/>
          <w:kern w:val="0"/>
          <w:sz w:val="24"/>
          <w:szCs w:val="24"/>
          <w:lang w:val="bg-BG"/>
          <w14:ligatures w14:val="none"/>
        </w:rPr>
        <w:t xml:space="preserve"> в параграф</w:t>
      </w:r>
      <w:r w:rsidR="00780FA7" w:rsidRPr="005A56A5">
        <w:rPr>
          <w:rFonts w:ascii="Times New Roman" w:eastAsia="Times New Roman" w:hAnsi="Times New Roman" w:cs="Times New Roman"/>
          <w:color w:val="575757"/>
          <w:kern w:val="0"/>
          <w:sz w:val="24"/>
          <w:szCs w:val="24"/>
          <w:lang w:val="bg-BG"/>
          <w14:ligatures w14:val="none"/>
        </w:rPr>
        <w:t xml:space="preserve"> 25 </w:t>
      </w:r>
      <w:r w:rsidR="00A330FE">
        <w:rPr>
          <w:rFonts w:ascii="Times New Roman" w:eastAsia="Times New Roman" w:hAnsi="Times New Roman" w:cs="Times New Roman"/>
          <w:color w:val="575757"/>
          <w:kern w:val="0"/>
          <w:sz w:val="24"/>
          <w:szCs w:val="24"/>
          <w:lang w:val="bg-BG"/>
          <w14:ligatures w14:val="none"/>
        </w:rPr>
        <w:t>от</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32.</w:t>
      </w:r>
    </w:p>
    <w:p w14:paraId="66222B6B" w14:textId="232DD817"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47E89F15" w14:textId="0FDE484C" w:rsidR="00780FA7" w:rsidRPr="005A56A5" w:rsidRDefault="00360734" w:rsidP="00780FA7">
      <w:pPr>
        <w:numPr>
          <w:ilvl w:val="0"/>
          <w:numId w:val="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поясни в параграф</w:t>
      </w:r>
      <w:r w:rsidR="00780FA7" w:rsidRPr="005A56A5">
        <w:rPr>
          <w:rFonts w:ascii="Times New Roman" w:eastAsia="Times New Roman" w:hAnsi="Times New Roman" w:cs="Times New Roman"/>
          <w:color w:val="575757"/>
          <w:kern w:val="0"/>
          <w:sz w:val="24"/>
          <w:szCs w:val="24"/>
          <w:lang w:val="bg-BG"/>
          <w14:ligatures w14:val="none"/>
        </w:rPr>
        <w:t xml:space="preserve"> 23 </w:t>
      </w:r>
      <w:r w:rsidRPr="005A56A5">
        <w:rPr>
          <w:rFonts w:ascii="Times New Roman" w:eastAsia="Times New Roman" w:hAnsi="Times New Roman" w:cs="Times New Roman"/>
          <w:color w:val="575757"/>
          <w:kern w:val="0"/>
          <w:sz w:val="24"/>
          <w:szCs w:val="24"/>
          <w:lang w:val="bg-BG"/>
          <w14:ligatures w14:val="none"/>
        </w:rPr>
        <w:t>от</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xml:space="preserve"> 32, </w:t>
      </w:r>
      <w:r w:rsidRPr="005A56A5">
        <w:rPr>
          <w:rFonts w:ascii="Times New Roman" w:eastAsia="Times New Roman" w:hAnsi="Times New Roman" w:cs="Times New Roman"/>
          <w:color w:val="575757"/>
          <w:kern w:val="0"/>
          <w:sz w:val="24"/>
          <w:szCs w:val="24"/>
          <w:lang w:val="bg-BG"/>
          <w14:ligatures w14:val="none"/>
        </w:rPr>
        <w:t>че при преоценяване на финансовия пасив от предприятието се изисква да признае печалба или загуба</w:t>
      </w:r>
      <w:r w:rsidR="00E81376" w:rsidRPr="005A56A5">
        <w:rPr>
          <w:rFonts w:ascii="Times New Roman" w:eastAsia="Times New Roman" w:hAnsi="Times New Roman" w:cs="Times New Roman"/>
          <w:color w:val="575757"/>
          <w:kern w:val="0"/>
          <w:sz w:val="24"/>
          <w:szCs w:val="24"/>
          <w:lang w:val="bg-BG"/>
          <w14:ligatures w14:val="none"/>
        </w:rPr>
        <w:t xml:space="preserve"> в печалбата или загубата</w:t>
      </w:r>
      <w:r w:rsidR="00780FA7" w:rsidRPr="005A56A5">
        <w:rPr>
          <w:rFonts w:ascii="Times New Roman" w:eastAsia="Times New Roman" w:hAnsi="Times New Roman" w:cs="Times New Roman"/>
          <w:color w:val="575757"/>
          <w:kern w:val="0"/>
          <w:sz w:val="24"/>
          <w:szCs w:val="24"/>
          <w:lang w:val="bg-BG"/>
          <w14:ligatures w14:val="none"/>
        </w:rPr>
        <w:t>;</w:t>
      </w:r>
    </w:p>
    <w:p w14:paraId="422BC218" w14:textId="4E3D52E2" w:rsidR="00780FA7" w:rsidRPr="005A56A5" w:rsidRDefault="00E81376" w:rsidP="00780FA7">
      <w:pPr>
        <w:numPr>
          <w:ilvl w:val="0"/>
          <w:numId w:val="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поясни, че от предприятието се изисква да използва същия подход по отношение на първоначално и последващо оценяване на финансови пасиви, попадащи в обхвата на параграф</w:t>
      </w:r>
      <w:r w:rsidR="00780FA7" w:rsidRPr="005A56A5">
        <w:rPr>
          <w:rFonts w:ascii="Times New Roman" w:eastAsia="Times New Roman" w:hAnsi="Times New Roman" w:cs="Times New Roman"/>
          <w:color w:val="575757"/>
          <w:kern w:val="0"/>
          <w:sz w:val="24"/>
          <w:szCs w:val="24"/>
          <w:lang w:val="bg-BG"/>
          <w14:ligatures w14:val="none"/>
        </w:rPr>
        <w:t xml:space="preserve"> 23 </w:t>
      </w:r>
      <w:r w:rsidRPr="005A56A5">
        <w:rPr>
          <w:rFonts w:ascii="Times New Roman" w:eastAsia="Times New Roman" w:hAnsi="Times New Roman" w:cs="Times New Roman"/>
          <w:color w:val="575757"/>
          <w:kern w:val="0"/>
          <w:sz w:val="24"/>
          <w:szCs w:val="24"/>
          <w:lang w:val="bg-BG"/>
          <w14:ligatures w14:val="none"/>
        </w:rPr>
        <w:t>от</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xml:space="preserve"> 32</w:t>
      </w:r>
      <w:r w:rsidRPr="005A56A5">
        <w:rPr>
          <w:rFonts w:ascii="Times New Roman" w:eastAsia="Times New Roman" w:hAnsi="Times New Roman" w:cs="Times New Roman"/>
          <w:color w:val="575757"/>
          <w:kern w:val="0"/>
          <w:sz w:val="24"/>
          <w:szCs w:val="24"/>
          <w:lang w:val="bg-BG"/>
          <w14:ligatures w14:val="none"/>
        </w:rPr>
        <w:t>, т.е., предприятието ще пренебрегне вероятността и приблизително оценения момент на упражняването от страна на притежателя на издадената пут опция при първоначално и последващо оценяване</w:t>
      </w:r>
      <w:r w:rsidR="00780FA7" w:rsidRPr="005A56A5">
        <w:rPr>
          <w:rFonts w:ascii="Times New Roman" w:eastAsia="Times New Roman" w:hAnsi="Times New Roman" w:cs="Times New Roman"/>
          <w:color w:val="575757"/>
          <w:kern w:val="0"/>
          <w:sz w:val="24"/>
          <w:szCs w:val="24"/>
          <w:lang w:val="bg-BG"/>
          <w14:ligatures w14:val="none"/>
        </w:rPr>
        <w:t>;</w:t>
      </w:r>
    </w:p>
    <w:p w14:paraId="23C1E7EA" w14:textId="083C9815" w:rsidR="00780FA7" w:rsidRPr="005A56A5" w:rsidRDefault="00E81376" w:rsidP="00780FA7">
      <w:pPr>
        <w:numPr>
          <w:ilvl w:val="0"/>
          <w:numId w:val="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 xml:space="preserve">да поясни, че от предприятието се изисква да използва същия подход по отношение на първоначално и последващо оценяване на финансови пасиви, попадащи в обхвата на параграф </w:t>
      </w:r>
      <w:r w:rsidR="00780FA7" w:rsidRPr="005A56A5">
        <w:rPr>
          <w:rFonts w:ascii="Times New Roman" w:eastAsia="Times New Roman" w:hAnsi="Times New Roman" w:cs="Times New Roman"/>
          <w:color w:val="575757"/>
          <w:kern w:val="0"/>
          <w:sz w:val="24"/>
          <w:szCs w:val="24"/>
          <w:lang w:val="bg-BG"/>
          <w14:ligatures w14:val="none"/>
        </w:rPr>
        <w:t xml:space="preserve">25 </w:t>
      </w:r>
      <w:r w:rsidRPr="005A56A5">
        <w:rPr>
          <w:rFonts w:ascii="Times New Roman" w:eastAsia="Times New Roman" w:hAnsi="Times New Roman" w:cs="Times New Roman"/>
          <w:color w:val="575757"/>
          <w:kern w:val="0"/>
          <w:sz w:val="24"/>
          <w:szCs w:val="24"/>
          <w:lang w:val="bg-BG"/>
          <w14:ligatures w14:val="none"/>
        </w:rPr>
        <w:t>от</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xml:space="preserve"> 32</w:t>
      </w:r>
      <w:r w:rsidRPr="005A56A5">
        <w:rPr>
          <w:rFonts w:ascii="Times New Roman" w:eastAsia="Times New Roman" w:hAnsi="Times New Roman" w:cs="Times New Roman"/>
          <w:color w:val="575757"/>
          <w:kern w:val="0"/>
          <w:sz w:val="24"/>
          <w:szCs w:val="24"/>
          <w:lang w:val="bg-BG"/>
          <w14:ligatures w14:val="none"/>
        </w:rPr>
        <w:t>, т.е., предприятието ще пренебрегне вероятността и приблизително оценения момент на условното събитие при първоначално и последващо оценяване</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60EAC3A3" w14:textId="0F7B66D7" w:rsidR="00780FA7" w:rsidRPr="005A56A5" w:rsidRDefault="00E81376" w:rsidP="00780FA7">
      <w:pPr>
        <w:numPr>
          <w:ilvl w:val="0"/>
          <w:numId w:val="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отстрани от параграф</w:t>
      </w:r>
      <w:r w:rsidR="00780FA7" w:rsidRPr="005A56A5">
        <w:rPr>
          <w:rFonts w:ascii="Times New Roman" w:eastAsia="Times New Roman" w:hAnsi="Times New Roman" w:cs="Times New Roman"/>
          <w:color w:val="575757"/>
          <w:kern w:val="0"/>
          <w:sz w:val="24"/>
          <w:szCs w:val="24"/>
          <w:lang w:val="bg-BG"/>
          <w14:ligatures w14:val="none"/>
        </w:rPr>
        <w:t xml:space="preserve"> 23 </w:t>
      </w:r>
      <w:r w:rsidRPr="005A56A5">
        <w:rPr>
          <w:rFonts w:ascii="Times New Roman" w:eastAsia="Times New Roman" w:hAnsi="Times New Roman" w:cs="Times New Roman"/>
          <w:color w:val="575757"/>
          <w:kern w:val="0"/>
          <w:sz w:val="24"/>
          <w:szCs w:val="24"/>
          <w:lang w:val="bg-BG"/>
          <w14:ligatures w14:val="none"/>
        </w:rPr>
        <w:t>от</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xml:space="preserve"> 32 </w:t>
      </w:r>
      <w:r w:rsidRPr="005A56A5">
        <w:rPr>
          <w:rFonts w:ascii="Times New Roman" w:eastAsia="Times New Roman" w:hAnsi="Times New Roman" w:cs="Times New Roman"/>
          <w:color w:val="575757"/>
          <w:kern w:val="0"/>
          <w:sz w:val="24"/>
          <w:szCs w:val="24"/>
          <w:lang w:val="bg-BG"/>
          <w14:ligatures w14:val="none"/>
        </w:rPr>
        <w:t>препратката към</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МСФО</w:t>
      </w:r>
      <w:r w:rsidR="00780FA7" w:rsidRPr="005A56A5">
        <w:rPr>
          <w:rFonts w:ascii="Times New Roman" w:eastAsia="Times New Roman" w:hAnsi="Times New Roman" w:cs="Times New Roman"/>
          <w:color w:val="575757"/>
          <w:kern w:val="0"/>
          <w:sz w:val="24"/>
          <w:szCs w:val="24"/>
          <w:lang w:val="bg-BG"/>
          <w14:ligatures w14:val="none"/>
        </w:rPr>
        <w:t xml:space="preserve"> 9 </w:t>
      </w:r>
      <w:r w:rsidRPr="005A56A5">
        <w:rPr>
          <w:rFonts w:ascii="Times New Roman" w:eastAsia="Times New Roman" w:hAnsi="Times New Roman" w:cs="Times New Roman"/>
          <w:i/>
          <w:iCs/>
          <w:color w:val="575757"/>
          <w:kern w:val="0"/>
          <w:sz w:val="24"/>
          <w:szCs w:val="24"/>
          <w:lang w:val="bg-BG"/>
          <w14:ligatures w14:val="none"/>
        </w:rPr>
        <w:t>Финансови инструменти</w:t>
      </w:r>
      <w:r w:rsidR="00780FA7" w:rsidRPr="005A56A5">
        <w:rPr>
          <w:rFonts w:ascii="Times New Roman" w:eastAsia="Times New Roman" w:hAnsi="Times New Roman" w:cs="Times New Roman"/>
          <w:color w:val="575757"/>
          <w:kern w:val="0"/>
          <w:sz w:val="24"/>
          <w:szCs w:val="24"/>
          <w:lang w:val="bg-BG"/>
          <w14:ligatures w14:val="none"/>
        </w:rPr>
        <w:t> </w:t>
      </w:r>
      <w:r w:rsidRPr="005A56A5">
        <w:rPr>
          <w:rFonts w:ascii="Times New Roman" w:eastAsia="Times New Roman" w:hAnsi="Times New Roman" w:cs="Times New Roman"/>
          <w:color w:val="575757"/>
          <w:kern w:val="0"/>
          <w:sz w:val="24"/>
          <w:szCs w:val="24"/>
          <w:lang w:val="bg-BG"/>
          <w14:ligatures w14:val="none"/>
        </w:rPr>
        <w:t>относно последващото оценяване</w:t>
      </w:r>
      <w:r w:rsidR="00780FA7" w:rsidRPr="005A56A5">
        <w:rPr>
          <w:rFonts w:ascii="Times New Roman" w:eastAsia="Times New Roman" w:hAnsi="Times New Roman" w:cs="Times New Roman"/>
          <w:color w:val="575757"/>
          <w:kern w:val="0"/>
          <w:sz w:val="24"/>
          <w:szCs w:val="24"/>
          <w:lang w:val="bg-BG"/>
          <w14:ligatures w14:val="none"/>
        </w:rPr>
        <w:t>.</w:t>
      </w:r>
    </w:p>
    <w:p w14:paraId="296036EF" w14:textId="08FDB85E" w:rsidR="00780FA7" w:rsidRPr="005A56A5" w:rsidRDefault="00E81376"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Единадесет от дванадесетте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6B2825D2" w14:textId="00854EE0" w:rsidR="00780FA7" w:rsidRPr="005A56A5" w:rsidRDefault="004E43F4"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i/>
          <w:iCs/>
          <w:color w:val="575757"/>
          <w:kern w:val="0"/>
          <w:sz w:val="24"/>
          <w:szCs w:val="24"/>
          <w:lang w:val="bg-BG"/>
          <w14:ligatures w14:val="none"/>
        </w:rPr>
        <w:t>Представяне на финансови пасиви, съдържащи договорни задължения за плащане на суми на базата на резултатите от дейността на предприятието или промени в нетните му активи</w:t>
      </w:r>
    </w:p>
    <w:p w14:paraId="7E3FCF90" w14:textId="006560EC"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4E43F4" w:rsidRPr="005A56A5">
        <w:rPr>
          <w:rFonts w:ascii="Helvetica" w:eastAsia="Times New Roman" w:hAnsi="Helvetica" w:cs="Helvetica"/>
          <w:color w:val="575757"/>
          <w:kern w:val="0"/>
          <w:sz w:val="24"/>
          <w:szCs w:val="24"/>
          <w:lang w:val="bg-BG"/>
          <w14:ligatures w14:val="none"/>
        </w:rPr>
        <w:t>обсъди как предложеното изискване за оповестяване, договорено в порядък на работна хипотеза през декември</w:t>
      </w:r>
      <w:r w:rsidRPr="005A56A5">
        <w:rPr>
          <w:rFonts w:ascii="Helvetica" w:eastAsia="Times New Roman" w:hAnsi="Helvetica" w:cs="Helvetica"/>
          <w:color w:val="575757"/>
          <w:kern w:val="0"/>
          <w:sz w:val="24"/>
          <w:szCs w:val="24"/>
          <w:lang w:val="bg-BG"/>
          <w14:ligatures w14:val="none"/>
        </w:rPr>
        <w:t xml:space="preserve"> 2022 </w:t>
      </w:r>
      <w:r w:rsidR="004E43F4" w:rsidRPr="005A56A5">
        <w:rPr>
          <w:rFonts w:ascii="Helvetica" w:eastAsia="Times New Roman" w:hAnsi="Helvetica" w:cs="Helvetica"/>
          <w:color w:val="575757"/>
          <w:kern w:val="0"/>
          <w:sz w:val="24"/>
          <w:szCs w:val="24"/>
          <w:lang w:val="bg-BG"/>
          <w14:ligatures w14:val="none"/>
        </w:rPr>
        <w:t>г., се отнася до изискването за представяне в параграф</w:t>
      </w:r>
      <w:r w:rsidRPr="005A56A5">
        <w:rPr>
          <w:rFonts w:ascii="Helvetica" w:eastAsia="Times New Roman" w:hAnsi="Helvetica" w:cs="Helvetica"/>
          <w:color w:val="575757"/>
          <w:kern w:val="0"/>
          <w:sz w:val="24"/>
          <w:szCs w:val="24"/>
          <w:lang w:val="bg-BG"/>
          <w14:ligatures w14:val="none"/>
        </w:rPr>
        <w:t xml:space="preserve"> 41 </w:t>
      </w:r>
      <w:r w:rsidR="00616598">
        <w:rPr>
          <w:rFonts w:ascii="Helvetica" w:eastAsia="Times New Roman" w:hAnsi="Helvetica" w:cs="Helvetica"/>
          <w:color w:val="575757"/>
          <w:kern w:val="0"/>
          <w:sz w:val="24"/>
          <w:szCs w:val="24"/>
          <w:lang w:val="bg-BG"/>
          <w14:ligatures w14:val="none"/>
        </w:rPr>
        <w:t>от</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МСС</w:t>
      </w:r>
      <w:r w:rsidRPr="005A56A5">
        <w:rPr>
          <w:rFonts w:ascii="Helvetica" w:eastAsia="Times New Roman" w:hAnsi="Helvetica" w:cs="Helvetica"/>
          <w:color w:val="575757"/>
          <w:kern w:val="0"/>
          <w:sz w:val="24"/>
          <w:szCs w:val="24"/>
          <w:lang w:val="bg-BG"/>
          <w14:ligatures w14:val="none"/>
        </w:rPr>
        <w:t xml:space="preserve"> 32.</w:t>
      </w:r>
    </w:p>
    <w:p w14:paraId="710AC544" w14:textId="58158AC1"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D75DEC" w:rsidRPr="005A56A5">
        <w:rPr>
          <w:rFonts w:ascii="Helvetica" w:eastAsia="Times New Roman" w:hAnsi="Helvetica" w:cs="Helvetica"/>
          <w:color w:val="575757"/>
          <w:kern w:val="0"/>
          <w:sz w:val="24"/>
          <w:szCs w:val="24"/>
          <w:lang w:val="bg-BG"/>
          <w14:ligatures w14:val="none"/>
        </w:rPr>
        <w:t>да заличи второто изречение от параграф</w:t>
      </w:r>
      <w:r w:rsidR="00780FA7" w:rsidRPr="005A56A5">
        <w:rPr>
          <w:rFonts w:ascii="Helvetica" w:eastAsia="Times New Roman" w:hAnsi="Helvetica" w:cs="Helvetica"/>
          <w:color w:val="575757"/>
          <w:kern w:val="0"/>
          <w:sz w:val="24"/>
          <w:szCs w:val="24"/>
          <w:lang w:val="bg-BG"/>
          <w14:ligatures w14:val="none"/>
        </w:rPr>
        <w:t xml:space="preserve"> 41 </w:t>
      </w:r>
      <w:r w:rsidR="00D75DEC" w:rsidRPr="005A56A5">
        <w:rPr>
          <w:rFonts w:ascii="Helvetica" w:eastAsia="Times New Roman" w:hAnsi="Helvetica" w:cs="Helvetica"/>
          <w:color w:val="575757"/>
          <w:kern w:val="0"/>
          <w:sz w:val="24"/>
          <w:szCs w:val="24"/>
          <w:lang w:val="bg-BG"/>
          <w14:ligatures w14:val="none"/>
        </w:rPr>
        <w:t>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МСС</w:t>
      </w:r>
      <w:r w:rsidR="00780FA7" w:rsidRPr="005A56A5">
        <w:rPr>
          <w:rFonts w:ascii="Helvetica" w:eastAsia="Times New Roman" w:hAnsi="Helvetica" w:cs="Helvetica"/>
          <w:color w:val="575757"/>
          <w:kern w:val="0"/>
          <w:sz w:val="24"/>
          <w:szCs w:val="24"/>
          <w:lang w:val="bg-BG"/>
          <w14:ligatures w14:val="none"/>
        </w:rPr>
        <w:t xml:space="preserve"> 32.</w:t>
      </w:r>
    </w:p>
    <w:p w14:paraId="453EA894" w14:textId="52C09C41"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0FD61EBE" w14:textId="1A1714DE" w:rsidR="00780FA7" w:rsidRPr="005A56A5" w:rsidRDefault="00D75DE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i/>
          <w:iCs/>
          <w:color w:val="575757"/>
          <w:kern w:val="0"/>
          <w:sz w:val="24"/>
          <w:szCs w:val="24"/>
          <w:lang w:val="bg-BG"/>
          <w14:ligatures w14:val="none"/>
        </w:rPr>
        <w:t xml:space="preserve">Право на </w:t>
      </w:r>
      <w:r w:rsidR="00D74B95" w:rsidRPr="005A56A5">
        <w:rPr>
          <w:rFonts w:ascii="Helvetica" w:eastAsia="Times New Roman" w:hAnsi="Helvetica" w:cs="Helvetica"/>
          <w:i/>
          <w:iCs/>
          <w:color w:val="575757"/>
          <w:kern w:val="0"/>
          <w:sz w:val="24"/>
          <w:szCs w:val="24"/>
          <w:lang w:val="bg-BG"/>
          <w14:ligatures w14:val="none"/>
        </w:rPr>
        <w:t>преценка</w:t>
      </w:r>
      <w:r w:rsidRPr="005A56A5">
        <w:rPr>
          <w:rFonts w:ascii="Helvetica" w:eastAsia="Times New Roman" w:hAnsi="Helvetica" w:cs="Helvetica"/>
          <w:i/>
          <w:iCs/>
          <w:color w:val="575757"/>
          <w:kern w:val="0"/>
          <w:sz w:val="24"/>
          <w:szCs w:val="24"/>
          <w:lang w:val="bg-BG"/>
          <w14:ligatures w14:val="none"/>
        </w:rPr>
        <w:t xml:space="preserve"> на акционерите</w:t>
      </w:r>
    </w:p>
    <w:p w14:paraId="246624DC" w14:textId="6A9CE713"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D75DEC" w:rsidRPr="005A56A5">
        <w:rPr>
          <w:rFonts w:ascii="Helvetica" w:eastAsia="Times New Roman" w:hAnsi="Helvetica" w:cs="Helvetica"/>
          <w:color w:val="575757"/>
          <w:kern w:val="0"/>
          <w:sz w:val="24"/>
          <w:szCs w:val="24"/>
          <w:lang w:val="bg-BG"/>
          <w14:ligatures w14:val="none"/>
        </w:rPr>
        <w:t>обсъди също така въпроса как да формулира предложените фактори, които предприятието взема под внимание, когато оценява дали решение на акционерите се третира като решение на предприятието</w:t>
      </w:r>
      <w:r w:rsidRPr="005A56A5">
        <w:rPr>
          <w:rFonts w:ascii="Helvetica" w:eastAsia="Times New Roman" w:hAnsi="Helvetica" w:cs="Helvetica"/>
          <w:color w:val="575757"/>
          <w:kern w:val="0"/>
          <w:sz w:val="24"/>
          <w:szCs w:val="24"/>
          <w:lang w:val="bg-BG"/>
          <w14:ligatures w14:val="none"/>
        </w:rPr>
        <w:t xml:space="preserve">. </w:t>
      </w:r>
      <w:r w:rsidR="00D75DEC" w:rsidRPr="005A56A5">
        <w:rPr>
          <w:rFonts w:ascii="Helvetica" w:eastAsia="Times New Roman" w:hAnsi="Helvetica" w:cs="Helvetica"/>
          <w:color w:val="575757"/>
          <w:kern w:val="0"/>
          <w:sz w:val="24"/>
          <w:szCs w:val="24"/>
          <w:lang w:val="bg-BG"/>
          <w14:ligatures w14:val="none"/>
        </w:rPr>
        <w:t xml:space="preserve">Това оценяване е необходимо, за да се определи дали предприятието има безусловно право да избегне </w:t>
      </w:r>
      <w:r w:rsidR="00D75DEC" w:rsidRPr="005A56A5">
        <w:rPr>
          <w:rFonts w:ascii="Helvetica" w:eastAsia="Times New Roman" w:hAnsi="Helvetica" w:cs="Helvetica"/>
          <w:color w:val="575757"/>
          <w:kern w:val="0"/>
          <w:sz w:val="24"/>
          <w:szCs w:val="24"/>
          <w:lang w:val="bg-BG"/>
          <w14:ligatures w14:val="none"/>
        </w:rPr>
        <w:lastRenderedPageBreak/>
        <w:t>предоставянето на парични средства</w:t>
      </w:r>
      <w:r w:rsidRPr="005A56A5">
        <w:rPr>
          <w:rFonts w:ascii="Helvetica" w:eastAsia="Times New Roman" w:hAnsi="Helvetica" w:cs="Helvetica"/>
          <w:color w:val="575757"/>
          <w:kern w:val="0"/>
          <w:sz w:val="24"/>
          <w:szCs w:val="24"/>
          <w:lang w:val="bg-BG"/>
          <w14:ligatures w14:val="none"/>
        </w:rPr>
        <w:t xml:space="preserve"> (</w:t>
      </w:r>
      <w:r w:rsidR="00D75DEC" w:rsidRPr="005A56A5">
        <w:rPr>
          <w:rFonts w:ascii="Helvetica" w:eastAsia="Times New Roman" w:hAnsi="Helvetica" w:cs="Helvetica"/>
          <w:color w:val="575757"/>
          <w:kern w:val="0"/>
          <w:sz w:val="24"/>
          <w:szCs w:val="24"/>
          <w:lang w:val="bg-BG"/>
          <w14:ligatures w14:val="none"/>
        </w:rPr>
        <w:t>или уреждането на финансов инструмент по такъв начин, че той би бил финансов пасив</w:t>
      </w:r>
      <w:r w:rsidRPr="005A56A5">
        <w:rPr>
          <w:rFonts w:ascii="Helvetica" w:eastAsia="Times New Roman" w:hAnsi="Helvetica" w:cs="Helvetica"/>
          <w:color w:val="575757"/>
          <w:kern w:val="0"/>
          <w:sz w:val="24"/>
          <w:szCs w:val="24"/>
          <w:lang w:val="bg-BG"/>
          <w14:ligatures w14:val="none"/>
        </w:rPr>
        <w:t xml:space="preserve">). IASB </w:t>
      </w:r>
      <w:r w:rsidR="00D75DEC" w:rsidRPr="005A56A5">
        <w:rPr>
          <w:rFonts w:ascii="Helvetica" w:eastAsia="Times New Roman" w:hAnsi="Helvetica" w:cs="Helvetica"/>
          <w:color w:val="575757"/>
          <w:kern w:val="0"/>
          <w:sz w:val="24"/>
          <w:szCs w:val="24"/>
          <w:lang w:val="bg-BG"/>
          <w14:ligatures w14:val="none"/>
        </w:rPr>
        <w:t>се съгласи в порядък на работна хипотеза с предложените през февруари 2022 г. фактори</w:t>
      </w:r>
      <w:r w:rsidRPr="005A56A5">
        <w:rPr>
          <w:rFonts w:ascii="Helvetica" w:eastAsia="Times New Roman" w:hAnsi="Helvetica" w:cs="Helvetica"/>
          <w:color w:val="575757"/>
          <w:kern w:val="0"/>
          <w:sz w:val="24"/>
          <w:szCs w:val="24"/>
          <w:lang w:val="bg-BG"/>
          <w14:ligatures w14:val="none"/>
        </w:rPr>
        <w:t xml:space="preserve">; </w:t>
      </w:r>
      <w:r w:rsidR="00D75DEC" w:rsidRPr="005A56A5">
        <w:rPr>
          <w:rFonts w:ascii="Helvetica" w:eastAsia="Times New Roman" w:hAnsi="Helvetica" w:cs="Helvetica"/>
          <w:color w:val="575757"/>
          <w:kern w:val="0"/>
          <w:sz w:val="24"/>
          <w:szCs w:val="24"/>
          <w:lang w:val="bg-BG"/>
          <w14:ligatures w14:val="none"/>
        </w:rPr>
        <w:t>поради това от Съвета не бе поискано да взема каквито и да е допълнителни решения</w:t>
      </w:r>
      <w:r w:rsidRPr="005A56A5">
        <w:rPr>
          <w:rFonts w:ascii="Helvetica" w:eastAsia="Times New Roman" w:hAnsi="Helvetica" w:cs="Helvetica"/>
          <w:color w:val="575757"/>
          <w:kern w:val="0"/>
          <w:sz w:val="24"/>
          <w:szCs w:val="24"/>
          <w:lang w:val="bg-BG"/>
          <w14:ligatures w14:val="none"/>
        </w:rPr>
        <w:t>.</w:t>
      </w:r>
    </w:p>
    <w:p w14:paraId="7DA0CA7C" w14:textId="6E9E4B73" w:rsidR="00780FA7" w:rsidRPr="005A56A5" w:rsidRDefault="00D74B95"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b/>
          <w:bCs/>
          <w:i/>
          <w:iCs/>
          <w:color w:val="575757"/>
          <w:kern w:val="0"/>
          <w:sz w:val="24"/>
          <w:szCs w:val="24"/>
          <w:lang w:val="bg-BG"/>
          <w14:ligatures w14:val="none"/>
        </w:rPr>
        <w:t xml:space="preserve">Представяне на инструменти на собствения капитал </w:t>
      </w:r>
      <w:r w:rsidR="00780FA7" w:rsidRPr="005A56A5">
        <w:rPr>
          <w:rFonts w:ascii="Helvetica" w:eastAsia="Times New Roman" w:hAnsi="Helvetica" w:cs="Helvetica"/>
          <w:b/>
          <w:bCs/>
          <w:color w:val="575757"/>
          <w:kern w:val="0"/>
          <w:sz w:val="24"/>
          <w:szCs w:val="24"/>
          <w:lang w:val="bg-BG"/>
          <w14:ligatures w14:val="none"/>
        </w:rPr>
        <w:t>(</w:t>
      </w:r>
      <w:r w:rsidR="00D56402" w:rsidRPr="005A56A5">
        <w:rPr>
          <w:rFonts w:ascii="Helvetica" w:eastAsia="Times New Roman" w:hAnsi="Helvetica" w:cs="Helvetica"/>
          <w:b/>
          <w:bCs/>
          <w:color w:val="575757"/>
          <w:kern w:val="0"/>
          <w:sz w:val="24"/>
          <w:szCs w:val="24"/>
          <w:lang w:val="bg-BG"/>
          <w14:ligatures w14:val="none"/>
        </w:rPr>
        <w:t>Документ по програмата</w:t>
      </w:r>
      <w:r w:rsidR="00780FA7" w:rsidRPr="005A56A5">
        <w:rPr>
          <w:rFonts w:ascii="Helvetica" w:eastAsia="Times New Roman" w:hAnsi="Helvetica" w:cs="Helvetica"/>
          <w:b/>
          <w:bCs/>
          <w:color w:val="575757"/>
          <w:kern w:val="0"/>
          <w:sz w:val="24"/>
          <w:szCs w:val="24"/>
          <w:lang w:val="bg-BG"/>
          <w14:ligatures w14:val="none"/>
        </w:rPr>
        <w:t xml:space="preserve"> 5</w:t>
      </w:r>
      <w:r w:rsidRPr="005A56A5">
        <w:rPr>
          <w:rFonts w:ascii="Helvetica" w:eastAsia="Times New Roman" w:hAnsi="Helvetica" w:cs="Helvetica"/>
          <w:b/>
          <w:bCs/>
          <w:color w:val="575757"/>
          <w:kern w:val="0"/>
          <w:sz w:val="24"/>
          <w:szCs w:val="24"/>
          <w:lang w:val="bg-BG"/>
          <w14:ligatures w14:val="none"/>
        </w:rPr>
        <w:t>В</w:t>
      </w:r>
      <w:r w:rsidR="00780FA7" w:rsidRPr="005A56A5">
        <w:rPr>
          <w:rFonts w:ascii="Helvetica" w:eastAsia="Times New Roman" w:hAnsi="Helvetica" w:cs="Helvetica"/>
          <w:b/>
          <w:bCs/>
          <w:color w:val="575757"/>
          <w:kern w:val="0"/>
          <w:sz w:val="24"/>
          <w:szCs w:val="24"/>
          <w:lang w:val="bg-BG"/>
          <w14:ligatures w14:val="none"/>
        </w:rPr>
        <w:t>)</w:t>
      </w:r>
    </w:p>
    <w:p w14:paraId="1C84EA97" w14:textId="3E675D38"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4B3277" w:rsidRPr="005A56A5">
        <w:rPr>
          <w:rFonts w:ascii="Helvetica" w:eastAsia="Times New Roman" w:hAnsi="Helvetica" w:cs="Helvetica"/>
          <w:color w:val="575757"/>
          <w:kern w:val="0"/>
          <w:sz w:val="24"/>
          <w:szCs w:val="24"/>
          <w:lang w:val="bg-BG"/>
          <w14:ligatures w14:val="none"/>
        </w:rPr>
        <w:t>обсъди потенциални изисквания за представяне, които да отговорят на нуждите на потребителите на финансови отчети</w:t>
      </w:r>
      <w:r w:rsidRPr="005A56A5">
        <w:rPr>
          <w:rFonts w:ascii="Helvetica" w:eastAsia="Times New Roman" w:hAnsi="Helvetica" w:cs="Helvetica"/>
          <w:color w:val="575757"/>
          <w:kern w:val="0"/>
          <w:sz w:val="24"/>
          <w:szCs w:val="24"/>
          <w:lang w:val="bg-BG"/>
          <w14:ligatures w14:val="none"/>
        </w:rPr>
        <w:t xml:space="preserve"> (</w:t>
      </w:r>
      <w:r w:rsidR="004B3277" w:rsidRPr="005A56A5">
        <w:rPr>
          <w:rFonts w:ascii="Helvetica" w:eastAsia="Times New Roman" w:hAnsi="Helvetica" w:cs="Helvetica"/>
          <w:color w:val="575757"/>
          <w:kern w:val="0"/>
          <w:sz w:val="24"/>
          <w:szCs w:val="24"/>
          <w:lang w:val="bg-BG"/>
          <w14:ligatures w14:val="none"/>
        </w:rPr>
        <w:t>в частност, инвеститори в обикновени акции</w:t>
      </w:r>
      <w:r w:rsidRPr="005A56A5">
        <w:rPr>
          <w:rFonts w:ascii="Helvetica" w:eastAsia="Times New Roman" w:hAnsi="Helvetica" w:cs="Helvetica"/>
          <w:color w:val="575757"/>
          <w:kern w:val="0"/>
          <w:sz w:val="24"/>
          <w:szCs w:val="24"/>
          <w:lang w:val="bg-BG"/>
          <w14:ligatures w14:val="none"/>
        </w:rPr>
        <w:t xml:space="preserve">), </w:t>
      </w:r>
      <w:r w:rsidR="004B3277" w:rsidRPr="005A56A5">
        <w:rPr>
          <w:rFonts w:ascii="Helvetica" w:eastAsia="Times New Roman" w:hAnsi="Helvetica" w:cs="Helvetica"/>
          <w:color w:val="575757"/>
          <w:kern w:val="0"/>
          <w:sz w:val="24"/>
          <w:szCs w:val="24"/>
          <w:lang w:val="bg-BG"/>
          <w14:ligatures w14:val="none"/>
        </w:rPr>
        <w:t>включващи</w:t>
      </w:r>
      <w:r w:rsidRPr="005A56A5">
        <w:rPr>
          <w:rFonts w:ascii="Helvetica" w:eastAsia="Times New Roman" w:hAnsi="Helvetica" w:cs="Helvetica"/>
          <w:color w:val="575757"/>
          <w:kern w:val="0"/>
          <w:sz w:val="24"/>
          <w:szCs w:val="24"/>
          <w:lang w:val="bg-BG"/>
          <w14:ligatures w14:val="none"/>
        </w:rPr>
        <w:t>:</w:t>
      </w:r>
    </w:p>
    <w:p w14:paraId="322859EE" w14:textId="4D93CB36" w:rsidR="00780FA7" w:rsidRPr="005A56A5" w:rsidRDefault="004B3277" w:rsidP="00780FA7">
      <w:pPr>
        <w:numPr>
          <w:ilvl w:val="0"/>
          <w:numId w:val="9"/>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прозрачност относно това дали предприятието е емитирало други инструменти, класифицирани като собствен капитал</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510EC658" w14:textId="4D3D5745" w:rsidR="00780FA7" w:rsidRPr="005A56A5" w:rsidRDefault="004B3277" w:rsidP="00780FA7">
      <w:pPr>
        <w:numPr>
          <w:ilvl w:val="0"/>
          <w:numId w:val="9"/>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ясно разграничаване на възвръщаемостта за акционерите в обикновени акции</w:t>
      </w:r>
      <w:r w:rsidR="00780FA7" w:rsidRPr="005A56A5">
        <w:rPr>
          <w:rFonts w:ascii="Times New Roman" w:eastAsia="Times New Roman" w:hAnsi="Times New Roman" w:cs="Times New Roman"/>
          <w:color w:val="575757"/>
          <w:kern w:val="0"/>
          <w:sz w:val="24"/>
          <w:szCs w:val="24"/>
          <w:lang w:val="bg-BG"/>
          <w14:ligatures w14:val="none"/>
        </w:rPr>
        <w:t>.</w:t>
      </w:r>
    </w:p>
    <w:p w14:paraId="3EDBF15D" w14:textId="6376B397"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4B3277" w:rsidRPr="005A56A5">
        <w:rPr>
          <w:rFonts w:ascii="Helvetica" w:eastAsia="Times New Roman" w:hAnsi="Helvetica" w:cs="Helvetica"/>
          <w:color w:val="575757"/>
          <w:kern w:val="0"/>
          <w:sz w:val="24"/>
          <w:szCs w:val="24"/>
          <w:lang w:val="bg-BG"/>
          <w14:ligatures w14:val="none"/>
        </w:rPr>
        <w:t>да измени изискванията в</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МСС</w:t>
      </w:r>
      <w:r w:rsidR="00780FA7" w:rsidRPr="005A56A5">
        <w:rPr>
          <w:rFonts w:ascii="Helvetica" w:eastAsia="Times New Roman" w:hAnsi="Helvetica" w:cs="Helvetica"/>
          <w:color w:val="575757"/>
          <w:kern w:val="0"/>
          <w:sz w:val="24"/>
          <w:szCs w:val="24"/>
          <w:lang w:val="bg-BG"/>
          <w14:ligatures w14:val="none"/>
        </w:rPr>
        <w:t xml:space="preserve"> 1</w:t>
      </w:r>
      <w:r w:rsidR="004B3277" w:rsidRPr="005A56A5">
        <w:rPr>
          <w:rFonts w:ascii="Helvetica" w:eastAsia="Times New Roman" w:hAnsi="Helvetica" w:cs="Helvetica"/>
          <w:color w:val="575757"/>
          <w:kern w:val="0"/>
          <w:sz w:val="24"/>
          <w:szCs w:val="24"/>
          <w:lang w:val="bg-BG"/>
          <w14:ligatures w14:val="none"/>
        </w:rPr>
        <w:t>, така че да гарантира, че</w:t>
      </w:r>
      <w:r w:rsidR="00780FA7" w:rsidRPr="005A56A5">
        <w:rPr>
          <w:rFonts w:ascii="Helvetica" w:eastAsia="Times New Roman" w:hAnsi="Helvetica" w:cs="Helvetica"/>
          <w:color w:val="575757"/>
          <w:kern w:val="0"/>
          <w:sz w:val="24"/>
          <w:szCs w:val="24"/>
          <w:lang w:val="bg-BG"/>
          <w14:ligatures w14:val="none"/>
        </w:rPr>
        <w:t> </w:t>
      </w:r>
      <w:r w:rsidR="004B3277" w:rsidRPr="005A56A5">
        <w:rPr>
          <w:rFonts w:ascii="Helvetica" w:eastAsia="Times New Roman" w:hAnsi="Helvetica" w:cs="Helvetica"/>
          <w:i/>
          <w:iCs/>
          <w:color w:val="575757"/>
          <w:kern w:val="0"/>
          <w:sz w:val="24"/>
          <w:szCs w:val="24"/>
          <w:lang w:val="bg-BG"/>
          <w14:ligatures w14:val="none"/>
        </w:rPr>
        <w:t>сумите, полагащи се на</w:t>
      </w:r>
      <w:r w:rsidR="00780FA7" w:rsidRPr="005A56A5">
        <w:rPr>
          <w:rFonts w:ascii="Helvetica" w:eastAsia="Times New Roman" w:hAnsi="Helvetica" w:cs="Helvetica"/>
          <w:i/>
          <w:iCs/>
          <w:color w:val="575757"/>
          <w:kern w:val="0"/>
          <w:sz w:val="24"/>
          <w:szCs w:val="24"/>
          <w:lang w:val="bg-BG"/>
          <w14:ligatures w14:val="none"/>
        </w:rPr>
        <w:t xml:space="preserve"> </w:t>
      </w:r>
      <w:r w:rsidR="004B3277" w:rsidRPr="005A56A5">
        <w:rPr>
          <w:rFonts w:ascii="Helvetica" w:eastAsia="Times New Roman" w:hAnsi="Helvetica" w:cs="Helvetica"/>
          <w:i/>
          <w:iCs/>
          <w:color w:val="575757"/>
          <w:kern w:val="0"/>
          <w:sz w:val="24"/>
          <w:szCs w:val="24"/>
          <w:lang w:val="bg-BG"/>
          <w14:ligatures w14:val="none"/>
        </w:rPr>
        <w:t xml:space="preserve">акционерите в обикновени акции </w:t>
      </w:r>
      <w:r w:rsidR="004B3277" w:rsidRPr="005A56A5">
        <w:rPr>
          <w:rFonts w:ascii="Helvetica" w:eastAsia="Times New Roman" w:hAnsi="Helvetica" w:cs="Helvetica"/>
          <w:color w:val="575757"/>
          <w:kern w:val="0"/>
          <w:sz w:val="24"/>
          <w:szCs w:val="24"/>
          <w:lang w:val="bg-BG"/>
          <w14:ligatures w14:val="none"/>
        </w:rPr>
        <w:t>са ясно видими в отчета за финансовото състояние на предприятието</w:t>
      </w:r>
      <w:r w:rsidR="00780FA7" w:rsidRPr="005A56A5">
        <w:rPr>
          <w:rFonts w:ascii="Helvetica" w:eastAsia="Times New Roman" w:hAnsi="Helvetica" w:cs="Helvetica"/>
          <w:color w:val="575757"/>
          <w:kern w:val="0"/>
          <w:sz w:val="24"/>
          <w:szCs w:val="24"/>
          <w:lang w:val="bg-BG"/>
          <w14:ligatures w14:val="none"/>
        </w:rPr>
        <w:t xml:space="preserve">, </w:t>
      </w:r>
      <w:r w:rsidR="004B3277" w:rsidRPr="005A56A5">
        <w:rPr>
          <w:rFonts w:ascii="Helvetica" w:eastAsia="Times New Roman" w:hAnsi="Helvetica" w:cs="Helvetica"/>
          <w:color w:val="575757"/>
          <w:kern w:val="0"/>
          <w:sz w:val="24"/>
          <w:szCs w:val="24"/>
          <w:lang w:val="bg-BG"/>
          <w14:ligatures w14:val="none"/>
        </w:rPr>
        <w:t>отчета или отчетите за финансовите резултати от дейността и отчета за промените в собствения капитал</w:t>
      </w:r>
      <w:r w:rsidR="00780FA7" w:rsidRPr="005A56A5">
        <w:rPr>
          <w:rFonts w:ascii="Helvetica" w:eastAsia="Times New Roman" w:hAnsi="Helvetica" w:cs="Helvetica"/>
          <w:color w:val="575757"/>
          <w:kern w:val="0"/>
          <w:sz w:val="24"/>
          <w:szCs w:val="24"/>
          <w:lang w:val="bg-BG"/>
          <w14:ligatures w14:val="none"/>
        </w:rPr>
        <w:t xml:space="preserve">. </w:t>
      </w:r>
      <w:r w:rsidR="004B3277" w:rsidRPr="005A56A5">
        <w:rPr>
          <w:rFonts w:ascii="Helvetica" w:eastAsia="Times New Roman" w:hAnsi="Helvetica" w:cs="Helvetica"/>
          <w:color w:val="575757"/>
          <w:kern w:val="0"/>
          <w:sz w:val="24"/>
          <w:szCs w:val="24"/>
          <w:lang w:val="bg-BG"/>
          <w14:ligatures w14:val="none"/>
        </w:rPr>
        <w:t>Тези изменения ще изискват предприятието да представя</w:t>
      </w:r>
      <w:r w:rsidR="00780FA7" w:rsidRPr="005A56A5">
        <w:rPr>
          <w:rFonts w:ascii="Helvetica" w:eastAsia="Times New Roman" w:hAnsi="Helvetica" w:cs="Helvetica"/>
          <w:color w:val="575757"/>
          <w:kern w:val="0"/>
          <w:sz w:val="24"/>
          <w:szCs w:val="24"/>
          <w:lang w:val="bg-BG"/>
          <w14:ligatures w14:val="none"/>
        </w:rPr>
        <w:t>:</w:t>
      </w:r>
    </w:p>
    <w:p w14:paraId="16C75CFF" w14:textId="4A834EE4" w:rsidR="00780FA7" w:rsidRPr="005A56A5" w:rsidRDefault="004B3277" w:rsidP="00780FA7">
      <w:pPr>
        <w:numPr>
          <w:ilvl w:val="0"/>
          <w:numId w:val="10"/>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позиции на отделни редове за емитирания капитал и резервите, полагащи се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i/>
          <w:iCs/>
          <w:color w:val="575757"/>
          <w:kern w:val="0"/>
          <w:sz w:val="24"/>
          <w:szCs w:val="24"/>
          <w:lang w:val="bg-BG"/>
          <w14:ligatures w14:val="none"/>
        </w:rPr>
        <w:t>притежателите на обикновени акции на предприятието майка</w:t>
      </w:r>
      <w:r w:rsidR="00780FA7" w:rsidRPr="005A56A5">
        <w:rPr>
          <w:rFonts w:ascii="Times New Roman" w:eastAsia="Times New Roman" w:hAnsi="Times New Roman" w:cs="Times New Roman"/>
          <w:color w:val="575757"/>
          <w:kern w:val="0"/>
          <w:sz w:val="24"/>
          <w:szCs w:val="24"/>
          <w:lang w:val="bg-BG"/>
          <w14:ligatures w14:val="none"/>
        </w:rPr>
        <w:t> </w:t>
      </w:r>
      <w:r w:rsidRPr="005A56A5">
        <w:rPr>
          <w:rFonts w:ascii="Times New Roman" w:eastAsia="Times New Roman" w:hAnsi="Times New Roman" w:cs="Times New Roman"/>
          <w:color w:val="575757"/>
          <w:kern w:val="0"/>
          <w:sz w:val="24"/>
          <w:szCs w:val="24"/>
          <w:lang w:val="bg-BG"/>
          <w14:ligatures w14:val="none"/>
        </w:rPr>
        <w:t>отделно от</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 xml:space="preserve">емитирания капитал и резервите, полагащи се на други собственици на предприятието майка </w:t>
      </w:r>
      <w:r w:rsidR="00594EA4" w:rsidRPr="005A56A5">
        <w:rPr>
          <w:rFonts w:ascii="Times New Roman" w:eastAsia="Times New Roman" w:hAnsi="Times New Roman" w:cs="Times New Roman"/>
          <w:color w:val="575757"/>
          <w:kern w:val="0"/>
          <w:sz w:val="24"/>
          <w:szCs w:val="24"/>
          <w:lang w:val="bg-BG"/>
          <w14:ligatures w14:val="none"/>
        </w:rPr>
        <w:t xml:space="preserve">в отчета за финансовото състояние </w:t>
      </w:r>
      <w:r w:rsidR="00780FA7" w:rsidRPr="005A56A5">
        <w:rPr>
          <w:rFonts w:ascii="Times New Roman" w:eastAsia="Times New Roman" w:hAnsi="Times New Roman" w:cs="Times New Roman"/>
          <w:color w:val="575757"/>
          <w:kern w:val="0"/>
          <w:sz w:val="24"/>
          <w:szCs w:val="24"/>
          <w:lang w:val="bg-BG"/>
          <w14:ligatures w14:val="none"/>
        </w:rPr>
        <w:t>(</w:t>
      </w:r>
      <w:r w:rsidRPr="005A56A5">
        <w:rPr>
          <w:rFonts w:ascii="Times New Roman" w:eastAsia="Times New Roman" w:hAnsi="Times New Roman" w:cs="Times New Roman"/>
          <w:color w:val="575757"/>
          <w:kern w:val="0"/>
          <w:sz w:val="24"/>
          <w:szCs w:val="24"/>
          <w:lang w:val="bg-BG"/>
          <w14:ligatures w14:val="none"/>
        </w:rPr>
        <w:t>параграф</w:t>
      </w:r>
      <w:r w:rsidR="00780FA7" w:rsidRPr="005A56A5">
        <w:rPr>
          <w:rFonts w:ascii="Times New Roman" w:eastAsia="Times New Roman" w:hAnsi="Times New Roman" w:cs="Times New Roman"/>
          <w:color w:val="575757"/>
          <w:kern w:val="0"/>
          <w:sz w:val="24"/>
          <w:szCs w:val="24"/>
          <w:lang w:val="bg-BG"/>
          <w14:ligatures w14:val="none"/>
        </w:rPr>
        <w:t xml:space="preserve"> 54(</w:t>
      </w:r>
      <w:r w:rsidR="00594EA4" w:rsidRPr="005A56A5">
        <w:rPr>
          <w:rFonts w:ascii="Times New Roman" w:eastAsia="Times New Roman" w:hAnsi="Times New Roman" w:cs="Times New Roman"/>
          <w:color w:val="575757"/>
          <w:kern w:val="0"/>
          <w:sz w:val="24"/>
          <w:szCs w:val="24"/>
          <w:lang w:val="bg-BG"/>
          <w14:ligatures w14:val="none"/>
        </w:rPr>
        <w:t>р</w:t>
      </w:r>
      <w:r w:rsidR="00780FA7" w:rsidRPr="005A56A5">
        <w:rPr>
          <w:rFonts w:ascii="Times New Roman" w:eastAsia="Times New Roman" w:hAnsi="Times New Roman" w:cs="Times New Roman"/>
          <w:color w:val="575757"/>
          <w:kern w:val="0"/>
          <w:sz w:val="24"/>
          <w:szCs w:val="24"/>
          <w:lang w:val="bg-BG"/>
          <w14:ligatures w14:val="none"/>
        </w:rPr>
        <w:t xml:space="preserve">) </w:t>
      </w:r>
      <w:r w:rsidR="00594EA4" w:rsidRPr="005A56A5">
        <w:rPr>
          <w:rFonts w:ascii="Times New Roman" w:eastAsia="Times New Roman" w:hAnsi="Times New Roman" w:cs="Times New Roman"/>
          <w:color w:val="575757"/>
          <w:kern w:val="0"/>
          <w:sz w:val="24"/>
          <w:szCs w:val="24"/>
          <w:lang w:val="bg-BG"/>
          <w14:ligatures w14:val="none"/>
        </w:rPr>
        <w:t>от</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xml:space="preserve"> 1);</w:t>
      </w:r>
    </w:p>
    <w:p w14:paraId="79475ECD" w14:textId="1E6EC4BD" w:rsidR="00780FA7" w:rsidRPr="005A56A5" w:rsidRDefault="00594EA4" w:rsidP="00780FA7">
      <w:pPr>
        <w:numPr>
          <w:ilvl w:val="0"/>
          <w:numId w:val="10"/>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i/>
          <w:iCs/>
          <w:color w:val="575757"/>
          <w:kern w:val="0"/>
          <w:sz w:val="24"/>
          <w:szCs w:val="24"/>
          <w:lang w:val="bg-BG"/>
          <w14:ligatures w14:val="none"/>
        </w:rPr>
        <w:t>всеки клас капитал в обикновени акции</w:t>
      </w:r>
      <w:r w:rsidR="00780FA7" w:rsidRPr="005A56A5">
        <w:rPr>
          <w:rFonts w:ascii="Times New Roman" w:eastAsia="Times New Roman" w:hAnsi="Times New Roman" w:cs="Times New Roman"/>
          <w:i/>
          <w:iCs/>
          <w:color w:val="575757"/>
          <w:kern w:val="0"/>
          <w:sz w:val="24"/>
          <w:szCs w:val="24"/>
          <w:lang w:val="bg-BG"/>
          <w14:ligatures w14:val="none"/>
        </w:rPr>
        <w:t> </w:t>
      </w:r>
      <w:r w:rsidRPr="005A56A5">
        <w:rPr>
          <w:rFonts w:ascii="Times New Roman" w:eastAsia="Times New Roman" w:hAnsi="Times New Roman" w:cs="Times New Roman"/>
          <w:color w:val="575757"/>
          <w:kern w:val="0"/>
          <w:sz w:val="24"/>
          <w:szCs w:val="24"/>
          <w:lang w:val="bg-BG"/>
          <w14:ligatures w14:val="none"/>
        </w:rPr>
        <w:t>отделно от всеки клас друг внесен капитал в отчета за промените в собствения капитал</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параграф</w:t>
      </w:r>
      <w:r w:rsidR="00780FA7" w:rsidRPr="005A56A5">
        <w:rPr>
          <w:rFonts w:ascii="Times New Roman" w:eastAsia="Times New Roman" w:hAnsi="Times New Roman" w:cs="Times New Roman"/>
          <w:color w:val="575757"/>
          <w:kern w:val="0"/>
          <w:sz w:val="24"/>
          <w:szCs w:val="24"/>
          <w:lang w:val="bg-BG"/>
          <w14:ligatures w14:val="none"/>
        </w:rPr>
        <w:t xml:space="preserve"> 108 </w:t>
      </w:r>
      <w:r w:rsidRPr="005A56A5">
        <w:rPr>
          <w:rFonts w:ascii="Times New Roman" w:eastAsia="Times New Roman" w:hAnsi="Times New Roman" w:cs="Times New Roman"/>
          <w:color w:val="575757"/>
          <w:kern w:val="0"/>
          <w:sz w:val="24"/>
          <w:szCs w:val="24"/>
          <w:lang w:val="bg-BG"/>
          <w14:ligatures w14:val="none"/>
        </w:rPr>
        <w:t>от</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xml:space="preserve"> 1);</w:t>
      </w:r>
    </w:p>
    <w:p w14:paraId="420CD935" w14:textId="1CC4E5F9" w:rsidR="00780FA7" w:rsidRPr="005A56A5" w:rsidRDefault="00594EA4" w:rsidP="00780FA7">
      <w:pPr>
        <w:numPr>
          <w:ilvl w:val="0"/>
          <w:numId w:val="10"/>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печалба или загуба и друг всеобхватен доход за периода, полагащи се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i/>
          <w:iCs/>
          <w:color w:val="575757"/>
          <w:kern w:val="0"/>
          <w:sz w:val="24"/>
          <w:szCs w:val="24"/>
          <w:lang w:val="bg-BG"/>
          <w14:ligatures w14:val="none"/>
        </w:rPr>
        <w:t xml:space="preserve">притежателите на обикновени акции на предприятието майка  </w:t>
      </w:r>
      <w:r w:rsidRPr="005A56A5">
        <w:rPr>
          <w:rFonts w:ascii="Times New Roman" w:eastAsia="Times New Roman" w:hAnsi="Times New Roman" w:cs="Times New Roman"/>
          <w:color w:val="575757"/>
          <w:kern w:val="0"/>
          <w:sz w:val="24"/>
          <w:szCs w:val="24"/>
          <w:lang w:val="bg-BG"/>
          <w14:ligatures w14:val="none"/>
        </w:rPr>
        <w:t>отделно от съответните суми, полагащи се на други собственици на предприятието майка в отчета или отчетите за финансовите резултати от дейността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 xml:space="preserve">параграф </w:t>
      </w:r>
      <w:r w:rsidR="00780FA7" w:rsidRPr="005A56A5">
        <w:rPr>
          <w:rFonts w:ascii="Times New Roman" w:eastAsia="Times New Roman" w:hAnsi="Times New Roman" w:cs="Times New Roman"/>
          <w:color w:val="575757"/>
          <w:kern w:val="0"/>
          <w:sz w:val="24"/>
          <w:szCs w:val="24"/>
          <w:lang w:val="bg-BG"/>
          <w14:ligatures w14:val="none"/>
        </w:rPr>
        <w:t>81</w:t>
      </w:r>
      <w:r w:rsidRPr="005A56A5">
        <w:rPr>
          <w:rFonts w:ascii="Times New Roman" w:eastAsia="Times New Roman" w:hAnsi="Times New Roman" w:cs="Times New Roman"/>
          <w:color w:val="575757"/>
          <w:kern w:val="0"/>
          <w:sz w:val="24"/>
          <w:szCs w:val="24"/>
          <w:lang w:val="bg-BG"/>
          <w14:ligatures w14:val="none"/>
        </w:rPr>
        <w:t>Б</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от</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xml:space="preserve"> 1); </w:t>
      </w:r>
      <w:r w:rsidRPr="005A56A5">
        <w:rPr>
          <w:rFonts w:ascii="Times New Roman" w:eastAsia="Times New Roman" w:hAnsi="Times New Roman" w:cs="Times New Roman"/>
          <w:color w:val="575757"/>
          <w:kern w:val="0"/>
          <w:sz w:val="24"/>
          <w:szCs w:val="24"/>
          <w:lang w:val="bg-BG"/>
          <w14:ligatures w14:val="none"/>
        </w:rPr>
        <w:t>и</w:t>
      </w:r>
    </w:p>
    <w:p w14:paraId="01F58E1D" w14:textId="720BFBBD" w:rsidR="00780FA7" w:rsidRPr="005A56A5" w:rsidRDefault="00594EA4" w:rsidP="00780FA7">
      <w:pPr>
        <w:numPr>
          <w:ilvl w:val="0"/>
          <w:numId w:val="10"/>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сумата на дивидентите, призната като разпределение към</w:t>
      </w:r>
      <w:r w:rsidR="00780FA7" w:rsidRPr="005A56A5">
        <w:rPr>
          <w:rFonts w:ascii="Times New Roman" w:eastAsia="Times New Roman" w:hAnsi="Times New Roman" w:cs="Times New Roman"/>
          <w:color w:val="575757"/>
          <w:kern w:val="0"/>
          <w:sz w:val="24"/>
          <w:szCs w:val="24"/>
          <w:lang w:val="bg-BG"/>
          <w14:ligatures w14:val="none"/>
        </w:rPr>
        <w:t> </w:t>
      </w:r>
      <w:r w:rsidRPr="005A56A5">
        <w:rPr>
          <w:rFonts w:ascii="Times New Roman" w:eastAsia="Times New Roman" w:hAnsi="Times New Roman" w:cs="Times New Roman"/>
          <w:i/>
          <w:iCs/>
          <w:color w:val="575757"/>
          <w:kern w:val="0"/>
          <w:sz w:val="24"/>
          <w:szCs w:val="24"/>
          <w:lang w:val="bg-BG"/>
          <w14:ligatures w14:val="none"/>
        </w:rPr>
        <w:t>притежателите на обикновени акции</w:t>
      </w:r>
      <w:r w:rsidR="00780FA7" w:rsidRPr="005A56A5">
        <w:rPr>
          <w:rFonts w:ascii="Times New Roman" w:eastAsia="Times New Roman" w:hAnsi="Times New Roman" w:cs="Times New Roman"/>
          <w:color w:val="575757"/>
          <w:kern w:val="0"/>
          <w:sz w:val="24"/>
          <w:szCs w:val="24"/>
          <w:lang w:val="bg-BG"/>
          <w14:ligatures w14:val="none"/>
        </w:rPr>
        <w:t> </w:t>
      </w:r>
      <w:r w:rsidRPr="005A56A5">
        <w:rPr>
          <w:rFonts w:ascii="Times New Roman" w:eastAsia="Times New Roman" w:hAnsi="Times New Roman" w:cs="Times New Roman"/>
          <w:color w:val="575757"/>
          <w:kern w:val="0"/>
          <w:sz w:val="24"/>
          <w:szCs w:val="24"/>
          <w:lang w:val="bg-BG"/>
          <w14:ligatures w14:val="none"/>
        </w:rPr>
        <w:t>отделно от дивидентите, признати като разпределение към други собственици през периода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както и да представи съответните суми на дивиденти на акция</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или в отчета за промените в собствения капитал, или в пояснителните приложения</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параграф</w:t>
      </w:r>
      <w:r w:rsidR="00780FA7" w:rsidRPr="005A56A5">
        <w:rPr>
          <w:rFonts w:ascii="Times New Roman" w:eastAsia="Times New Roman" w:hAnsi="Times New Roman" w:cs="Times New Roman"/>
          <w:color w:val="575757"/>
          <w:kern w:val="0"/>
          <w:sz w:val="24"/>
          <w:szCs w:val="24"/>
          <w:lang w:val="bg-BG"/>
          <w14:ligatures w14:val="none"/>
        </w:rPr>
        <w:t xml:space="preserve"> 107 </w:t>
      </w:r>
      <w:r w:rsidRPr="005A56A5">
        <w:rPr>
          <w:rFonts w:ascii="Times New Roman" w:eastAsia="Times New Roman" w:hAnsi="Times New Roman" w:cs="Times New Roman"/>
          <w:color w:val="575757"/>
          <w:kern w:val="0"/>
          <w:sz w:val="24"/>
          <w:szCs w:val="24"/>
          <w:lang w:val="bg-BG"/>
          <w14:ligatures w14:val="none"/>
        </w:rPr>
        <w:t>от</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xml:space="preserve"> 1).</w:t>
      </w:r>
    </w:p>
    <w:p w14:paraId="4459A96E" w14:textId="4A08E239" w:rsidR="00780FA7" w:rsidRPr="005A56A5" w:rsidRDefault="00594EA4"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Единадесет от дванадесетте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но поискаха от екипа допълнително да разгледа въпроса как</w:t>
      </w:r>
      <w:r w:rsidR="006F4F99" w:rsidRPr="005A56A5">
        <w:rPr>
          <w:rFonts w:ascii="Helvetica" w:eastAsia="Times New Roman" w:hAnsi="Helvetica" w:cs="Helvetica"/>
          <w:color w:val="575757"/>
          <w:kern w:val="0"/>
          <w:sz w:val="24"/>
          <w:szCs w:val="24"/>
          <w:lang w:val="bg-BG"/>
          <w14:ligatures w14:val="none"/>
        </w:rPr>
        <w:t xml:space="preserve"> да бъдат дезагрегирани сумите, полагащи ес на притежателите на обикновени акции</w:t>
      </w:r>
      <w:r w:rsidR="00780FA7" w:rsidRPr="005A56A5">
        <w:rPr>
          <w:rFonts w:ascii="Helvetica" w:eastAsia="Times New Roman" w:hAnsi="Helvetica" w:cs="Helvetica"/>
          <w:color w:val="575757"/>
          <w:kern w:val="0"/>
          <w:sz w:val="24"/>
          <w:szCs w:val="24"/>
          <w:lang w:val="bg-BG"/>
          <w14:ligatures w14:val="none"/>
        </w:rPr>
        <w:t>.</w:t>
      </w:r>
    </w:p>
    <w:p w14:paraId="3EC5B1F6" w14:textId="3AA08318" w:rsidR="00780FA7" w:rsidRPr="005A56A5" w:rsidRDefault="00ED20B1" w:rsidP="00780FA7">
      <w:pPr>
        <w:spacing w:before="100" w:beforeAutospacing="1" w:after="100" w:afterAutospacing="1" w:line="240" w:lineRule="auto"/>
        <w:outlineLvl w:val="3"/>
        <w:rPr>
          <w:rFonts w:ascii="Times New Roman" w:eastAsia="Times New Roman" w:hAnsi="Times New Roman" w:cs="Times New Roman"/>
          <w:b/>
          <w:bCs/>
          <w:i/>
          <w:iCs/>
          <w:color w:val="575757"/>
          <w:kern w:val="0"/>
          <w:sz w:val="26"/>
          <w:szCs w:val="26"/>
          <w:lang w:val="bg-BG"/>
          <w14:ligatures w14:val="none"/>
        </w:rPr>
      </w:pPr>
      <w:r w:rsidRPr="005A56A5">
        <w:rPr>
          <w:rFonts w:ascii="Times New Roman" w:eastAsia="Times New Roman" w:hAnsi="Times New Roman" w:cs="Times New Roman"/>
          <w:b/>
          <w:bCs/>
          <w:i/>
          <w:iCs/>
          <w:color w:val="575757"/>
          <w:kern w:val="0"/>
          <w:sz w:val="26"/>
          <w:szCs w:val="26"/>
          <w:lang w:val="bg-BG"/>
          <w14:ligatures w14:val="none"/>
        </w:rPr>
        <w:t>Следващ етап</w:t>
      </w:r>
    </w:p>
    <w:p w14:paraId="41490268" w14:textId="014616E2"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lastRenderedPageBreak/>
        <w:t xml:space="preserve">IASB </w:t>
      </w:r>
      <w:r w:rsidR="000D5769" w:rsidRPr="005A56A5">
        <w:rPr>
          <w:rFonts w:ascii="Helvetica" w:eastAsia="Times New Roman" w:hAnsi="Helvetica" w:cs="Helvetica"/>
          <w:color w:val="575757"/>
          <w:kern w:val="0"/>
          <w:sz w:val="24"/>
          <w:szCs w:val="24"/>
          <w:lang w:val="bg-BG"/>
          <w14:ligatures w14:val="none"/>
        </w:rPr>
        <w:t>ще обсъди оставащите теми, изложени в плана на проекта</w:t>
      </w:r>
      <w:r w:rsidRPr="005A56A5">
        <w:rPr>
          <w:rFonts w:ascii="Helvetica" w:eastAsia="Times New Roman" w:hAnsi="Helvetica" w:cs="Helvetica"/>
          <w:color w:val="575757"/>
          <w:kern w:val="0"/>
          <w:sz w:val="24"/>
          <w:szCs w:val="24"/>
          <w:lang w:val="bg-BG"/>
          <w14:ligatures w14:val="none"/>
        </w:rPr>
        <w:t>.</w:t>
      </w:r>
    </w:p>
    <w:p w14:paraId="28EE3A08" w14:textId="0A9A0C4F" w:rsidR="00780FA7" w:rsidRPr="005A56A5" w:rsidRDefault="000D5769" w:rsidP="00780FA7">
      <w:pPr>
        <w:spacing w:before="100" w:beforeAutospacing="1" w:after="100" w:afterAutospacing="1" w:line="240" w:lineRule="auto"/>
        <w:outlineLvl w:val="2"/>
        <w:rPr>
          <w:rFonts w:ascii="Times New Roman" w:eastAsia="Times New Roman" w:hAnsi="Times New Roman" w:cs="Times New Roman"/>
          <w:b/>
          <w:bCs/>
          <w:color w:val="CD3333"/>
          <w:kern w:val="0"/>
          <w:sz w:val="26"/>
          <w:szCs w:val="26"/>
          <w:lang w:val="bg-BG"/>
          <w14:ligatures w14:val="none"/>
        </w:rPr>
      </w:pPr>
      <w:r w:rsidRPr="005A56A5">
        <w:rPr>
          <w:rFonts w:ascii="Times New Roman" w:eastAsia="Times New Roman" w:hAnsi="Times New Roman" w:cs="Times New Roman"/>
          <w:b/>
          <w:bCs/>
          <w:color w:val="CD3333"/>
          <w:kern w:val="0"/>
          <w:sz w:val="26"/>
          <w:szCs w:val="26"/>
          <w:lang w:val="bg-BG"/>
          <w14:ligatures w14:val="none"/>
        </w:rPr>
        <w:t>Дейности с регулирани цени</w:t>
      </w:r>
      <w:r w:rsidR="00780FA7" w:rsidRPr="005A56A5">
        <w:rPr>
          <w:rFonts w:ascii="Times New Roman" w:eastAsia="Times New Roman" w:hAnsi="Times New Roman" w:cs="Times New Roman"/>
          <w:b/>
          <w:bCs/>
          <w:color w:val="CD3333"/>
          <w:kern w:val="0"/>
          <w:sz w:val="26"/>
          <w:szCs w:val="26"/>
          <w:lang w:val="bg-BG"/>
          <w14:ligatures w14:val="none"/>
        </w:rPr>
        <w:t xml:space="preserve"> (</w:t>
      </w:r>
      <w:r w:rsidR="00D56402" w:rsidRPr="005A56A5">
        <w:rPr>
          <w:rFonts w:ascii="Times New Roman" w:eastAsia="Times New Roman" w:hAnsi="Times New Roman" w:cs="Times New Roman"/>
          <w:b/>
          <w:bCs/>
          <w:color w:val="CD3333"/>
          <w:kern w:val="0"/>
          <w:sz w:val="26"/>
          <w:szCs w:val="26"/>
          <w:lang w:val="bg-BG"/>
          <w14:ligatures w14:val="none"/>
        </w:rPr>
        <w:t>Документ по програмата</w:t>
      </w:r>
      <w:r w:rsidR="00780FA7" w:rsidRPr="005A56A5">
        <w:rPr>
          <w:rFonts w:ascii="Times New Roman" w:eastAsia="Times New Roman" w:hAnsi="Times New Roman" w:cs="Times New Roman"/>
          <w:b/>
          <w:bCs/>
          <w:color w:val="CD3333"/>
          <w:kern w:val="0"/>
          <w:sz w:val="26"/>
          <w:szCs w:val="26"/>
          <w:lang w:val="bg-BG"/>
          <w14:ligatures w14:val="none"/>
        </w:rPr>
        <w:t xml:space="preserve"> 9)</w:t>
      </w:r>
    </w:p>
    <w:p w14:paraId="56350E1C" w14:textId="0232FD5A" w:rsidR="00780FA7" w:rsidRPr="005A56A5" w:rsidRDefault="00924C84"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На 21 февруари 2023 г. IASB проведе заседание, за да обсъди </w:t>
      </w:r>
      <w:r w:rsidR="00292CB5" w:rsidRPr="005A56A5">
        <w:rPr>
          <w:rFonts w:ascii="Helvetica" w:eastAsia="Times New Roman" w:hAnsi="Helvetica" w:cs="Helvetica"/>
          <w:color w:val="575757"/>
          <w:kern w:val="0"/>
          <w:sz w:val="24"/>
          <w:szCs w:val="24"/>
          <w:lang w:val="bg-BG"/>
          <w14:ligatures w14:val="none"/>
        </w:rPr>
        <w:t>плана си за повторни разисквания във връзка с предложените изисквания за признаване в Проекта за обсъждане</w:t>
      </w:r>
      <w:r w:rsidR="00780FA7" w:rsidRPr="005A56A5">
        <w:rPr>
          <w:rFonts w:ascii="Helvetica" w:eastAsia="Times New Roman" w:hAnsi="Helvetica" w:cs="Helvetica"/>
          <w:color w:val="575757"/>
          <w:kern w:val="0"/>
          <w:sz w:val="24"/>
          <w:szCs w:val="24"/>
          <w:lang w:val="bg-BG"/>
          <w14:ligatures w14:val="none"/>
        </w:rPr>
        <w:t> </w:t>
      </w:r>
      <w:r w:rsidR="00292CB5" w:rsidRPr="005A56A5">
        <w:rPr>
          <w:rFonts w:ascii="Helvetica" w:eastAsia="Times New Roman" w:hAnsi="Helvetica" w:cs="Helvetica"/>
          <w:i/>
          <w:iCs/>
          <w:color w:val="575757"/>
          <w:kern w:val="0"/>
          <w:sz w:val="24"/>
          <w:szCs w:val="24"/>
          <w:lang w:val="bg-BG"/>
          <w14:ligatures w14:val="none"/>
        </w:rPr>
        <w:t>Регулаторни активи и регулаторни пасиви</w:t>
      </w:r>
      <w:r w:rsidR="00780FA7" w:rsidRPr="005A56A5">
        <w:rPr>
          <w:rFonts w:ascii="Helvetica" w:eastAsia="Times New Roman" w:hAnsi="Helvetica" w:cs="Helvetica"/>
          <w:color w:val="575757"/>
          <w:kern w:val="0"/>
          <w:sz w:val="24"/>
          <w:szCs w:val="24"/>
          <w:lang w:val="bg-BG"/>
          <w14:ligatures w14:val="none"/>
        </w:rPr>
        <w:t> (</w:t>
      </w:r>
      <w:r w:rsidR="00D56402" w:rsidRPr="005A56A5">
        <w:rPr>
          <w:rFonts w:ascii="Helvetica" w:eastAsia="Times New Roman" w:hAnsi="Helvetica" w:cs="Helvetica"/>
          <w:color w:val="575757"/>
          <w:kern w:val="0"/>
          <w:sz w:val="24"/>
          <w:szCs w:val="24"/>
          <w:lang w:val="bg-BG"/>
          <w14:ligatures w14:val="none"/>
        </w:rPr>
        <w:t>Документ по програмата</w:t>
      </w:r>
      <w:r w:rsidR="00780FA7" w:rsidRPr="005A56A5">
        <w:rPr>
          <w:rFonts w:ascii="Helvetica" w:eastAsia="Times New Roman" w:hAnsi="Helvetica" w:cs="Helvetica"/>
          <w:color w:val="575757"/>
          <w:kern w:val="0"/>
          <w:sz w:val="24"/>
          <w:szCs w:val="24"/>
          <w:lang w:val="bg-BG"/>
          <w14:ligatures w14:val="none"/>
        </w:rPr>
        <w:t xml:space="preserve"> 9A). </w:t>
      </w:r>
      <w:r w:rsidR="00683D1B" w:rsidRPr="005A56A5">
        <w:rPr>
          <w:rFonts w:ascii="Helvetica" w:eastAsia="Times New Roman" w:hAnsi="Helvetica" w:cs="Helvetica"/>
          <w:color w:val="575757"/>
          <w:kern w:val="0"/>
          <w:sz w:val="24"/>
          <w:szCs w:val="24"/>
          <w:lang w:val="bg-BG"/>
          <w14:ligatures w14:val="none"/>
        </w:rPr>
        <w:t>От IASB не бе поискано да взема каквито и да е решения</w:t>
      </w:r>
      <w:r w:rsidR="00780FA7" w:rsidRPr="005A56A5">
        <w:rPr>
          <w:rFonts w:ascii="Helvetica" w:eastAsia="Times New Roman" w:hAnsi="Helvetica" w:cs="Helvetica"/>
          <w:color w:val="575757"/>
          <w:kern w:val="0"/>
          <w:sz w:val="24"/>
          <w:szCs w:val="24"/>
          <w:lang w:val="bg-BG"/>
          <w14:ligatures w14:val="none"/>
        </w:rPr>
        <w:t xml:space="preserve"> </w:t>
      </w:r>
      <w:r w:rsidR="00292CB5" w:rsidRPr="005A56A5">
        <w:rPr>
          <w:rFonts w:ascii="Helvetica" w:eastAsia="Times New Roman" w:hAnsi="Helvetica" w:cs="Helvetica"/>
          <w:color w:val="575757"/>
          <w:kern w:val="0"/>
          <w:sz w:val="24"/>
          <w:szCs w:val="24"/>
          <w:lang w:val="bg-BG"/>
          <w14:ligatures w14:val="none"/>
        </w:rPr>
        <w:t>във връзка с плана</w:t>
      </w:r>
      <w:r w:rsidR="00780FA7" w:rsidRPr="005A56A5">
        <w:rPr>
          <w:rFonts w:ascii="Helvetica" w:eastAsia="Times New Roman" w:hAnsi="Helvetica" w:cs="Helvetica"/>
          <w:color w:val="575757"/>
          <w:kern w:val="0"/>
          <w:sz w:val="24"/>
          <w:szCs w:val="24"/>
          <w:lang w:val="bg-BG"/>
          <w14:ligatures w14:val="none"/>
        </w:rPr>
        <w:t>.</w:t>
      </w:r>
    </w:p>
    <w:p w14:paraId="4C6B33C5" w14:textId="7BEE6C94"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292CB5" w:rsidRPr="005A56A5">
        <w:rPr>
          <w:rFonts w:ascii="Helvetica" w:eastAsia="Times New Roman" w:hAnsi="Helvetica" w:cs="Helvetica"/>
          <w:color w:val="575757"/>
          <w:kern w:val="0"/>
          <w:sz w:val="24"/>
          <w:szCs w:val="24"/>
          <w:lang w:val="bg-BG"/>
          <w14:ligatures w14:val="none"/>
        </w:rPr>
        <w:t>пристъпи към повторни разисквания по конкретни теми, включени в плана и отнасящи се до</w:t>
      </w:r>
      <w:r w:rsidRPr="005A56A5">
        <w:rPr>
          <w:rFonts w:ascii="Helvetica" w:eastAsia="Times New Roman" w:hAnsi="Helvetica" w:cs="Helvetica"/>
          <w:color w:val="575757"/>
          <w:kern w:val="0"/>
          <w:sz w:val="24"/>
          <w:szCs w:val="24"/>
          <w:lang w:val="bg-BG"/>
          <w14:ligatures w14:val="none"/>
        </w:rPr>
        <w:t>:</w:t>
      </w:r>
    </w:p>
    <w:p w14:paraId="47ADE01C" w14:textId="1BB84CBE" w:rsidR="00780FA7" w:rsidRPr="005A56A5" w:rsidRDefault="00292CB5" w:rsidP="00292CB5">
      <w:pPr>
        <w:numPr>
          <w:ilvl w:val="0"/>
          <w:numId w:val="11"/>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прага за признаване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 xml:space="preserve">регулаторни активи и регулаторни пасиви </w:t>
      </w:r>
      <w:r w:rsidR="00780FA7" w:rsidRPr="005A56A5">
        <w:rPr>
          <w:rFonts w:ascii="Times New Roman" w:eastAsia="Times New Roman" w:hAnsi="Times New Roman" w:cs="Times New Roman"/>
          <w:color w:val="575757"/>
          <w:kern w:val="0"/>
          <w:sz w:val="24"/>
          <w:szCs w:val="24"/>
          <w:lang w:val="bg-BG"/>
          <w14:ligatures w14:val="none"/>
        </w:rPr>
        <w:t>(</w:t>
      </w:r>
      <w:r w:rsidR="00D56402" w:rsidRPr="005A56A5">
        <w:rPr>
          <w:rFonts w:ascii="Times New Roman" w:eastAsia="Times New Roman" w:hAnsi="Times New Roman" w:cs="Times New Roman"/>
          <w:color w:val="575757"/>
          <w:kern w:val="0"/>
          <w:sz w:val="24"/>
          <w:szCs w:val="24"/>
          <w:lang w:val="bg-BG"/>
          <w14:ligatures w14:val="none"/>
        </w:rPr>
        <w:t>Документ по програмата</w:t>
      </w:r>
      <w:r w:rsidR="00780FA7" w:rsidRPr="005A56A5">
        <w:rPr>
          <w:rFonts w:ascii="Times New Roman" w:eastAsia="Times New Roman" w:hAnsi="Times New Roman" w:cs="Times New Roman"/>
          <w:color w:val="575757"/>
          <w:kern w:val="0"/>
          <w:sz w:val="24"/>
          <w:szCs w:val="24"/>
          <w:lang w:val="bg-BG"/>
          <w14:ligatures w14:val="none"/>
        </w:rPr>
        <w:t xml:space="preserve"> 9</w:t>
      </w:r>
      <w:r w:rsidRPr="005A56A5">
        <w:rPr>
          <w:rFonts w:ascii="Times New Roman" w:eastAsia="Times New Roman" w:hAnsi="Times New Roman" w:cs="Times New Roman"/>
          <w:color w:val="575757"/>
          <w:kern w:val="0"/>
          <w:sz w:val="24"/>
          <w:szCs w:val="24"/>
          <w:lang w:val="bg-BG"/>
          <w14:ligatures w14:val="none"/>
        </w:rPr>
        <w:t>Б</w:t>
      </w:r>
      <w:r w:rsidR="00780FA7" w:rsidRPr="005A56A5">
        <w:rPr>
          <w:rFonts w:ascii="Times New Roman" w:eastAsia="Times New Roman" w:hAnsi="Times New Roman" w:cs="Times New Roman"/>
          <w:color w:val="575757"/>
          <w:kern w:val="0"/>
          <w:sz w:val="24"/>
          <w:szCs w:val="24"/>
          <w:lang w:val="bg-BG"/>
          <w14:ligatures w14:val="none"/>
        </w:rPr>
        <w:t>);</w:t>
      </w:r>
    </w:p>
    <w:p w14:paraId="747B8050" w14:textId="6B717D14" w:rsidR="00780FA7" w:rsidRPr="005A56A5" w:rsidRDefault="00292CB5" w:rsidP="00780FA7">
      <w:pPr>
        <w:numPr>
          <w:ilvl w:val="0"/>
          <w:numId w:val="11"/>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 xml:space="preserve">взаимовръзката между оценяването на </w:t>
      </w:r>
      <w:r w:rsidR="00543EC9" w:rsidRPr="005A56A5">
        <w:rPr>
          <w:rFonts w:ascii="Times New Roman" w:eastAsia="Times New Roman" w:hAnsi="Times New Roman" w:cs="Times New Roman"/>
          <w:color w:val="575757"/>
          <w:kern w:val="0"/>
          <w:sz w:val="24"/>
          <w:szCs w:val="24"/>
          <w:lang w:val="bg-BG"/>
          <w14:ligatures w14:val="none"/>
        </w:rPr>
        <w:t xml:space="preserve">обвързващия характер (упражняемостта) </w:t>
      </w:r>
      <w:r w:rsidRPr="005A56A5">
        <w:rPr>
          <w:rFonts w:ascii="Times New Roman" w:eastAsia="Times New Roman" w:hAnsi="Times New Roman" w:cs="Times New Roman"/>
          <w:color w:val="575757"/>
          <w:kern w:val="0"/>
          <w:sz w:val="24"/>
          <w:szCs w:val="24"/>
          <w:lang w:val="bg-BG"/>
          <w14:ligatures w14:val="none"/>
        </w:rPr>
        <w:t>и признаването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 xml:space="preserve">регулаторни активи и регулаторни пасиви </w:t>
      </w:r>
      <w:r w:rsidR="00780FA7" w:rsidRPr="005A56A5">
        <w:rPr>
          <w:rFonts w:ascii="Times New Roman" w:eastAsia="Times New Roman" w:hAnsi="Times New Roman" w:cs="Times New Roman"/>
          <w:color w:val="575757"/>
          <w:kern w:val="0"/>
          <w:sz w:val="24"/>
          <w:szCs w:val="24"/>
          <w:lang w:val="bg-BG"/>
          <w14:ligatures w14:val="none"/>
        </w:rPr>
        <w:t>(</w:t>
      </w:r>
      <w:r w:rsidR="00D56402" w:rsidRPr="005A56A5">
        <w:rPr>
          <w:rFonts w:ascii="Times New Roman" w:eastAsia="Times New Roman" w:hAnsi="Times New Roman" w:cs="Times New Roman"/>
          <w:color w:val="575757"/>
          <w:kern w:val="0"/>
          <w:sz w:val="24"/>
          <w:szCs w:val="24"/>
          <w:lang w:val="bg-BG"/>
          <w14:ligatures w14:val="none"/>
        </w:rPr>
        <w:t>Документ по програмата</w:t>
      </w:r>
      <w:r w:rsidR="00780FA7" w:rsidRPr="005A56A5">
        <w:rPr>
          <w:rFonts w:ascii="Times New Roman" w:eastAsia="Times New Roman" w:hAnsi="Times New Roman" w:cs="Times New Roman"/>
          <w:color w:val="575757"/>
          <w:kern w:val="0"/>
          <w:sz w:val="24"/>
          <w:szCs w:val="24"/>
          <w:lang w:val="bg-BG"/>
          <w14:ligatures w14:val="none"/>
        </w:rPr>
        <w:t xml:space="preserve"> 9</w:t>
      </w:r>
      <w:r w:rsidRPr="005A56A5">
        <w:rPr>
          <w:rFonts w:ascii="Times New Roman" w:eastAsia="Times New Roman" w:hAnsi="Times New Roman" w:cs="Times New Roman"/>
          <w:color w:val="575757"/>
          <w:kern w:val="0"/>
          <w:sz w:val="24"/>
          <w:szCs w:val="24"/>
          <w:lang w:val="bg-BG"/>
          <w14:ligatures w14:val="none"/>
        </w:rPr>
        <w:t>В</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40F67DB7" w14:textId="6CD96780" w:rsidR="00780FA7" w:rsidRPr="005A56A5" w:rsidRDefault="00292CB5" w:rsidP="00780FA7">
      <w:pPr>
        <w:numPr>
          <w:ilvl w:val="0"/>
          <w:numId w:val="11"/>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счетоводното отчитане на стимули за резултати от дейността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с изключение на тези, които се отнасят до резултатите от дейността на предприятието в течение на няколко периода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дългосрочни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стимули за резултати от дейността</w:t>
      </w:r>
      <w:r w:rsidR="00780FA7" w:rsidRPr="005A56A5">
        <w:rPr>
          <w:rFonts w:ascii="Times New Roman" w:eastAsia="Times New Roman" w:hAnsi="Times New Roman" w:cs="Times New Roman"/>
          <w:color w:val="575757"/>
          <w:kern w:val="0"/>
          <w:sz w:val="24"/>
          <w:szCs w:val="24"/>
          <w:lang w:val="bg-BG"/>
          <w14:ligatures w14:val="none"/>
        </w:rPr>
        <w:t>) (</w:t>
      </w:r>
      <w:r w:rsidR="00D56402" w:rsidRPr="005A56A5">
        <w:rPr>
          <w:rFonts w:ascii="Times New Roman" w:eastAsia="Times New Roman" w:hAnsi="Times New Roman" w:cs="Times New Roman"/>
          <w:color w:val="575757"/>
          <w:kern w:val="0"/>
          <w:sz w:val="24"/>
          <w:szCs w:val="24"/>
          <w:lang w:val="bg-BG"/>
          <w14:ligatures w14:val="none"/>
        </w:rPr>
        <w:t>Документ по програмата</w:t>
      </w:r>
      <w:r w:rsidR="00780FA7" w:rsidRPr="005A56A5">
        <w:rPr>
          <w:rFonts w:ascii="Times New Roman" w:eastAsia="Times New Roman" w:hAnsi="Times New Roman" w:cs="Times New Roman"/>
          <w:color w:val="575757"/>
          <w:kern w:val="0"/>
          <w:sz w:val="24"/>
          <w:szCs w:val="24"/>
          <w:lang w:val="bg-BG"/>
          <w14:ligatures w14:val="none"/>
        </w:rPr>
        <w:t xml:space="preserve"> 9</w:t>
      </w:r>
      <w:r w:rsidRPr="005A56A5">
        <w:rPr>
          <w:rFonts w:ascii="Times New Roman" w:eastAsia="Times New Roman" w:hAnsi="Times New Roman" w:cs="Times New Roman"/>
          <w:color w:val="575757"/>
          <w:kern w:val="0"/>
          <w:sz w:val="24"/>
          <w:szCs w:val="24"/>
          <w:lang w:val="bg-BG"/>
          <w14:ligatures w14:val="none"/>
        </w:rPr>
        <w:t>Г</w:t>
      </w:r>
      <w:r w:rsidR="00780FA7" w:rsidRPr="005A56A5">
        <w:rPr>
          <w:rFonts w:ascii="Times New Roman" w:eastAsia="Times New Roman" w:hAnsi="Times New Roman" w:cs="Times New Roman"/>
          <w:color w:val="575757"/>
          <w:kern w:val="0"/>
          <w:sz w:val="24"/>
          <w:szCs w:val="24"/>
          <w:lang w:val="bg-BG"/>
          <w14:ligatures w14:val="none"/>
        </w:rPr>
        <w:t>).</w:t>
      </w:r>
    </w:p>
    <w:p w14:paraId="4B41AAAC" w14:textId="3B5CB129" w:rsidR="00780FA7" w:rsidRPr="005A56A5" w:rsidRDefault="00292CB5"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b/>
          <w:bCs/>
          <w:i/>
          <w:iCs/>
          <w:color w:val="575757"/>
          <w:kern w:val="0"/>
          <w:sz w:val="24"/>
          <w:szCs w:val="24"/>
          <w:lang w:val="bg-BG"/>
          <w14:ligatures w14:val="none"/>
        </w:rPr>
        <w:t>Праг за признаване</w:t>
      </w:r>
      <w:r w:rsidR="00780FA7" w:rsidRPr="005A56A5">
        <w:rPr>
          <w:rFonts w:ascii="Helvetica" w:eastAsia="Times New Roman" w:hAnsi="Helvetica" w:cs="Helvetica"/>
          <w:b/>
          <w:bCs/>
          <w:color w:val="575757"/>
          <w:kern w:val="0"/>
          <w:sz w:val="24"/>
          <w:szCs w:val="24"/>
          <w:lang w:val="bg-BG"/>
          <w14:ligatures w14:val="none"/>
        </w:rPr>
        <w:t> (</w:t>
      </w:r>
      <w:r w:rsidR="00D56402" w:rsidRPr="005A56A5">
        <w:rPr>
          <w:rFonts w:ascii="Helvetica" w:eastAsia="Times New Roman" w:hAnsi="Helvetica" w:cs="Helvetica"/>
          <w:b/>
          <w:bCs/>
          <w:color w:val="575757"/>
          <w:kern w:val="0"/>
          <w:sz w:val="24"/>
          <w:szCs w:val="24"/>
          <w:lang w:val="bg-BG"/>
          <w14:ligatures w14:val="none"/>
        </w:rPr>
        <w:t>Документ по програмата</w:t>
      </w:r>
      <w:r w:rsidR="00780FA7" w:rsidRPr="005A56A5">
        <w:rPr>
          <w:rFonts w:ascii="Helvetica" w:eastAsia="Times New Roman" w:hAnsi="Helvetica" w:cs="Helvetica"/>
          <w:b/>
          <w:bCs/>
          <w:color w:val="575757"/>
          <w:kern w:val="0"/>
          <w:sz w:val="24"/>
          <w:szCs w:val="24"/>
          <w:lang w:val="bg-BG"/>
          <w14:ligatures w14:val="none"/>
        </w:rPr>
        <w:t xml:space="preserve"> 9</w:t>
      </w:r>
      <w:r w:rsidRPr="005A56A5">
        <w:rPr>
          <w:rFonts w:ascii="Helvetica" w:eastAsia="Times New Roman" w:hAnsi="Helvetica" w:cs="Helvetica"/>
          <w:b/>
          <w:bCs/>
          <w:color w:val="575757"/>
          <w:kern w:val="0"/>
          <w:sz w:val="24"/>
          <w:szCs w:val="24"/>
          <w:lang w:val="bg-BG"/>
          <w14:ligatures w14:val="none"/>
        </w:rPr>
        <w:t>Б</w:t>
      </w:r>
      <w:r w:rsidR="00780FA7" w:rsidRPr="005A56A5">
        <w:rPr>
          <w:rFonts w:ascii="Helvetica" w:eastAsia="Times New Roman" w:hAnsi="Helvetica" w:cs="Helvetica"/>
          <w:b/>
          <w:bCs/>
          <w:color w:val="575757"/>
          <w:kern w:val="0"/>
          <w:sz w:val="24"/>
          <w:szCs w:val="24"/>
          <w:lang w:val="bg-BG"/>
          <w14:ligatures w14:val="none"/>
        </w:rPr>
        <w:t>)</w:t>
      </w:r>
    </w:p>
    <w:p w14:paraId="313D767B" w14:textId="4F4911A9"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1DF7190A" w14:textId="29926E46" w:rsidR="00780FA7" w:rsidRPr="005A56A5" w:rsidRDefault="00292CB5" w:rsidP="00780FA7">
      <w:pPr>
        <w:numPr>
          <w:ilvl w:val="0"/>
          <w:numId w:val="12"/>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запази предложението да изисква предприятието да признава регулаторен актив или регулаторен пасив, чието съществуване е несигурно, ако е по-вероятно такъв актив или пасив да съществува, отколкото да не съществува</w:t>
      </w:r>
      <w:r w:rsidR="00780FA7" w:rsidRPr="005A56A5">
        <w:rPr>
          <w:rFonts w:ascii="Times New Roman" w:eastAsia="Times New Roman" w:hAnsi="Times New Roman" w:cs="Times New Roman"/>
          <w:color w:val="575757"/>
          <w:kern w:val="0"/>
          <w:sz w:val="24"/>
          <w:szCs w:val="24"/>
          <w:lang w:val="bg-BG"/>
          <w14:ligatures w14:val="none"/>
        </w:rPr>
        <w:t>;</w:t>
      </w:r>
    </w:p>
    <w:p w14:paraId="2B884BA2" w14:textId="610F951A" w:rsidR="00780FA7" w:rsidRPr="005A56A5" w:rsidRDefault="00292CB5" w:rsidP="00780FA7">
      <w:pPr>
        <w:numPr>
          <w:ilvl w:val="0"/>
          <w:numId w:val="12"/>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не определя праг за признаване на базата на вероятността от поток от икономически ползи</w:t>
      </w:r>
      <w:r w:rsidR="00780FA7" w:rsidRPr="005A56A5">
        <w:rPr>
          <w:rFonts w:ascii="Times New Roman" w:eastAsia="Times New Roman" w:hAnsi="Times New Roman" w:cs="Times New Roman"/>
          <w:color w:val="575757"/>
          <w:kern w:val="0"/>
          <w:sz w:val="24"/>
          <w:szCs w:val="24"/>
          <w:lang w:val="bg-BG"/>
          <w14:ligatures w14:val="none"/>
        </w:rPr>
        <w:t>;</w:t>
      </w:r>
    </w:p>
    <w:p w14:paraId="26CA45C4" w14:textId="0A55C41D" w:rsidR="00780FA7" w:rsidRPr="005A56A5" w:rsidRDefault="00292CB5" w:rsidP="00780FA7">
      <w:pPr>
        <w:numPr>
          <w:ilvl w:val="0"/>
          <w:numId w:val="12"/>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не определя праг за признаване на базата на нивото на несигурност на оценяването</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с изключение на тези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регулаторни активи и регулаторни пасиви, които са описани в параграф</w:t>
      </w:r>
      <w:r w:rsidR="00780FA7" w:rsidRPr="005A56A5">
        <w:rPr>
          <w:rFonts w:ascii="Times New Roman" w:eastAsia="Times New Roman" w:hAnsi="Times New Roman" w:cs="Times New Roman"/>
          <w:color w:val="575757"/>
          <w:kern w:val="0"/>
          <w:sz w:val="24"/>
          <w:szCs w:val="24"/>
          <w:lang w:val="bg-BG"/>
          <w14:ligatures w14:val="none"/>
        </w:rPr>
        <w:t>(</w:t>
      </w:r>
      <w:r w:rsidRPr="005A56A5">
        <w:rPr>
          <w:rFonts w:ascii="Times New Roman" w:eastAsia="Times New Roman" w:hAnsi="Times New Roman" w:cs="Times New Roman"/>
          <w:color w:val="575757"/>
          <w:kern w:val="0"/>
          <w:sz w:val="24"/>
          <w:szCs w:val="24"/>
          <w:lang w:val="bg-BG"/>
          <w14:ligatures w14:val="none"/>
        </w:rPr>
        <w:t>д</w:t>
      </w:r>
      <w:r w:rsidR="00780FA7" w:rsidRPr="005A56A5">
        <w:rPr>
          <w:rFonts w:ascii="Times New Roman" w:eastAsia="Times New Roman" w:hAnsi="Times New Roman" w:cs="Times New Roman"/>
          <w:color w:val="575757"/>
          <w:kern w:val="0"/>
          <w:sz w:val="24"/>
          <w:szCs w:val="24"/>
          <w:lang w:val="bg-BG"/>
          <w14:ligatures w14:val="none"/>
        </w:rPr>
        <w:t>);</w:t>
      </w:r>
    </w:p>
    <w:p w14:paraId="38E347B8" w14:textId="39D1E1D4" w:rsidR="00780FA7" w:rsidRPr="005A56A5" w:rsidRDefault="00292CB5" w:rsidP="00780FA7">
      <w:pPr>
        <w:numPr>
          <w:ilvl w:val="0"/>
          <w:numId w:val="12"/>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запази предложения праг за симетрично признаване по отношение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регулаторни активи и регулаторни пасиви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02433DAE" w14:textId="33D78D6F" w:rsidR="00780FA7" w:rsidRPr="005A56A5" w:rsidRDefault="00292CB5" w:rsidP="00780FA7">
      <w:pPr>
        <w:numPr>
          <w:ilvl w:val="0"/>
          <w:numId w:val="12"/>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 xml:space="preserve">да изисква предприятието да признава регулаторен актив или регулаторен пасив, чието оценяване зависи от регулаторен </w:t>
      </w:r>
      <w:r w:rsidR="00856857" w:rsidRPr="005A56A5">
        <w:rPr>
          <w:rFonts w:ascii="Times New Roman" w:eastAsia="Times New Roman" w:hAnsi="Times New Roman" w:cs="Times New Roman"/>
          <w:color w:val="575757"/>
          <w:kern w:val="0"/>
          <w:sz w:val="24"/>
          <w:szCs w:val="24"/>
          <w:lang w:val="bg-BG"/>
          <w14:ligatures w14:val="none"/>
        </w:rPr>
        <w:t xml:space="preserve">базов </w:t>
      </w:r>
      <w:r w:rsidRPr="005A56A5">
        <w:rPr>
          <w:rFonts w:ascii="Times New Roman" w:eastAsia="Times New Roman" w:hAnsi="Times New Roman" w:cs="Times New Roman"/>
          <w:color w:val="575757"/>
          <w:kern w:val="0"/>
          <w:sz w:val="24"/>
          <w:szCs w:val="24"/>
          <w:lang w:val="bg-BG"/>
          <w14:ligatures w14:val="none"/>
        </w:rPr>
        <w:t>еталон</w:t>
      </w:r>
      <w:r w:rsidR="00856857" w:rsidRPr="005A56A5">
        <w:rPr>
          <w:rFonts w:ascii="Times New Roman" w:eastAsia="Times New Roman" w:hAnsi="Times New Roman" w:cs="Times New Roman"/>
          <w:color w:val="575757"/>
          <w:kern w:val="0"/>
          <w:sz w:val="24"/>
          <w:szCs w:val="24"/>
          <w:lang w:val="bg-BG"/>
          <w14:ligatures w14:val="none"/>
        </w:rPr>
        <w:t>, определен след като финансовият отчет е одобрен за издаване, когато регулаторният орган определи този базов еталон</w:t>
      </w:r>
      <w:r w:rsidR="00780FA7" w:rsidRPr="005A56A5">
        <w:rPr>
          <w:rFonts w:ascii="Times New Roman" w:eastAsia="Times New Roman" w:hAnsi="Times New Roman" w:cs="Times New Roman"/>
          <w:color w:val="575757"/>
          <w:kern w:val="0"/>
          <w:sz w:val="24"/>
          <w:szCs w:val="24"/>
          <w:lang w:val="bg-BG"/>
          <w14:ligatures w14:val="none"/>
        </w:rPr>
        <w:t>.</w:t>
      </w:r>
    </w:p>
    <w:p w14:paraId="68A1FBE6" w14:textId="534683AB"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29498F89" w14:textId="579A0856" w:rsidR="00780FA7" w:rsidRPr="005A56A5" w:rsidRDefault="000A3C8A"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lastRenderedPageBreak/>
        <w:t xml:space="preserve">На бъдещо свое заседание </w:t>
      </w:r>
      <w:r w:rsidR="00780FA7" w:rsidRPr="005A56A5">
        <w:rPr>
          <w:rFonts w:ascii="Helvetica" w:eastAsia="Times New Roman" w:hAnsi="Helvetica" w:cs="Helvetica"/>
          <w:color w:val="575757"/>
          <w:kern w:val="0"/>
          <w:sz w:val="24"/>
          <w:szCs w:val="24"/>
          <w:lang w:val="bg-BG"/>
          <w14:ligatures w14:val="none"/>
        </w:rPr>
        <w:t xml:space="preserve">IASB </w:t>
      </w:r>
      <w:r w:rsidRPr="005A56A5">
        <w:rPr>
          <w:rFonts w:ascii="Helvetica" w:eastAsia="Times New Roman" w:hAnsi="Helvetica" w:cs="Helvetica"/>
          <w:color w:val="575757"/>
          <w:kern w:val="0"/>
          <w:sz w:val="24"/>
          <w:szCs w:val="24"/>
          <w:lang w:val="bg-BG"/>
          <w14:ligatures w14:val="none"/>
        </w:rPr>
        <w:t>ще обсъди предложените изисквания за признаване и оценяване по отношение на регулаторни активи и регулаторни пасиви, произтичащи от дългосрочни стимули за резултати от дейността</w:t>
      </w:r>
      <w:r w:rsidR="00780FA7" w:rsidRPr="005A56A5">
        <w:rPr>
          <w:rFonts w:ascii="Helvetica" w:eastAsia="Times New Roman" w:hAnsi="Helvetica" w:cs="Helvetica"/>
          <w:color w:val="575757"/>
          <w:kern w:val="0"/>
          <w:sz w:val="24"/>
          <w:szCs w:val="24"/>
          <w:lang w:val="bg-BG"/>
          <w14:ligatures w14:val="none"/>
        </w:rPr>
        <w:t>.</w:t>
      </w:r>
    </w:p>
    <w:p w14:paraId="0614313F" w14:textId="5037E674" w:rsidR="00780FA7" w:rsidRPr="005A56A5" w:rsidRDefault="00543EC9"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b/>
          <w:bCs/>
          <w:i/>
          <w:iCs/>
          <w:color w:val="575757"/>
          <w:kern w:val="0"/>
          <w:sz w:val="24"/>
          <w:szCs w:val="24"/>
          <w:lang w:val="bg-BG"/>
          <w14:ligatures w14:val="none"/>
        </w:rPr>
        <w:t>Упражняемост и признаване</w:t>
      </w:r>
      <w:r w:rsidR="00780FA7" w:rsidRPr="005A56A5">
        <w:rPr>
          <w:rFonts w:ascii="Helvetica" w:eastAsia="Times New Roman" w:hAnsi="Helvetica" w:cs="Helvetica"/>
          <w:b/>
          <w:bCs/>
          <w:color w:val="575757"/>
          <w:kern w:val="0"/>
          <w:sz w:val="24"/>
          <w:szCs w:val="24"/>
          <w:lang w:val="bg-BG"/>
          <w14:ligatures w14:val="none"/>
        </w:rPr>
        <w:t> (</w:t>
      </w:r>
      <w:r w:rsidR="00D56402" w:rsidRPr="005A56A5">
        <w:rPr>
          <w:rFonts w:ascii="Helvetica" w:eastAsia="Times New Roman" w:hAnsi="Helvetica" w:cs="Helvetica"/>
          <w:b/>
          <w:bCs/>
          <w:color w:val="575757"/>
          <w:kern w:val="0"/>
          <w:sz w:val="24"/>
          <w:szCs w:val="24"/>
          <w:lang w:val="bg-BG"/>
          <w14:ligatures w14:val="none"/>
        </w:rPr>
        <w:t>Документ по програмата</w:t>
      </w:r>
      <w:r w:rsidR="00780FA7" w:rsidRPr="005A56A5">
        <w:rPr>
          <w:rFonts w:ascii="Helvetica" w:eastAsia="Times New Roman" w:hAnsi="Helvetica" w:cs="Helvetica"/>
          <w:b/>
          <w:bCs/>
          <w:color w:val="575757"/>
          <w:kern w:val="0"/>
          <w:sz w:val="24"/>
          <w:szCs w:val="24"/>
          <w:lang w:val="bg-BG"/>
          <w14:ligatures w14:val="none"/>
        </w:rPr>
        <w:t xml:space="preserve"> 9</w:t>
      </w:r>
      <w:r w:rsidRPr="005A56A5">
        <w:rPr>
          <w:rFonts w:ascii="Helvetica" w:eastAsia="Times New Roman" w:hAnsi="Helvetica" w:cs="Helvetica"/>
          <w:b/>
          <w:bCs/>
          <w:color w:val="575757"/>
          <w:kern w:val="0"/>
          <w:sz w:val="24"/>
          <w:szCs w:val="24"/>
          <w:lang w:val="bg-BG"/>
          <w14:ligatures w14:val="none"/>
        </w:rPr>
        <w:t>В</w:t>
      </w:r>
      <w:r w:rsidR="00780FA7" w:rsidRPr="005A56A5">
        <w:rPr>
          <w:rFonts w:ascii="Helvetica" w:eastAsia="Times New Roman" w:hAnsi="Helvetica" w:cs="Helvetica"/>
          <w:b/>
          <w:bCs/>
          <w:color w:val="575757"/>
          <w:kern w:val="0"/>
          <w:sz w:val="24"/>
          <w:szCs w:val="24"/>
          <w:lang w:val="bg-BG"/>
          <w14:ligatures w14:val="none"/>
        </w:rPr>
        <w:t>)</w:t>
      </w:r>
    </w:p>
    <w:p w14:paraId="4FB1F363" w14:textId="03B2DFCB"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78D2EAF6" w14:textId="547322E4" w:rsidR="00780FA7" w:rsidRPr="005A56A5" w:rsidRDefault="00AB5C34" w:rsidP="00780FA7">
      <w:pPr>
        <w:numPr>
          <w:ilvl w:val="0"/>
          <w:numId w:val="1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препотвърди и поясни предложеното едно единствено оценяване на съществуването на упражняеми настоящи права и упражняеми настоящи задължения в стандарта по отношение на отделните регулаторни активи или регулаторни пасиви</w:t>
      </w:r>
      <w:r w:rsidR="00780FA7" w:rsidRPr="005A56A5">
        <w:rPr>
          <w:rFonts w:ascii="Times New Roman" w:eastAsia="Times New Roman" w:hAnsi="Times New Roman" w:cs="Times New Roman"/>
          <w:color w:val="575757"/>
          <w:kern w:val="0"/>
          <w:sz w:val="24"/>
          <w:szCs w:val="24"/>
          <w:lang w:val="bg-BG"/>
          <w14:ligatures w14:val="none"/>
        </w:rPr>
        <w:t>.</w:t>
      </w:r>
    </w:p>
    <w:p w14:paraId="4E8CE2F1" w14:textId="0A17A2B6" w:rsidR="00780FA7" w:rsidRPr="005A56A5" w:rsidRDefault="00AB5C34" w:rsidP="00780FA7">
      <w:pPr>
        <w:numPr>
          <w:ilvl w:val="0"/>
          <w:numId w:val="1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поясни в стандарта, че правата и задълженията може да са упражняеми, дори ако съществуването им е несигурно</w:t>
      </w:r>
      <w:r w:rsidR="00780FA7" w:rsidRPr="005A56A5">
        <w:rPr>
          <w:rFonts w:ascii="Times New Roman" w:eastAsia="Times New Roman" w:hAnsi="Times New Roman" w:cs="Times New Roman"/>
          <w:color w:val="575757"/>
          <w:kern w:val="0"/>
          <w:sz w:val="24"/>
          <w:szCs w:val="24"/>
          <w:lang w:val="bg-BG"/>
          <w14:ligatures w14:val="none"/>
        </w:rPr>
        <w:t>.</w:t>
      </w:r>
    </w:p>
    <w:p w14:paraId="0DEB0FE5" w14:textId="3DA1E4CA" w:rsidR="00780FA7" w:rsidRPr="005A56A5" w:rsidRDefault="00FC3098" w:rsidP="00FC3098">
      <w:pPr>
        <w:numPr>
          <w:ilvl w:val="0"/>
          <w:numId w:val="13"/>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 xml:space="preserve">при разработването на стандарта </w:t>
      </w:r>
      <w:r w:rsidR="00AB5C34" w:rsidRPr="005A56A5">
        <w:rPr>
          <w:rFonts w:ascii="Times New Roman" w:eastAsia="Times New Roman" w:hAnsi="Times New Roman" w:cs="Times New Roman"/>
          <w:color w:val="575757"/>
          <w:kern w:val="0"/>
          <w:sz w:val="24"/>
          <w:szCs w:val="24"/>
          <w:lang w:val="bg-BG"/>
          <w14:ligatures w14:val="none"/>
        </w:rPr>
        <w:t xml:space="preserve">да </w:t>
      </w:r>
      <w:r w:rsidRPr="005A56A5">
        <w:rPr>
          <w:rFonts w:ascii="Times New Roman" w:eastAsia="Times New Roman" w:hAnsi="Times New Roman" w:cs="Times New Roman"/>
          <w:color w:val="575757"/>
          <w:kern w:val="0"/>
          <w:sz w:val="24"/>
          <w:szCs w:val="24"/>
          <w:lang w:val="bg-BG"/>
          <w14:ligatures w14:val="none"/>
        </w:rPr>
        <w:t>вземе под внимание</w:t>
      </w:r>
      <w:r w:rsidR="00AB5C34" w:rsidRPr="005A56A5">
        <w:rPr>
          <w:rFonts w:ascii="Times New Roman" w:eastAsia="Times New Roman" w:hAnsi="Times New Roman" w:cs="Times New Roman"/>
          <w:color w:val="575757"/>
          <w:kern w:val="0"/>
          <w:sz w:val="24"/>
          <w:szCs w:val="24"/>
          <w:lang w:val="bg-BG"/>
          <w14:ligatures w14:val="none"/>
        </w:rPr>
        <w:t xml:space="preserve"> принципите в параграф</w:t>
      </w:r>
      <w:r w:rsidR="00780FA7" w:rsidRPr="005A56A5">
        <w:rPr>
          <w:rFonts w:ascii="Times New Roman" w:eastAsia="Times New Roman" w:hAnsi="Times New Roman" w:cs="Times New Roman"/>
          <w:color w:val="575757"/>
          <w:kern w:val="0"/>
          <w:sz w:val="24"/>
          <w:szCs w:val="24"/>
          <w:lang w:val="bg-BG"/>
          <w14:ligatures w14:val="none"/>
        </w:rPr>
        <w:t xml:space="preserve"> 35(</w:t>
      </w:r>
      <w:r w:rsidR="00AB5C34" w:rsidRPr="005A56A5">
        <w:rPr>
          <w:rFonts w:ascii="Times New Roman" w:eastAsia="Times New Roman" w:hAnsi="Times New Roman" w:cs="Times New Roman"/>
          <w:color w:val="575757"/>
          <w:kern w:val="0"/>
          <w:sz w:val="24"/>
          <w:szCs w:val="24"/>
          <w:lang w:val="bg-BG"/>
          <w14:ligatures w14:val="none"/>
        </w:rPr>
        <w:t>в</w:t>
      </w:r>
      <w:r w:rsidR="00780FA7" w:rsidRPr="005A56A5">
        <w:rPr>
          <w:rFonts w:ascii="Times New Roman" w:eastAsia="Times New Roman" w:hAnsi="Times New Roman" w:cs="Times New Roman"/>
          <w:color w:val="575757"/>
          <w:kern w:val="0"/>
          <w:sz w:val="24"/>
          <w:szCs w:val="24"/>
          <w:lang w:val="bg-BG"/>
          <w14:ligatures w14:val="none"/>
        </w:rPr>
        <w:t xml:space="preserve">) </w:t>
      </w:r>
      <w:r w:rsidR="00AB5C34" w:rsidRPr="005A56A5">
        <w:rPr>
          <w:rFonts w:ascii="Times New Roman" w:eastAsia="Times New Roman" w:hAnsi="Times New Roman" w:cs="Times New Roman"/>
          <w:color w:val="575757"/>
          <w:kern w:val="0"/>
          <w:sz w:val="24"/>
          <w:szCs w:val="24"/>
          <w:lang w:val="bg-BG"/>
          <w14:ligatures w14:val="none"/>
        </w:rPr>
        <w:t>от</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МСФО</w:t>
      </w:r>
      <w:r w:rsidR="00780FA7" w:rsidRPr="005A56A5">
        <w:rPr>
          <w:rFonts w:ascii="Times New Roman" w:eastAsia="Times New Roman" w:hAnsi="Times New Roman" w:cs="Times New Roman"/>
          <w:color w:val="575757"/>
          <w:kern w:val="0"/>
          <w:sz w:val="24"/>
          <w:szCs w:val="24"/>
          <w:lang w:val="bg-BG"/>
          <w14:ligatures w14:val="none"/>
        </w:rPr>
        <w:t xml:space="preserve"> 15 </w:t>
      </w:r>
      <w:r w:rsidR="00AB5C34" w:rsidRPr="005A56A5">
        <w:rPr>
          <w:rFonts w:ascii="Times New Roman" w:eastAsia="Times New Roman" w:hAnsi="Times New Roman" w:cs="Times New Roman"/>
          <w:i/>
          <w:iCs/>
          <w:color w:val="575757"/>
          <w:kern w:val="0"/>
          <w:sz w:val="24"/>
          <w:szCs w:val="24"/>
          <w:lang w:val="bg-BG"/>
          <w14:ligatures w14:val="none"/>
        </w:rPr>
        <w:t>Приходи от договори с клиенти,</w:t>
      </w:r>
      <w:r w:rsidR="00780FA7" w:rsidRPr="005A56A5">
        <w:rPr>
          <w:rFonts w:ascii="Times New Roman" w:eastAsia="Times New Roman" w:hAnsi="Times New Roman" w:cs="Times New Roman"/>
          <w:i/>
          <w:iCs/>
          <w:color w:val="575757"/>
          <w:kern w:val="0"/>
          <w:sz w:val="24"/>
          <w:szCs w:val="24"/>
          <w:lang w:val="bg-BG"/>
          <w14:ligatures w14:val="none"/>
        </w:rPr>
        <w:t> </w:t>
      </w:r>
      <w:r w:rsidR="00AB5C34" w:rsidRPr="005A56A5">
        <w:rPr>
          <w:rFonts w:ascii="Times New Roman" w:eastAsia="Times New Roman" w:hAnsi="Times New Roman" w:cs="Times New Roman"/>
          <w:color w:val="575757"/>
          <w:kern w:val="0"/>
          <w:sz w:val="24"/>
          <w:szCs w:val="24"/>
          <w:lang w:val="bg-BG"/>
          <w14:ligatures w14:val="none"/>
        </w:rPr>
        <w:t xml:space="preserve">които се отнасят до правото на предприятието </w:t>
      </w:r>
      <w:r w:rsidRPr="005A56A5">
        <w:rPr>
          <w:rFonts w:ascii="Times New Roman" w:eastAsia="Times New Roman" w:hAnsi="Times New Roman" w:cs="Times New Roman"/>
          <w:color w:val="575757"/>
          <w:kern w:val="0"/>
          <w:sz w:val="24"/>
          <w:szCs w:val="24"/>
          <w:lang w:val="bg-BG"/>
          <w14:ligatures w14:val="none"/>
        </w:rPr>
        <w:t>да получи плащане за извършената към съответната дата дейност</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Тези принципи ще бъдат използвани за определяне на изискванията за оценяване на съществуването на обвързващи (упражняеми) настоящи права за регулаторна възвръщаемост по актив, който все още не е на разположение за използване и за оценяване на съществуването обвързващи (упражняеми) настоящи права или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обвързващи (упражняеми) настоящи задължения по отношение на дългосрочни стимули за резултати от дейността</w:t>
      </w:r>
      <w:r w:rsidR="00780FA7" w:rsidRPr="005A56A5">
        <w:rPr>
          <w:rFonts w:ascii="Times New Roman" w:eastAsia="Times New Roman" w:hAnsi="Times New Roman" w:cs="Times New Roman"/>
          <w:color w:val="575757"/>
          <w:kern w:val="0"/>
          <w:sz w:val="24"/>
          <w:szCs w:val="24"/>
          <w:lang w:val="bg-BG"/>
          <w14:ligatures w14:val="none"/>
        </w:rPr>
        <w:t>.</w:t>
      </w:r>
    </w:p>
    <w:p w14:paraId="0DCD7D97" w14:textId="1ACD4D12" w:rsidR="00780FA7" w:rsidRPr="005A56A5" w:rsidRDefault="00FC3098"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w:t>
      </w:r>
      <w:r w:rsidR="00780FA7" w:rsidRPr="005A56A5">
        <w:rPr>
          <w:rFonts w:ascii="Helvetica" w:eastAsia="Times New Roman" w:hAnsi="Helvetica" w:cs="Helvetica"/>
          <w:color w:val="575757"/>
          <w:kern w:val="0"/>
          <w:sz w:val="24"/>
          <w:szCs w:val="24"/>
          <w:lang w:val="bg-BG"/>
          <w14:ligatures w14:val="none"/>
        </w:rPr>
        <w:t xml:space="preserve"> IASB </w:t>
      </w:r>
      <w:r w:rsidRPr="005A56A5">
        <w:rPr>
          <w:rFonts w:ascii="Helvetica" w:eastAsia="Times New Roman" w:hAnsi="Helvetica" w:cs="Helvetica"/>
          <w:color w:val="575757"/>
          <w:kern w:val="0"/>
          <w:sz w:val="24"/>
          <w:szCs w:val="24"/>
          <w:lang w:val="bg-BG"/>
          <w14:ligatures w14:val="none"/>
        </w:rPr>
        <w:t>изразиха съгласие с решенията в точки</w:t>
      </w:r>
      <w:r w:rsidR="00780FA7" w:rsidRPr="005A56A5">
        <w:rPr>
          <w:rFonts w:ascii="Helvetica" w:eastAsia="Times New Roman" w:hAnsi="Helvetica" w:cs="Helvetica"/>
          <w:color w:val="575757"/>
          <w:kern w:val="0"/>
          <w:sz w:val="24"/>
          <w:szCs w:val="24"/>
          <w:lang w:val="bg-BG"/>
          <w14:ligatures w14:val="none"/>
        </w:rPr>
        <w:t xml:space="preserve"> (a) </w:t>
      </w:r>
      <w:r w:rsidRPr="005A56A5">
        <w:rPr>
          <w:rFonts w:ascii="Helvetica" w:eastAsia="Times New Roman" w:hAnsi="Helvetica" w:cs="Helvetica"/>
          <w:color w:val="575757"/>
          <w:kern w:val="0"/>
          <w:sz w:val="24"/>
          <w:szCs w:val="24"/>
          <w:lang w:val="bg-BG"/>
          <w14:ligatures w14:val="none"/>
        </w:rPr>
        <w:t>и</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б</w:t>
      </w:r>
      <w:r w:rsidR="00780FA7" w:rsidRPr="005A56A5">
        <w:rPr>
          <w:rFonts w:ascii="Helvetica" w:eastAsia="Times New Roman" w:hAnsi="Helvetica" w:cs="Helvetica"/>
          <w:color w:val="575757"/>
          <w:kern w:val="0"/>
          <w:sz w:val="24"/>
          <w:szCs w:val="24"/>
          <w:lang w:val="bg-BG"/>
          <w14:ligatures w14:val="none"/>
        </w:rPr>
        <w:t>)</w:t>
      </w:r>
      <w:r w:rsidRPr="005A56A5">
        <w:rPr>
          <w:rFonts w:ascii="Helvetica" w:eastAsia="Times New Roman" w:hAnsi="Helvetica" w:cs="Helvetica"/>
          <w:color w:val="575757"/>
          <w:kern w:val="0"/>
          <w:sz w:val="24"/>
          <w:szCs w:val="24"/>
          <w:lang w:val="bg-BG"/>
          <w14:ligatures w14:val="none"/>
        </w:rPr>
        <w:t>, а единадесет от дванадесетте членове на</w:t>
      </w:r>
      <w:r w:rsidR="00780FA7" w:rsidRPr="005A56A5">
        <w:rPr>
          <w:rFonts w:ascii="Helvetica" w:eastAsia="Times New Roman" w:hAnsi="Helvetica" w:cs="Helvetica"/>
          <w:color w:val="575757"/>
          <w:kern w:val="0"/>
          <w:sz w:val="24"/>
          <w:szCs w:val="24"/>
          <w:lang w:val="bg-BG"/>
          <w14:ligatures w14:val="none"/>
        </w:rPr>
        <w:t xml:space="preserve"> IASB </w:t>
      </w:r>
      <w:r w:rsidRPr="005A56A5">
        <w:rPr>
          <w:rFonts w:ascii="Helvetica" w:eastAsia="Times New Roman" w:hAnsi="Helvetica" w:cs="Helvetica"/>
          <w:color w:val="575757"/>
          <w:kern w:val="0"/>
          <w:sz w:val="24"/>
          <w:szCs w:val="24"/>
          <w:lang w:val="bg-BG"/>
          <w14:ligatures w14:val="none"/>
        </w:rPr>
        <w:t xml:space="preserve">изразиха съгласие с решението по точка </w:t>
      </w:r>
      <w:r w:rsidR="00780FA7" w:rsidRPr="005A56A5">
        <w:rPr>
          <w:rFonts w:ascii="Helvetica" w:eastAsia="Times New Roman" w:hAnsi="Helvetica" w:cs="Helvetica"/>
          <w:color w:val="575757"/>
          <w:kern w:val="0"/>
          <w:sz w:val="24"/>
          <w:szCs w:val="24"/>
          <w:lang w:val="bg-BG"/>
          <w14:ligatures w14:val="none"/>
        </w:rPr>
        <w:t>(</w:t>
      </w:r>
      <w:r w:rsidRPr="005A56A5">
        <w:rPr>
          <w:rFonts w:ascii="Helvetica" w:eastAsia="Times New Roman" w:hAnsi="Helvetica" w:cs="Helvetica"/>
          <w:color w:val="575757"/>
          <w:kern w:val="0"/>
          <w:sz w:val="24"/>
          <w:szCs w:val="24"/>
          <w:lang w:val="bg-BG"/>
          <w14:ligatures w14:val="none"/>
        </w:rPr>
        <w:t>в).</w:t>
      </w:r>
    </w:p>
    <w:p w14:paraId="1F57C294" w14:textId="377C4AD8" w:rsidR="00780FA7" w:rsidRPr="005A56A5" w:rsidRDefault="00FC3098"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b/>
          <w:bCs/>
          <w:i/>
          <w:iCs/>
          <w:color w:val="575757"/>
          <w:kern w:val="0"/>
          <w:sz w:val="24"/>
          <w:szCs w:val="24"/>
          <w:lang w:val="bg-BG"/>
          <w14:ligatures w14:val="none"/>
        </w:rPr>
        <w:t>Общо позволено възнаграждение</w:t>
      </w:r>
      <w:r w:rsidR="00780FA7" w:rsidRPr="005A56A5">
        <w:rPr>
          <w:rFonts w:ascii="Helvetica" w:eastAsia="Times New Roman" w:hAnsi="Helvetica" w:cs="Helvetica"/>
          <w:b/>
          <w:bCs/>
          <w:i/>
          <w:iCs/>
          <w:color w:val="575757"/>
          <w:kern w:val="0"/>
          <w:sz w:val="24"/>
          <w:szCs w:val="24"/>
          <w:lang w:val="bg-BG"/>
          <w14:ligatures w14:val="none"/>
        </w:rPr>
        <w:t>—</w:t>
      </w:r>
      <w:r w:rsidRPr="005A56A5">
        <w:rPr>
          <w:rFonts w:ascii="Helvetica" w:eastAsia="Times New Roman" w:hAnsi="Helvetica" w:cs="Helvetica"/>
          <w:b/>
          <w:bCs/>
          <w:i/>
          <w:iCs/>
          <w:color w:val="575757"/>
          <w:kern w:val="0"/>
          <w:sz w:val="24"/>
          <w:szCs w:val="24"/>
          <w:lang w:val="bg-BG"/>
          <w14:ligatures w14:val="none"/>
        </w:rPr>
        <w:t>стимули за резултатите от дейността</w:t>
      </w:r>
      <w:r w:rsidR="00780FA7" w:rsidRPr="005A56A5">
        <w:rPr>
          <w:rFonts w:ascii="Helvetica" w:eastAsia="Times New Roman" w:hAnsi="Helvetica" w:cs="Helvetica"/>
          <w:b/>
          <w:bCs/>
          <w:i/>
          <w:iCs/>
          <w:color w:val="575757"/>
          <w:kern w:val="0"/>
          <w:sz w:val="24"/>
          <w:szCs w:val="24"/>
          <w:lang w:val="bg-BG"/>
          <w14:ligatures w14:val="none"/>
        </w:rPr>
        <w:t> </w:t>
      </w:r>
      <w:r w:rsidR="00780FA7" w:rsidRPr="005A56A5">
        <w:rPr>
          <w:rFonts w:ascii="Helvetica" w:eastAsia="Times New Roman" w:hAnsi="Helvetica" w:cs="Helvetica"/>
          <w:b/>
          <w:bCs/>
          <w:color w:val="575757"/>
          <w:kern w:val="0"/>
          <w:sz w:val="24"/>
          <w:szCs w:val="24"/>
          <w:lang w:val="bg-BG"/>
          <w14:ligatures w14:val="none"/>
        </w:rPr>
        <w:t>(</w:t>
      </w:r>
      <w:r w:rsidR="00D56402" w:rsidRPr="005A56A5">
        <w:rPr>
          <w:rFonts w:ascii="Helvetica" w:eastAsia="Times New Roman" w:hAnsi="Helvetica" w:cs="Helvetica"/>
          <w:b/>
          <w:bCs/>
          <w:color w:val="575757"/>
          <w:kern w:val="0"/>
          <w:sz w:val="24"/>
          <w:szCs w:val="24"/>
          <w:lang w:val="bg-BG"/>
          <w14:ligatures w14:val="none"/>
        </w:rPr>
        <w:t>Документ по програмата</w:t>
      </w:r>
      <w:r w:rsidR="00780FA7" w:rsidRPr="005A56A5">
        <w:rPr>
          <w:rFonts w:ascii="Helvetica" w:eastAsia="Times New Roman" w:hAnsi="Helvetica" w:cs="Helvetica"/>
          <w:b/>
          <w:bCs/>
          <w:color w:val="575757"/>
          <w:kern w:val="0"/>
          <w:sz w:val="24"/>
          <w:szCs w:val="24"/>
          <w:lang w:val="bg-BG"/>
          <w14:ligatures w14:val="none"/>
        </w:rPr>
        <w:t xml:space="preserve"> 9</w:t>
      </w:r>
      <w:r w:rsidRPr="005A56A5">
        <w:rPr>
          <w:rFonts w:ascii="Helvetica" w:eastAsia="Times New Roman" w:hAnsi="Helvetica" w:cs="Helvetica"/>
          <w:b/>
          <w:bCs/>
          <w:color w:val="575757"/>
          <w:kern w:val="0"/>
          <w:sz w:val="24"/>
          <w:szCs w:val="24"/>
          <w:lang w:val="bg-BG"/>
          <w14:ligatures w14:val="none"/>
        </w:rPr>
        <w:t>Г</w:t>
      </w:r>
      <w:r w:rsidR="00780FA7" w:rsidRPr="005A56A5">
        <w:rPr>
          <w:rFonts w:ascii="Helvetica" w:eastAsia="Times New Roman" w:hAnsi="Helvetica" w:cs="Helvetica"/>
          <w:b/>
          <w:bCs/>
          <w:color w:val="575757"/>
          <w:kern w:val="0"/>
          <w:sz w:val="24"/>
          <w:szCs w:val="24"/>
          <w:lang w:val="bg-BG"/>
          <w14:ligatures w14:val="none"/>
        </w:rPr>
        <w:t>)</w:t>
      </w:r>
    </w:p>
    <w:p w14:paraId="04D06E80" w14:textId="760EA848"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FC3098" w:rsidRPr="005A56A5">
        <w:rPr>
          <w:rFonts w:ascii="Helvetica" w:eastAsia="Times New Roman" w:hAnsi="Helvetica" w:cs="Helvetica"/>
          <w:color w:val="575757"/>
          <w:kern w:val="0"/>
          <w:sz w:val="24"/>
          <w:szCs w:val="24"/>
          <w:lang w:val="bg-BG"/>
          <w14:ligatures w14:val="none"/>
        </w:rPr>
        <w:t>да препотвърди в стандарта предложеното изискване, отнасящо се до стимулите за резултатите от дейността</w:t>
      </w:r>
      <w:r w:rsidR="00780FA7" w:rsidRPr="005A56A5">
        <w:rPr>
          <w:rFonts w:ascii="Helvetica" w:eastAsia="Times New Roman" w:hAnsi="Helvetica" w:cs="Helvetica"/>
          <w:color w:val="575757"/>
          <w:kern w:val="0"/>
          <w:sz w:val="24"/>
          <w:szCs w:val="24"/>
          <w:lang w:val="bg-BG"/>
          <w14:ligatures w14:val="none"/>
        </w:rPr>
        <w:t xml:space="preserve">. </w:t>
      </w:r>
      <w:r w:rsidR="00FC3098" w:rsidRPr="005A56A5">
        <w:rPr>
          <w:rFonts w:ascii="Helvetica" w:eastAsia="Times New Roman" w:hAnsi="Helvetica" w:cs="Helvetica"/>
          <w:color w:val="575757"/>
          <w:kern w:val="0"/>
          <w:sz w:val="24"/>
          <w:szCs w:val="24"/>
          <w:lang w:val="bg-BG"/>
          <w14:ligatures w14:val="none"/>
        </w:rPr>
        <w:t>Изискването ще гласи, че сумите, отнасящи се до стимулите за резултатите от дейността следва да формират част или да намаляват</w:t>
      </w:r>
      <w:r w:rsidR="00780FA7" w:rsidRPr="005A56A5">
        <w:rPr>
          <w:rFonts w:ascii="Helvetica" w:eastAsia="Times New Roman" w:hAnsi="Helvetica" w:cs="Helvetica"/>
          <w:color w:val="575757"/>
          <w:kern w:val="0"/>
          <w:sz w:val="24"/>
          <w:szCs w:val="24"/>
          <w:lang w:val="bg-BG"/>
          <w14:ligatures w14:val="none"/>
        </w:rPr>
        <w:t xml:space="preserve"> </w:t>
      </w:r>
      <w:r w:rsidR="00E8677E" w:rsidRPr="005A56A5">
        <w:rPr>
          <w:rFonts w:ascii="Helvetica" w:eastAsia="Times New Roman" w:hAnsi="Helvetica" w:cs="Helvetica"/>
          <w:color w:val="575757"/>
          <w:kern w:val="0"/>
          <w:sz w:val="24"/>
          <w:szCs w:val="24"/>
          <w:lang w:val="bg-BG"/>
          <w14:ligatures w14:val="none"/>
        </w:rPr>
        <w:t>общото позволено възнаграждение</w:t>
      </w:r>
      <w:r w:rsidR="00780FA7" w:rsidRPr="005A56A5">
        <w:rPr>
          <w:rFonts w:ascii="Helvetica" w:eastAsia="Times New Roman" w:hAnsi="Helvetica" w:cs="Helvetica"/>
          <w:color w:val="575757"/>
          <w:kern w:val="0"/>
          <w:sz w:val="24"/>
          <w:szCs w:val="24"/>
          <w:lang w:val="bg-BG"/>
          <w14:ligatures w14:val="none"/>
        </w:rPr>
        <w:t xml:space="preserve"> </w:t>
      </w:r>
      <w:r w:rsidR="00FC3098" w:rsidRPr="005A56A5">
        <w:rPr>
          <w:rFonts w:ascii="Helvetica" w:eastAsia="Times New Roman" w:hAnsi="Helvetica" w:cs="Helvetica"/>
          <w:color w:val="575757"/>
          <w:kern w:val="0"/>
          <w:sz w:val="24"/>
          <w:szCs w:val="24"/>
          <w:lang w:val="bg-BG"/>
          <w14:ligatures w14:val="none"/>
        </w:rPr>
        <w:t>за стоките или услугите, доставени през периода, в който дейността на предприятието поражда съответния стимул</w:t>
      </w:r>
      <w:r w:rsidR="00780FA7" w:rsidRPr="005A56A5">
        <w:rPr>
          <w:rFonts w:ascii="Helvetica" w:eastAsia="Times New Roman" w:hAnsi="Helvetica" w:cs="Helvetica"/>
          <w:color w:val="575757"/>
          <w:kern w:val="0"/>
          <w:sz w:val="24"/>
          <w:szCs w:val="24"/>
          <w:lang w:val="bg-BG"/>
          <w14:ligatures w14:val="none"/>
        </w:rPr>
        <w:t xml:space="preserve">. </w:t>
      </w:r>
      <w:r w:rsidR="00E8677E" w:rsidRPr="005A56A5">
        <w:rPr>
          <w:rFonts w:ascii="Helvetica" w:eastAsia="Times New Roman" w:hAnsi="Helvetica" w:cs="Helvetica"/>
          <w:color w:val="575757"/>
          <w:kern w:val="0"/>
          <w:sz w:val="24"/>
          <w:szCs w:val="24"/>
          <w:lang w:val="bg-BG"/>
          <w14:ligatures w14:val="none"/>
        </w:rPr>
        <w:t>Въпросните суми ще включват тези, които произтичат от изпълняваните от предприятието строителни работи</w:t>
      </w:r>
      <w:r w:rsidR="00780FA7" w:rsidRPr="005A56A5">
        <w:rPr>
          <w:rFonts w:ascii="Helvetica" w:eastAsia="Times New Roman" w:hAnsi="Helvetica" w:cs="Helvetica"/>
          <w:color w:val="575757"/>
          <w:kern w:val="0"/>
          <w:sz w:val="24"/>
          <w:szCs w:val="24"/>
          <w:lang w:val="bg-BG"/>
          <w14:ligatures w14:val="none"/>
        </w:rPr>
        <w:t>.</w:t>
      </w:r>
    </w:p>
    <w:p w14:paraId="4B2BE9F5" w14:textId="5DECC1C2"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6EBB4474" w14:textId="26CE243C" w:rsidR="00780FA7" w:rsidRPr="005A56A5" w:rsidRDefault="00ED20B1" w:rsidP="00780FA7">
      <w:pPr>
        <w:spacing w:before="100" w:beforeAutospacing="1" w:after="100" w:afterAutospacing="1" w:line="240" w:lineRule="auto"/>
        <w:outlineLvl w:val="3"/>
        <w:rPr>
          <w:rFonts w:ascii="Times New Roman" w:eastAsia="Times New Roman" w:hAnsi="Times New Roman" w:cs="Times New Roman"/>
          <w:b/>
          <w:bCs/>
          <w:i/>
          <w:iCs/>
          <w:color w:val="575757"/>
          <w:kern w:val="0"/>
          <w:sz w:val="26"/>
          <w:szCs w:val="26"/>
          <w:lang w:val="bg-BG"/>
          <w14:ligatures w14:val="none"/>
        </w:rPr>
      </w:pPr>
      <w:r w:rsidRPr="005A56A5">
        <w:rPr>
          <w:rFonts w:ascii="Times New Roman" w:eastAsia="Times New Roman" w:hAnsi="Times New Roman" w:cs="Times New Roman"/>
          <w:b/>
          <w:bCs/>
          <w:i/>
          <w:iCs/>
          <w:color w:val="575757"/>
          <w:kern w:val="0"/>
          <w:sz w:val="26"/>
          <w:szCs w:val="26"/>
          <w:lang w:val="bg-BG"/>
          <w14:ligatures w14:val="none"/>
        </w:rPr>
        <w:t>Следващ етап</w:t>
      </w:r>
    </w:p>
    <w:p w14:paraId="213DF7ED" w14:textId="3B800E03"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E8677E" w:rsidRPr="005A56A5">
        <w:rPr>
          <w:rFonts w:ascii="Helvetica" w:eastAsia="Times New Roman" w:hAnsi="Helvetica" w:cs="Helvetica"/>
          <w:color w:val="575757"/>
          <w:kern w:val="0"/>
          <w:sz w:val="24"/>
          <w:szCs w:val="24"/>
          <w:lang w:val="bg-BG"/>
          <w14:ligatures w14:val="none"/>
        </w:rPr>
        <w:t>ще продължи разискванията по предложенията във връзка с проекта</w:t>
      </w:r>
      <w:r w:rsidRPr="005A56A5">
        <w:rPr>
          <w:rFonts w:ascii="Helvetica" w:eastAsia="Times New Roman" w:hAnsi="Helvetica" w:cs="Helvetica"/>
          <w:color w:val="575757"/>
          <w:kern w:val="0"/>
          <w:sz w:val="24"/>
          <w:szCs w:val="24"/>
          <w:lang w:val="bg-BG"/>
          <w14:ligatures w14:val="none"/>
        </w:rPr>
        <w:t>.</w:t>
      </w:r>
    </w:p>
    <w:p w14:paraId="615CF438" w14:textId="29C2A646" w:rsidR="00780FA7" w:rsidRPr="005A56A5" w:rsidRDefault="003900A1" w:rsidP="00780FA7">
      <w:pPr>
        <w:spacing w:before="100" w:beforeAutospacing="1" w:after="100" w:afterAutospacing="1" w:line="240" w:lineRule="auto"/>
        <w:outlineLvl w:val="2"/>
        <w:rPr>
          <w:rFonts w:ascii="Times New Roman" w:eastAsia="Times New Roman" w:hAnsi="Times New Roman" w:cs="Times New Roman"/>
          <w:b/>
          <w:bCs/>
          <w:color w:val="CD3333"/>
          <w:kern w:val="0"/>
          <w:sz w:val="26"/>
          <w:szCs w:val="26"/>
          <w:lang w:val="bg-BG"/>
          <w14:ligatures w14:val="none"/>
        </w:rPr>
      </w:pPr>
      <w:r w:rsidRPr="005A56A5">
        <w:rPr>
          <w:rFonts w:ascii="Times New Roman" w:eastAsia="Times New Roman" w:hAnsi="Times New Roman" w:cs="Times New Roman"/>
          <w:b/>
          <w:bCs/>
          <w:color w:val="CD3333"/>
          <w:kern w:val="0"/>
          <w:sz w:val="26"/>
          <w:szCs w:val="26"/>
          <w:lang w:val="bg-BG"/>
          <w14:ligatures w14:val="none"/>
        </w:rPr>
        <w:lastRenderedPageBreak/>
        <w:t>Бизнес комбинации</w:t>
      </w:r>
      <w:r w:rsidR="00780FA7" w:rsidRPr="005A56A5">
        <w:rPr>
          <w:rFonts w:ascii="Times New Roman" w:eastAsia="Times New Roman" w:hAnsi="Times New Roman" w:cs="Times New Roman"/>
          <w:b/>
          <w:bCs/>
          <w:color w:val="CD3333"/>
          <w:kern w:val="0"/>
          <w:sz w:val="26"/>
          <w:szCs w:val="26"/>
          <w:lang w:val="bg-BG"/>
          <w14:ligatures w14:val="none"/>
        </w:rPr>
        <w:t>—</w:t>
      </w:r>
      <w:r w:rsidRPr="005A56A5">
        <w:rPr>
          <w:rFonts w:ascii="Times New Roman" w:eastAsia="Times New Roman" w:hAnsi="Times New Roman" w:cs="Times New Roman"/>
          <w:b/>
          <w:bCs/>
          <w:color w:val="CD3333"/>
          <w:kern w:val="0"/>
          <w:sz w:val="26"/>
          <w:szCs w:val="26"/>
          <w:lang w:val="bg-BG"/>
          <w14:ligatures w14:val="none"/>
        </w:rPr>
        <w:t>оповестявания</w:t>
      </w:r>
      <w:r w:rsidR="00780FA7" w:rsidRPr="005A56A5">
        <w:rPr>
          <w:rFonts w:ascii="Times New Roman" w:eastAsia="Times New Roman" w:hAnsi="Times New Roman" w:cs="Times New Roman"/>
          <w:b/>
          <w:bCs/>
          <w:color w:val="CD3333"/>
          <w:kern w:val="0"/>
          <w:sz w:val="26"/>
          <w:szCs w:val="26"/>
          <w:lang w:val="bg-BG"/>
          <w14:ligatures w14:val="none"/>
        </w:rPr>
        <w:t xml:space="preserve">, </w:t>
      </w:r>
      <w:r w:rsidRPr="005A56A5">
        <w:rPr>
          <w:rFonts w:ascii="Times New Roman" w:eastAsia="Times New Roman" w:hAnsi="Times New Roman" w:cs="Times New Roman"/>
          <w:b/>
          <w:bCs/>
          <w:color w:val="CD3333"/>
          <w:kern w:val="0"/>
          <w:sz w:val="26"/>
          <w:szCs w:val="26"/>
          <w:lang w:val="bg-BG"/>
          <w14:ligatures w14:val="none"/>
        </w:rPr>
        <w:t>репутация и обезценка</w:t>
      </w:r>
      <w:r w:rsidR="00780FA7" w:rsidRPr="005A56A5">
        <w:rPr>
          <w:rFonts w:ascii="Times New Roman" w:eastAsia="Times New Roman" w:hAnsi="Times New Roman" w:cs="Times New Roman"/>
          <w:b/>
          <w:bCs/>
          <w:color w:val="CD3333"/>
          <w:kern w:val="0"/>
          <w:sz w:val="26"/>
          <w:szCs w:val="26"/>
          <w:lang w:val="bg-BG"/>
          <w14:ligatures w14:val="none"/>
        </w:rPr>
        <w:t xml:space="preserve"> (</w:t>
      </w:r>
      <w:r w:rsidR="00D56402" w:rsidRPr="005A56A5">
        <w:rPr>
          <w:rFonts w:ascii="Times New Roman" w:eastAsia="Times New Roman" w:hAnsi="Times New Roman" w:cs="Times New Roman"/>
          <w:b/>
          <w:bCs/>
          <w:color w:val="CD3333"/>
          <w:kern w:val="0"/>
          <w:sz w:val="26"/>
          <w:szCs w:val="26"/>
          <w:lang w:val="bg-BG"/>
          <w14:ligatures w14:val="none"/>
        </w:rPr>
        <w:t>Документ по програмата</w:t>
      </w:r>
      <w:r w:rsidR="00780FA7" w:rsidRPr="005A56A5">
        <w:rPr>
          <w:rFonts w:ascii="Times New Roman" w:eastAsia="Times New Roman" w:hAnsi="Times New Roman" w:cs="Times New Roman"/>
          <w:b/>
          <w:bCs/>
          <w:color w:val="CD3333"/>
          <w:kern w:val="0"/>
          <w:sz w:val="26"/>
          <w:szCs w:val="26"/>
          <w:lang w:val="bg-BG"/>
          <w14:ligatures w14:val="none"/>
        </w:rPr>
        <w:t xml:space="preserve"> 18)</w:t>
      </w:r>
    </w:p>
    <w:p w14:paraId="4612003B" w14:textId="2EBA4A1C" w:rsidR="00780FA7" w:rsidRPr="005A56A5" w:rsidRDefault="00924C84"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На 23 февруари 2023 г. IASB проведе заседание, за да обсъди </w:t>
      </w:r>
      <w:r w:rsidR="003900A1" w:rsidRPr="005A56A5">
        <w:rPr>
          <w:rFonts w:ascii="Helvetica" w:eastAsia="Times New Roman" w:hAnsi="Helvetica" w:cs="Helvetica"/>
          <w:color w:val="575757"/>
          <w:kern w:val="0"/>
          <w:sz w:val="24"/>
          <w:szCs w:val="24"/>
          <w:lang w:val="bg-BG"/>
          <w14:ligatures w14:val="none"/>
        </w:rPr>
        <w:t>проекта си, посветен на бизнес комбинациите – оповестявания, репутация и обезценка. В частност</w:t>
      </w:r>
      <w:r w:rsidR="00780FA7" w:rsidRPr="005A56A5">
        <w:rPr>
          <w:rFonts w:ascii="Helvetica" w:eastAsia="Times New Roman" w:hAnsi="Helvetica" w:cs="Helvetica"/>
          <w:color w:val="575757"/>
          <w:kern w:val="0"/>
          <w:sz w:val="24"/>
          <w:szCs w:val="24"/>
          <w:lang w:val="bg-BG"/>
          <w14:ligatures w14:val="none"/>
        </w:rPr>
        <w:t xml:space="preserve">, IASB </w:t>
      </w:r>
      <w:r w:rsidR="003900A1" w:rsidRPr="005A56A5">
        <w:rPr>
          <w:rFonts w:ascii="Helvetica" w:eastAsia="Times New Roman" w:hAnsi="Helvetica" w:cs="Helvetica"/>
          <w:color w:val="575757"/>
          <w:kern w:val="0"/>
          <w:sz w:val="24"/>
          <w:szCs w:val="24"/>
          <w:lang w:val="bg-BG"/>
          <w14:ligatures w14:val="none"/>
        </w:rPr>
        <w:t>обсъди подход от гледна точка на ръководството спрямо оповестяването на информация относно последвалите резултати от бизнес комбинацията</w:t>
      </w:r>
      <w:r w:rsidR="00780FA7" w:rsidRPr="005A56A5">
        <w:rPr>
          <w:rFonts w:ascii="Helvetica" w:eastAsia="Times New Roman" w:hAnsi="Helvetica" w:cs="Helvetica"/>
          <w:color w:val="575757"/>
          <w:kern w:val="0"/>
          <w:sz w:val="24"/>
          <w:szCs w:val="24"/>
          <w:lang w:val="bg-BG"/>
          <w14:ligatures w14:val="none"/>
        </w:rPr>
        <w:t>.</w:t>
      </w:r>
    </w:p>
    <w:p w14:paraId="3B9FA2E3" w14:textId="1D2C1A6E" w:rsidR="00780FA7" w:rsidRPr="005A56A5" w:rsidRDefault="003900A1"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b/>
          <w:bCs/>
          <w:i/>
          <w:iCs/>
          <w:color w:val="575757"/>
          <w:kern w:val="0"/>
          <w:sz w:val="24"/>
          <w:szCs w:val="24"/>
          <w:lang w:val="bg-BG"/>
          <w14:ligatures w14:val="none"/>
        </w:rPr>
        <w:t xml:space="preserve">Подход от гледна точка на ръководството </w:t>
      </w:r>
      <w:r w:rsidR="00780FA7" w:rsidRPr="005A56A5">
        <w:rPr>
          <w:rFonts w:ascii="Helvetica" w:eastAsia="Times New Roman" w:hAnsi="Helvetica" w:cs="Helvetica"/>
          <w:b/>
          <w:bCs/>
          <w:color w:val="575757"/>
          <w:kern w:val="0"/>
          <w:sz w:val="24"/>
          <w:szCs w:val="24"/>
          <w:lang w:val="bg-BG"/>
          <w14:ligatures w14:val="none"/>
        </w:rPr>
        <w:t>(</w:t>
      </w:r>
      <w:r w:rsidR="00D56402" w:rsidRPr="005A56A5">
        <w:rPr>
          <w:rFonts w:ascii="Helvetica" w:eastAsia="Times New Roman" w:hAnsi="Helvetica" w:cs="Helvetica"/>
          <w:b/>
          <w:bCs/>
          <w:color w:val="575757"/>
          <w:kern w:val="0"/>
          <w:sz w:val="24"/>
          <w:szCs w:val="24"/>
          <w:lang w:val="bg-BG"/>
          <w14:ligatures w14:val="none"/>
        </w:rPr>
        <w:t>Документ по програмата</w:t>
      </w:r>
      <w:r w:rsidR="00780FA7" w:rsidRPr="005A56A5">
        <w:rPr>
          <w:rFonts w:ascii="Helvetica" w:eastAsia="Times New Roman" w:hAnsi="Helvetica" w:cs="Helvetica"/>
          <w:b/>
          <w:bCs/>
          <w:color w:val="575757"/>
          <w:kern w:val="0"/>
          <w:sz w:val="24"/>
          <w:szCs w:val="24"/>
          <w:lang w:val="bg-BG"/>
          <w14:ligatures w14:val="none"/>
        </w:rPr>
        <w:t xml:space="preserve"> 18A)</w:t>
      </w:r>
    </w:p>
    <w:p w14:paraId="7638B4EE" w14:textId="21D802B9"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7881FFD3" w14:textId="463E2E7F" w:rsidR="00780FA7" w:rsidRPr="005A56A5" w:rsidRDefault="003900A1" w:rsidP="00780FA7">
      <w:pPr>
        <w:numPr>
          <w:ilvl w:val="0"/>
          <w:numId w:val="14"/>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посочи ниво на ръководството в рамките на предприятието, за да идентифицира информацията, която от предприятието се изисква да бъде оповестена относно</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последвалите резултати от бизнес комбинацията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2E403B1D" w14:textId="34B0157C" w:rsidR="00780FA7" w:rsidRPr="005A56A5" w:rsidRDefault="003900A1" w:rsidP="00780FA7">
      <w:pPr>
        <w:numPr>
          <w:ilvl w:val="0"/>
          <w:numId w:val="14"/>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опише това ниво на ръководството като ключовия управленски персонал на отчитащото се предприятие</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така както е дефиниран в</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xml:space="preserve"> 24</w:t>
      </w:r>
      <w:r w:rsidR="00780FA7" w:rsidRPr="005A56A5">
        <w:rPr>
          <w:rFonts w:ascii="Times New Roman" w:eastAsia="Times New Roman" w:hAnsi="Times New Roman" w:cs="Times New Roman"/>
          <w:i/>
          <w:iCs/>
          <w:color w:val="575757"/>
          <w:kern w:val="0"/>
          <w:sz w:val="24"/>
          <w:szCs w:val="24"/>
          <w:lang w:val="bg-BG"/>
          <w14:ligatures w14:val="none"/>
        </w:rPr>
        <w:t> </w:t>
      </w:r>
      <w:r w:rsidRPr="005A56A5">
        <w:rPr>
          <w:rFonts w:ascii="Times New Roman" w:eastAsia="Times New Roman" w:hAnsi="Times New Roman" w:cs="Times New Roman"/>
          <w:i/>
          <w:iCs/>
          <w:color w:val="575757"/>
          <w:kern w:val="0"/>
          <w:sz w:val="24"/>
          <w:szCs w:val="24"/>
          <w:lang w:val="bg-BG"/>
          <w14:ligatures w14:val="none"/>
        </w:rPr>
        <w:t>Оповестяване на свързани лица</w:t>
      </w:r>
      <w:r w:rsidR="00780FA7" w:rsidRPr="005A56A5">
        <w:rPr>
          <w:rFonts w:ascii="Times New Roman" w:eastAsia="Times New Roman" w:hAnsi="Times New Roman" w:cs="Times New Roman"/>
          <w:color w:val="575757"/>
          <w:kern w:val="0"/>
          <w:sz w:val="24"/>
          <w:szCs w:val="24"/>
          <w:lang w:val="bg-BG"/>
          <w14:ligatures w14:val="none"/>
        </w:rPr>
        <w:t>.</w:t>
      </w:r>
    </w:p>
    <w:p w14:paraId="71288BF1" w14:textId="5BEDA245"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3B8D9689" w14:textId="6D4A531A" w:rsidR="00780FA7" w:rsidRPr="005A56A5" w:rsidRDefault="003900A1"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b/>
          <w:bCs/>
          <w:i/>
          <w:iCs/>
          <w:color w:val="575757"/>
          <w:kern w:val="0"/>
          <w:sz w:val="24"/>
          <w:szCs w:val="24"/>
          <w:lang w:val="bg-BG"/>
          <w14:ligatures w14:val="none"/>
        </w:rPr>
        <w:t>Други аспекти на подхода</w:t>
      </w:r>
      <w:r w:rsidR="00780FA7" w:rsidRPr="005A56A5">
        <w:rPr>
          <w:rFonts w:ascii="Helvetica" w:eastAsia="Times New Roman" w:hAnsi="Helvetica" w:cs="Helvetica"/>
          <w:b/>
          <w:bCs/>
          <w:i/>
          <w:iCs/>
          <w:color w:val="575757"/>
          <w:kern w:val="0"/>
          <w:sz w:val="24"/>
          <w:szCs w:val="24"/>
          <w:lang w:val="bg-BG"/>
          <w14:ligatures w14:val="none"/>
        </w:rPr>
        <w:t xml:space="preserve"> </w:t>
      </w:r>
      <w:r w:rsidRPr="005A56A5">
        <w:rPr>
          <w:rFonts w:ascii="Helvetica" w:eastAsia="Times New Roman" w:hAnsi="Helvetica" w:cs="Helvetica"/>
          <w:b/>
          <w:bCs/>
          <w:i/>
          <w:iCs/>
          <w:color w:val="575757"/>
          <w:kern w:val="0"/>
          <w:sz w:val="24"/>
          <w:szCs w:val="24"/>
          <w:lang w:val="bg-BG"/>
          <w14:ligatures w14:val="none"/>
        </w:rPr>
        <w:t xml:space="preserve">от гледна точка на ръководството </w:t>
      </w:r>
      <w:r w:rsidR="00780FA7" w:rsidRPr="005A56A5">
        <w:rPr>
          <w:rFonts w:ascii="Helvetica" w:eastAsia="Times New Roman" w:hAnsi="Helvetica" w:cs="Helvetica"/>
          <w:b/>
          <w:bCs/>
          <w:color w:val="575757"/>
          <w:kern w:val="0"/>
          <w:sz w:val="24"/>
          <w:szCs w:val="24"/>
          <w:lang w:val="bg-BG"/>
          <w14:ligatures w14:val="none"/>
        </w:rPr>
        <w:t>(</w:t>
      </w:r>
      <w:r w:rsidR="00D56402" w:rsidRPr="005A56A5">
        <w:rPr>
          <w:rFonts w:ascii="Helvetica" w:eastAsia="Times New Roman" w:hAnsi="Helvetica" w:cs="Helvetica"/>
          <w:b/>
          <w:bCs/>
          <w:color w:val="575757"/>
          <w:kern w:val="0"/>
          <w:sz w:val="24"/>
          <w:szCs w:val="24"/>
          <w:lang w:val="bg-BG"/>
          <w14:ligatures w14:val="none"/>
        </w:rPr>
        <w:t>Документ по програмата</w:t>
      </w:r>
      <w:r w:rsidR="00780FA7" w:rsidRPr="005A56A5">
        <w:rPr>
          <w:rFonts w:ascii="Helvetica" w:eastAsia="Times New Roman" w:hAnsi="Helvetica" w:cs="Helvetica"/>
          <w:b/>
          <w:bCs/>
          <w:color w:val="575757"/>
          <w:kern w:val="0"/>
          <w:sz w:val="24"/>
          <w:szCs w:val="24"/>
          <w:lang w:val="bg-BG"/>
          <w14:ligatures w14:val="none"/>
        </w:rPr>
        <w:t xml:space="preserve"> 18</w:t>
      </w:r>
      <w:r w:rsidRPr="005A56A5">
        <w:rPr>
          <w:rFonts w:ascii="Helvetica" w:eastAsia="Times New Roman" w:hAnsi="Helvetica" w:cs="Helvetica"/>
          <w:b/>
          <w:bCs/>
          <w:color w:val="575757"/>
          <w:kern w:val="0"/>
          <w:sz w:val="24"/>
          <w:szCs w:val="24"/>
          <w:lang w:val="bg-BG"/>
          <w14:ligatures w14:val="none"/>
        </w:rPr>
        <w:t>Б</w:t>
      </w:r>
      <w:r w:rsidR="00780FA7" w:rsidRPr="005A56A5">
        <w:rPr>
          <w:rFonts w:ascii="Helvetica" w:eastAsia="Times New Roman" w:hAnsi="Helvetica" w:cs="Helvetica"/>
          <w:b/>
          <w:bCs/>
          <w:color w:val="575757"/>
          <w:kern w:val="0"/>
          <w:sz w:val="24"/>
          <w:szCs w:val="24"/>
          <w:lang w:val="bg-BG"/>
          <w14:ligatures w14:val="none"/>
        </w:rPr>
        <w:t>)</w:t>
      </w:r>
    </w:p>
    <w:p w14:paraId="41D4D485" w14:textId="06F12B36"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1CE9C87D" w14:textId="49C7ECC6" w:rsidR="00780FA7" w:rsidRPr="005A56A5" w:rsidRDefault="00D958A4" w:rsidP="00780FA7">
      <w:pPr>
        <w:numPr>
          <w:ilvl w:val="0"/>
          <w:numId w:val="15"/>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запази предварителното си виждане от предприятието да се изисква да оповестява информация относно последващите резултати от бизнес комбинацията дотогава, докогато ръководството на предприятието продължава да наблюдава текущо дали целите на бизнес комбинацията се изпълняват</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т.е., ръководството на предприятието сравнява действителните резултати с целите и целевите показатели на предприятието по отношение на бизнес комбинацията, които то е установило при влизането в тази бизнес комбинация</w:t>
      </w:r>
      <w:r w:rsidR="00780FA7" w:rsidRPr="005A56A5">
        <w:rPr>
          <w:rFonts w:ascii="Times New Roman" w:eastAsia="Times New Roman" w:hAnsi="Times New Roman" w:cs="Times New Roman"/>
          <w:color w:val="575757"/>
          <w:kern w:val="0"/>
          <w:sz w:val="24"/>
          <w:szCs w:val="24"/>
          <w:lang w:val="bg-BG"/>
          <w14:ligatures w14:val="none"/>
        </w:rPr>
        <w:t>).</w:t>
      </w:r>
    </w:p>
    <w:p w14:paraId="4FBD128A" w14:textId="41E3AC77" w:rsidR="00780FA7" w:rsidRPr="005A56A5" w:rsidRDefault="00D958A4" w:rsidP="00780FA7">
      <w:pPr>
        <w:numPr>
          <w:ilvl w:val="0"/>
          <w:numId w:val="15"/>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запази предварителното си виждане ако ръководството на предприятието не осъществява текущо наблюдение дали неговите цели по отношение на бизнес комбинацията се изпълняват</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предприятието да следва да оповестява този факт и причините, поради които то не извършва това</w:t>
      </w:r>
      <w:r w:rsidR="00780FA7" w:rsidRPr="005A56A5">
        <w:rPr>
          <w:rFonts w:ascii="Times New Roman" w:eastAsia="Times New Roman" w:hAnsi="Times New Roman" w:cs="Times New Roman"/>
          <w:color w:val="575757"/>
          <w:kern w:val="0"/>
          <w:sz w:val="24"/>
          <w:szCs w:val="24"/>
          <w:lang w:val="bg-BG"/>
          <w14:ligatures w14:val="none"/>
        </w:rPr>
        <w:t>.</w:t>
      </w:r>
    </w:p>
    <w:p w14:paraId="237D1BA4" w14:textId="3875426F" w:rsidR="00780FA7" w:rsidRPr="005A56A5" w:rsidRDefault="00D958A4" w:rsidP="00780FA7">
      <w:pPr>
        <w:numPr>
          <w:ilvl w:val="0"/>
          <w:numId w:val="15"/>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запази предварителното си виждане ако ръководството на предприятието спре да осъществява текущо наблюдение преди края на втората пълна година след годината на бизнес комбинацията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дали целите на предприятието по отношение на бизнес комбинацията се изпълняват, предприятието да следва да оповестява този факт и причините, поради които е постъпило така</w:t>
      </w:r>
      <w:r w:rsidR="00780FA7" w:rsidRPr="005A56A5">
        <w:rPr>
          <w:rFonts w:ascii="Times New Roman" w:eastAsia="Times New Roman" w:hAnsi="Times New Roman" w:cs="Times New Roman"/>
          <w:color w:val="575757"/>
          <w:kern w:val="0"/>
          <w:sz w:val="24"/>
          <w:szCs w:val="24"/>
          <w:lang w:val="bg-BG"/>
          <w14:ligatures w14:val="none"/>
        </w:rPr>
        <w:t>.</w:t>
      </w:r>
    </w:p>
    <w:p w14:paraId="119A1E73" w14:textId="4C4400DF" w:rsidR="00780FA7" w:rsidRPr="005A56A5" w:rsidRDefault="00D958A4" w:rsidP="00780FA7">
      <w:pPr>
        <w:numPr>
          <w:ilvl w:val="0"/>
          <w:numId w:val="15"/>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предложи от предприятие, чието ръководство</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 xml:space="preserve">спре да осъществява текущо наблюдение преди края на втората пълна година след годината на бизнес комбинацията, дали целите на предприятието по отношение на бизнес </w:t>
      </w:r>
      <w:r w:rsidRPr="005A56A5">
        <w:rPr>
          <w:rFonts w:ascii="Times New Roman" w:eastAsia="Times New Roman" w:hAnsi="Times New Roman" w:cs="Times New Roman"/>
          <w:color w:val="575757"/>
          <w:kern w:val="0"/>
          <w:sz w:val="24"/>
          <w:szCs w:val="24"/>
          <w:lang w:val="bg-BG"/>
          <w14:ligatures w14:val="none"/>
        </w:rPr>
        <w:lastRenderedPageBreak/>
        <w:t>комбинацията се изпълняват,</w:t>
      </w:r>
      <w:r w:rsidR="00616598">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да се изисква да оповестява информация относно действителните резултати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От предприятието ще се изисква да оповестява информация с помощта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00F60F8E" w:rsidRPr="005A56A5">
        <w:rPr>
          <w:rFonts w:ascii="Times New Roman" w:eastAsia="Times New Roman" w:hAnsi="Times New Roman" w:cs="Times New Roman"/>
          <w:color w:val="575757"/>
          <w:kern w:val="0"/>
          <w:sz w:val="24"/>
          <w:szCs w:val="24"/>
          <w:lang w:val="bg-BG"/>
          <w14:ligatures w14:val="none"/>
        </w:rPr>
        <w:t>количествените показатели, определени в годината на придобиването</w:t>
      </w:r>
      <w:r w:rsidR="00780FA7" w:rsidRPr="005A56A5">
        <w:rPr>
          <w:rFonts w:ascii="Times New Roman" w:eastAsia="Times New Roman" w:hAnsi="Times New Roman" w:cs="Times New Roman"/>
          <w:color w:val="575757"/>
          <w:kern w:val="0"/>
          <w:sz w:val="24"/>
          <w:szCs w:val="24"/>
          <w:lang w:val="bg-BG"/>
          <w14:ligatures w14:val="none"/>
        </w:rPr>
        <w:t xml:space="preserve">, </w:t>
      </w:r>
      <w:r w:rsidR="00F60F8E" w:rsidRPr="005A56A5">
        <w:rPr>
          <w:rFonts w:ascii="Times New Roman" w:eastAsia="Times New Roman" w:hAnsi="Times New Roman" w:cs="Times New Roman"/>
          <w:color w:val="575757"/>
          <w:kern w:val="0"/>
          <w:sz w:val="24"/>
          <w:szCs w:val="24"/>
          <w:lang w:val="bg-BG"/>
          <w14:ligatures w14:val="none"/>
        </w:rPr>
        <w:t>ако</w:t>
      </w:r>
      <w:r w:rsidR="00780FA7" w:rsidRPr="005A56A5">
        <w:rPr>
          <w:rFonts w:ascii="Times New Roman" w:eastAsia="Times New Roman" w:hAnsi="Times New Roman" w:cs="Times New Roman"/>
          <w:color w:val="575757"/>
          <w:kern w:val="0"/>
          <w:sz w:val="24"/>
          <w:szCs w:val="24"/>
          <w:lang w:val="bg-BG"/>
          <w14:ligatures w14:val="none"/>
        </w:rPr>
        <w:t xml:space="preserve"> (</w:t>
      </w:r>
      <w:r w:rsidR="00F60F8E" w:rsidRPr="005A56A5">
        <w:rPr>
          <w:rFonts w:ascii="Times New Roman" w:eastAsia="Times New Roman" w:hAnsi="Times New Roman" w:cs="Times New Roman"/>
          <w:color w:val="575757"/>
          <w:kern w:val="0"/>
          <w:sz w:val="24"/>
          <w:szCs w:val="24"/>
          <w:lang w:val="bg-BG"/>
          <w14:ligatures w14:val="none"/>
        </w:rPr>
        <w:t>и само ако</w:t>
      </w:r>
      <w:r w:rsidR="00780FA7" w:rsidRPr="005A56A5">
        <w:rPr>
          <w:rFonts w:ascii="Times New Roman" w:eastAsia="Times New Roman" w:hAnsi="Times New Roman" w:cs="Times New Roman"/>
          <w:color w:val="575757"/>
          <w:kern w:val="0"/>
          <w:sz w:val="24"/>
          <w:szCs w:val="24"/>
          <w:lang w:val="bg-BG"/>
          <w14:ligatures w14:val="none"/>
        </w:rPr>
        <w:t xml:space="preserve">) </w:t>
      </w:r>
      <w:r w:rsidR="00F60F8E" w:rsidRPr="005A56A5">
        <w:rPr>
          <w:rFonts w:ascii="Times New Roman" w:eastAsia="Times New Roman" w:hAnsi="Times New Roman" w:cs="Times New Roman"/>
          <w:color w:val="575757"/>
          <w:kern w:val="0"/>
          <w:sz w:val="24"/>
          <w:szCs w:val="24"/>
          <w:lang w:val="bg-BG"/>
          <w14:ligatures w14:val="none"/>
        </w:rPr>
        <w:t>информацията относно действителните резултати при използването на тези количествени показатели се получава от ръководството на предприятието</w:t>
      </w:r>
      <w:r w:rsidR="00780FA7" w:rsidRPr="005A56A5">
        <w:rPr>
          <w:rFonts w:ascii="Times New Roman" w:eastAsia="Times New Roman" w:hAnsi="Times New Roman" w:cs="Times New Roman"/>
          <w:color w:val="575757"/>
          <w:kern w:val="0"/>
          <w:sz w:val="24"/>
          <w:szCs w:val="24"/>
          <w:lang w:val="bg-BG"/>
          <w14:ligatures w14:val="none"/>
        </w:rPr>
        <w:t>.</w:t>
      </w:r>
    </w:p>
    <w:p w14:paraId="608EDA46" w14:textId="5E455020" w:rsidR="00780FA7" w:rsidRPr="005A56A5" w:rsidRDefault="00F60F8E" w:rsidP="00780FA7">
      <w:pPr>
        <w:numPr>
          <w:ilvl w:val="0"/>
          <w:numId w:val="15"/>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разреши на предприятието да оповестява информация относно целевите си показатели по отношение на бизнес комбинацията като диапазон или като точкова приблизителна оценка</w:t>
      </w:r>
      <w:r w:rsidR="00780FA7" w:rsidRPr="005A56A5">
        <w:rPr>
          <w:rFonts w:ascii="Times New Roman" w:eastAsia="Times New Roman" w:hAnsi="Times New Roman" w:cs="Times New Roman"/>
          <w:color w:val="575757"/>
          <w:kern w:val="0"/>
          <w:sz w:val="24"/>
          <w:szCs w:val="24"/>
          <w:lang w:val="bg-BG"/>
          <w14:ligatures w14:val="none"/>
        </w:rPr>
        <w:t>.</w:t>
      </w:r>
    </w:p>
    <w:p w14:paraId="6358879E" w14:textId="7E094600" w:rsidR="00780FA7" w:rsidRPr="005A56A5" w:rsidRDefault="00F60F8E" w:rsidP="00780FA7">
      <w:pPr>
        <w:numPr>
          <w:ilvl w:val="0"/>
          <w:numId w:val="15"/>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 поясни, че от предприятието ще се изисква да оповестява единствено информация относно ключовите си цели, т.е., целите, които са от критично важно значение за успеха на бизнес комбинацията</w:t>
      </w:r>
      <w:r w:rsidR="00780FA7" w:rsidRPr="005A56A5">
        <w:rPr>
          <w:rFonts w:ascii="Times New Roman" w:eastAsia="Times New Roman" w:hAnsi="Times New Roman" w:cs="Times New Roman"/>
          <w:color w:val="575757"/>
          <w:kern w:val="0"/>
          <w:sz w:val="24"/>
          <w:szCs w:val="24"/>
          <w:lang w:val="bg-BG"/>
          <w14:ligatures w14:val="none"/>
        </w:rPr>
        <w:t>.</w:t>
      </w:r>
    </w:p>
    <w:p w14:paraId="5657B095" w14:textId="63C9EB55"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7D1E2B74" w14:textId="6BB9A9B8" w:rsidR="00780FA7" w:rsidRPr="005A56A5" w:rsidRDefault="00683D1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480C0B" w:rsidRPr="005A56A5">
        <w:rPr>
          <w:rFonts w:ascii="Helvetica" w:eastAsia="Times New Roman" w:hAnsi="Helvetica" w:cs="Helvetica"/>
          <w:color w:val="575757"/>
          <w:kern w:val="0"/>
          <w:sz w:val="24"/>
          <w:szCs w:val="24"/>
          <w:lang w:val="bg-BG"/>
          <w14:ligatures w14:val="none"/>
        </w:rPr>
        <w:t>да не продължава работата по предварителното си виждане, отнасящо се до информацията, която от предприятието би се изисквало да оповестява, ако то промени количествените показатели, които ръководството му използва за да наблюдава текущо дали целите на бизнес комбинацията се постигат</w:t>
      </w:r>
      <w:r w:rsidR="00780FA7" w:rsidRPr="005A56A5">
        <w:rPr>
          <w:rFonts w:ascii="Helvetica" w:eastAsia="Times New Roman" w:hAnsi="Helvetica" w:cs="Helvetica"/>
          <w:color w:val="575757"/>
          <w:kern w:val="0"/>
          <w:sz w:val="24"/>
          <w:szCs w:val="24"/>
          <w:lang w:val="bg-BG"/>
          <w14:ligatures w14:val="none"/>
        </w:rPr>
        <w:t>.</w:t>
      </w:r>
    </w:p>
    <w:p w14:paraId="0975ED7E" w14:textId="6D9973D5"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Седем от дванадесетте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0C24A111" w14:textId="0C111A8F" w:rsidR="00780FA7" w:rsidRPr="005A56A5" w:rsidRDefault="00ED20B1" w:rsidP="00780FA7">
      <w:pPr>
        <w:spacing w:before="100" w:beforeAutospacing="1" w:after="100" w:afterAutospacing="1" w:line="240" w:lineRule="auto"/>
        <w:outlineLvl w:val="3"/>
        <w:rPr>
          <w:rFonts w:ascii="Times New Roman" w:eastAsia="Times New Roman" w:hAnsi="Times New Roman" w:cs="Times New Roman"/>
          <w:b/>
          <w:bCs/>
          <w:i/>
          <w:iCs/>
          <w:color w:val="575757"/>
          <w:kern w:val="0"/>
          <w:sz w:val="26"/>
          <w:szCs w:val="26"/>
          <w:lang w:val="bg-BG"/>
          <w14:ligatures w14:val="none"/>
        </w:rPr>
      </w:pPr>
      <w:r w:rsidRPr="005A56A5">
        <w:rPr>
          <w:rFonts w:ascii="Times New Roman" w:eastAsia="Times New Roman" w:hAnsi="Times New Roman" w:cs="Times New Roman"/>
          <w:b/>
          <w:bCs/>
          <w:i/>
          <w:iCs/>
          <w:color w:val="575757"/>
          <w:kern w:val="0"/>
          <w:sz w:val="26"/>
          <w:szCs w:val="26"/>
          <w:lang w:val="bg-BG"/>
          <w14:ligatures w14:val="none"/>
        </w:rPr>
        <w:t>Следващи етапи</w:t>
      </w:r>
    </w:p>
    <w:p w14:paraId="7443B5AE" w14:textId="37A712C2"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480C0B" w:rsidRPr="005A56A5">
        <w:rPr>
          <w:rFonts w:ascii="Helvetica" w:eastAsia="Times New Roman" w:hAnsi="Helvetica" w:cs="Helvetica"/>
          <w:color w:val="575757"/>
          <w:kern w:val="0"/>
          <w:sz w:val="24"/>
          <w:szCs w:val="24"/>
          <w:lang w:val="bg-BG"/>
          <w14:ligatures w14:val="none"/>
        </w:rPr>
        <w:t>ще вземе неокончателни решения по въпроси, включително</w:t>
      </w:r>
      <w:r w:rsidRPr="005A56A5">
        <w:rPr>
          <w:rFonts w:ascii="Helvetica" w:eastAsia="Times New Roman" w:hAnsi="Helvetica" w:cs="Helvetica"/>
          <w:color w:val="575757"/>
          <w:kern w:val="0"/>
          <w:sz w:val="24"/>
          <w:szCs w:val="24"/>
          <w:lang w:val="bg-BG"/>
          <w14:ligatures w14:val="none"/>
        </w:rPr>
        <w:t>:</w:t>
      </w:r>
    </w:p>
    <w:p w14:paraId="649DD05D" w14:textId="6BB115F4" w:rsidR="00780FA7" w:rsidRPr="005A56A5" w:rsidRDefault="00480C0B" w:rsidP="00780FA7">
      <w:pPr>
        <w:numPr>
          <w:ilvl w:val="0"/>
          <w:numId w:val="16"/>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изясняване на други аспекти на изискванията за оповестяване по отношение на бизнес комбинации</w:t>
      </w:r>
      <w:r w:rsidR="00780FA7" w:rsidRPr="005A56A5">
        <w:rPr>
          <w:rFonts w:ascii="Times New Roman" w:eastAsia="Times New Roman" w:hAnsi="Times New Roman" w:cs="Times New Roman"/>
          <w:color w:val="575757"/>
          <w:kern w:val="0"/>
          <w:sz w:val="24"/>
          <w:szCs w:val="24"/>
          <w:lang w:val="bg-BG"/>
          <w14:ligatures w14:val="none"/>
        </w:rPr>
        <w:t>;</w:t>
      </w:r>
    </w:p>
    <w:p w14:paraId="154F7F3E" w14:textId="3069D1B9" w:rsidR="00780FA7" w:rsidRPr="005A56A5" w:rsidRDefault="00480C0B" w:rsidP="00780FA7">
      <w:pPr>
        <w:numPr>
          <w:ilvl w:val="0"/>
          <w:numId w:val="16"/>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намаляване на разходите и сложността при прилагане на теста за обезценка на генерираща парични потоци единица в</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МСС</w:t>
      </w:r>
      <w:r w:rsidR="00780FA7" w:rsidRPr="005A56A5">
        <w:rPr>
          <w:rFonts w:ascii="Times New Roman" w:eastAsia="Times New Roman" w:hAnsi="Times New Roman" w:cs="Times New Roman"/>
          <w:color w:val="575757"/>
          <w:kern w:val="0"/>
          <w:sz w:val="24"/>
          <w:szCs w:val="24"/>
          <w:lang w:val="bg-BG"/>
          <w14:ligatures w14:val="none"/>
        </w:rPr>
        <w:t xml:space="preserve"> 36</w:t>
      </w:r>
      <w:r w:rsidR="00780FA7" w:rsidRPr="005A56A5">
        <w:rPr>
          <w:rFonts w:ascii="Times New Roman" w:eastAsia="Times New Roman" w:hAnsi="Times New Roman" w:cs="Times New Roman"/>
          <w:i/>
          <w:iCs/>
          <w:color w:val="575757"/>
          <w:kern w:val="0"/>
          <w:sz w:val="24"/>
          <w:szCs w:val="24"/>
          <w:lang w:val="bg-BG"/>
          <w14:ligatures w14:val="none"/>
        </w:rPr>
        <w:t> </w:t>
      </w:r>
      <w:r w:rsidRPr="005A56A5">
        <w:rPr>
          <w:rFonts w:ascii="Times New Roman" w:eastAsia="Times New Roman" w:hAnsi="Times New Roman" w:cs="Times New Roman"/>
          <w:i/>
          <w:iCs/>
          <w:color w:val="575757"/>
          <w:kern w:val="0"/>
          <w:sz w:val="24"/>
          <w:szCs w:val="24"/>
          <w:lang w:val="bg-BG"/>
          <w14:ligatures w14:val="none"/>
        </w:rPr>
        <w:t>Обезценка на активи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25D11FE1" w14:textId="32FE3312" w:rsidR="00780FA7" w:rsidRPr="005A56A5" w:rsidRDefault="00480C0B" w:rsidP="00780FA7">
      <w:pPr>
        <w:numPr>
          <w:ilvl w:val="0"/>
          <w:numId w:val="16"/>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подобряване ефективността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теста за обезценка на генериращи парични потоци единици, съдържащи репутация</w:t>
      </w:r>
      <w:r w:rsidR="00780FA7" w:rsidRPr="005A56A5">
        <w:rPr>
          <w:rFonts w:ascii="Times New Roman" w:eastAsia="Times New Roman" w:hAnsi="Times New Roman" w:cs="Times New Roman"/>
          <w:color w:val="575757"/>
          <w:kern w:val="0"/>
          <w:sz w:val="24"/>
          <w:szCs w:val="24"/>
          <w:lang w:val="bg-BG"/>
          <w14:ligatures w14:val="none"/>
        </w:rPr>
        <w:t>.</w:t>
      </w:r>
    </w:p>
    <w:p w14:paraId="62C0B09C" w14:textId="30D9B0C9" w:rsidR="00780FA7" w:rsidRPr="005A56A5" w:rsidRDefault="00480C0B"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След като</w:t>
      </w:r>
      <w:r w:rsidR="00780FA7" w:rsidRPr="005A56A5">
        <w:rPr>
          <w:rFonts w:ascii="Helvetica" w:eastAsia="Times New Roman" w:hAnsi="Helvetica" w:cs="Helvetica"/>
          <w:color w:val="575757"/>
          <w:kern w:val="0"/>
          <w:sz w:val="24"/>
          <w:szCs w:val="24"/>
          <w:lang w:val="bg-BG"/>
          <w14:ligatures w14:val="none"/>
        </w:rPr>
        <w:t xml:space="preserve"> IASB </w:t>
      </w:r>
      <w:r w:rsidRPr="005A56A5">
        <w:rPr>
          <w:rFonts w:ascii="Helvetica" w:eastAsia="Times New Roman" w:hAnsi="Helvetica" w:cs="Helvetica"/>
          <w:color w:val="575757"/>
          <w:kern w:val="0"/>
          <w:sz w:val="24"/>
          <w:szCs w:val="24"/>
          <w:lang w:val="bg-BG"/>
          <w14:ligatures w14:val="none"/>
        </w:rPr>
        <w:t>е взел неокончателните решения по всички аспекти на проекта, Съветът ще разгледа въпроса дали пакетът с решения изпълнява целта на този проект и дали да публикува проект за обсъждане, в който да бъдат изложени предложенията му</w:t>
      </w:r>
      <w:r w:rsidR="00780FA7" w:rsidRPr="005A56A5">
        <w:rPr>
          <w:rFonts w:ascii="Helvetica" w:eastAsia="Times New Roman" w:hAnsi="Helvetica" w:cs="Helvetica"/>
          <w:color w:val="575757"/>
          <w:kern w:val="0"/>
          <w:sz w:val="24"/>
          <w:szCs w:val="24"/>
          <w:lang w:val="bg-BG"/>
          <w14:ligatures w14:val="none"/>
        </w:rPr>
        <w:t>.</w:t>
      </w:r>
    </w:p>
    <w:p w14:paraId="15444184" w14:textId="31C69CBE" w:rsidR="00780FA7" w:rsidRPr="005A56A5" w:rsidRDefault="00480C0B" w:rsidP="00780FA7">
      <w:pPr>
        <w:spacing w:before="100" w:beforeAutospacing="1" w:after="100" w:afterAutospacing="1" w:line="240" w:lineRule="auto"/>
        <w:outlineLvl w:val="2"/>
        <w:rPr>
          <w:rFonts w:ascii="Times New Roman" w:eastAsia="Times New Roman" w:hAnsi="Times New Roman" w:cs="Times New Roman"/>
          <w:b/>
          <w:bCs/>
          <w:color w:val="CD3333"/>
          <w:kern w:val="0"/>
          <w:sz w:val="26"/>
          <w:szCs w:val="26"/>
          <w:lang w:val="bg-BG"/>
          <w14:ligatures w14:val="none"/>
        </w:rPr>
      </w:pPr>
      <w:r w:rsidRPr="005A56A5">
        <w:rPr>
          <w:rFonts w:ascii="Times New Roman" w:eastAsia="Times New Roman" w:hAnsi="Times New Roman" w:cs="Times New Roman"/>
          <w:b/>
          <w:bCs/>
          <w:color w:val="CD3333"/>
          <w:kern w:val="0"/>
          <w:sz w:val="26"/>
          <w:szCs w:val="26"/>
          <w:lang w:val="bg-BG"/>
          <w14:ligatures w14:val="none"/>
        </w:rPr>
        <w:t>Преглед след въвеждане на</w:t>
      </w:r>
      <w:r w:rsidR="00780FA7" w:rsidRPr="005A56A5">
        <w:rPr>
          <w:rFonts w:ascii="Times New Roman" w:eastAsia="Times New Roman" w:hAnsi="Times New Roman" w:cs="Times New Roman"/>
          <w:b/>
          <w:bCs/>
          <w:color w:val="CD3333"/>
          <w:kern w:val="0"/>
          <w:sz w:val="26"/>
          <w:szCs w:val="26"/>
          <w:lang w:val="bg-BG"/>
          <w14:ligatures w14:val="none"/>
        </w:rPr>
        <w:t xml:space="preserve"> </w:t>
      </w:r>
      <w:r w:rsidR="00127BAB" w:rsidRPr="005A56A5">
        <w:rPr>
          <w:rFonts w:ascii="Times New Roman" w:eastAsia="Times New Roman" w:hAnsi="Times New Roman" w:cs="Times New Roman"/>
          <w:b/>
          <w:bCs/>
          <w:color w:val="CD3333"/>
          <w:kern w:val="0"/>
          <w:sz w:val="26"/>
          <w:szCs w:val="26"/>
          <w:lang w:val="bg-BG"/>
          <w14:ligatures w14:val="none"/>
        </w:rPr>
        <w:t>МСФО</w:t>
      </w:r>
      <w:r w:rsidR="00780FA7" w:rsidRPr="005A56A5">
        <w:rPr>
          <w:rFonts w:ascii="Times New Roman" w:eastAsia="Times New Roman" w:hAnsi="Times New Roman" w:cs="Times New Roman"/>
          <w:b/>
          <w:bCs/>
          <w:color w:val="CD3333"/>
          <w:kern w:val="0"/>
          <w:sz w:val="26"/>
          <w:szCs w:val="26"/>
          <w:lang w:val="bg-BG"/>
          <w14:ligatures w14:val="none"/>
        </w:rPr>
        <w:t xml:space="preserve"> 9—</w:t>
      </w:r>
      <w:r w:rsidRPr="005A56A5">
        <w:rPr>
          <w:rFonts w:ascii="Times New Roman" w:eastAsia="Times New Roman" w:hAnsi="Times New Roman" w:cs="Times New Roman"/>
          <w:b/>
          <w:bCs/>
          <w:color w:val="CD3333"/>
          <w:kern w:val="0"/>
          <w:sz w:val="26"/>
          <w:szCs w:val="26"/>
          <w:lang w:val="bg-BG"/>
          <w14:ligatures w14:val="none"/>
        </w:rPr>
        <w:t>обезценка</w:t>
      </w:r>
      <w:r w:rsidR="00780FA7" w:rsidRPr="005A56A5">
        <w:rPr>
          <w:rFonts w:ascii="Times New Roman" w:eastAsia="Times New Roman" w:hAnsi="Times New Roman" w:cs="Times New Roman"/>
          <w:b/>
          <w:bCs/>
          <w:color w:val="CD3333"/>
          <w:kern w:val="0"/>
          <w:sz w:val="26"/>
          <w:szCs w:val="26"/>
          <w:lang w:val="bg-BG"/>
          <w14:ligatures w14:val="none"/>
        </w:rPr>
        <w:t xml:space="preserve"> (</w:t>
      </w:r>
      <w:r w:rsidRPr="005A56A5">
        <w:rPr>
          <w:rFonts w:ascii="Times New Roman" w:eastAsia="Times New Roman" w:hAnsi="Times New Roman" w:cs="Times New Roman"/>
          <w:b/>
          <w:bCs/>
          <w:color w:val="CD3333"/>
          <w:kern w:val="0"/>
          <w:sz w:val="26"/>
          <w:szCs w:val="26"/>
          <w:lang w:val="bg-BG"/>
          <w14:ligatures w14:val="none"/>
        </w:rPr>
        <w:t>Документи по програмата</w:t>
      </w:r>
      <w:r w:rsidR="00780FA7" w:rsidRPr="005A56A5">
        <w:rPr>
          <w:rFonts w:ascii="Times New Roman" w:eastAsia="Times New Roman" w:hAnsi="Times New Roman" w:cs="Times New Roman"/>
          <w:b/>
          <w:bCs/>
          <w:color w:val="CD3333"/>
          <w:kern w:val="0"/>
          <w:sz w:val="26"/>
          <w:szCs w:val="26"/>
          <w:lang w:val="bg-BG"/>
          <w14:ligatures w14:val="none"/>
        </w:rPr>
        <w:t xml:space="preserve"> 27–27</w:t>
      </w:r>
      <w:r w:rsidRPr="005A56A5">
        <w:rPr>
          <w:rFonts w:ascii="Times New Roman" w:eastAsia="Times New Roman" w:hAnsi="Times New Roman" w:cs="Times New Roman"/>
          <w:b/>
          <w:bCs/>
          <w:color w:val="CD3333"/>
          <w:kern w:val="0"/>
          <w:sz w:val="26"/>
          <w:szCs w:val="26"/>
          <w:lang w:val="bg-BG"/>
          <w14:ligatures w14:val="none"/>
        </w:rPr>
        <w:t>Г</w:t>
      </w:r>
      <w:r w:rsidR="00780FA7" w:rsidRPr="005A56A5">
        <w:rPr>
          <w:rFonts w:ascii="Times New Roman" w:eastAsia="Times New Roman" w:hAnsi="Times New Roman" w:cs="Times New Roman"/>
          <w:b/>
          <w:bCs/>
          <w:color w:val="CD3333"/>
          <w:kern w:val="0"/>
          <w:sz w:val="26"/>
          <w:szCs w:val="26"/>
          <w:lang w:val="bg-BG"/>
          <w14:ligatures w14:val="none"/>
        </w:rPr>
        <w:t>)</w:t>
      </w:r>
    </w:p>
    <w:p w14:paraId="76922D8E" w14:textId="07861699" w:rsidR="00780FA7" w:rsidRPr="005A56A5" w:rsidRDefault="00924C84"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На 21 февруари 2023 г. IASB проведе заседание, за да</w:t>
      </w:r>
      <w:r w:rsidR="00780FA7" w:rsidRPr="005A56A5">
        <w:rPr>
          <w:rFonts w:ascii="Helvetica" w:eastAsia="Times New Roman" w:hAnsi="Helvetica" w:cs="Helvetica"/>
          <w:color w:val="575757"/>
          <w:kern w:val="0"/>
          <w:sz w:val="24"/>
          <w:szCs w:val="24"/>
          <w:lang w:val="bg-BG"/>
          <w14:ligatures w14:val="none"/>
        </w:rPr>
        <w:t>: </w:t>
      </w:r>
    </w:p>
    <w:p w14:paraId="60EAA129" w14:textId="669E4037" w:rsidR="00780FA7" w:rsidRPr="005A56A5" w:rsidRDefault="00F0060A" w:rsidP="00780FA7">
      <w:pPr>
        <w:numPr>
          <w:ilvl w:val="0"/>
          <w:numId w:val="17"/>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обсъди обратната информация от заинтересованите страни относно първата фаза на прегледа след въвеждане на изискванията за обезценка в</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МСФО</w:t>
      </w:r>
      <w:r w:rsidR="00780FA7" w:rsidRPr="005A56A5">
        <w:rPr>
          <w:rFonts w:ascii="Times New Roman" w:eastAsia="Times New Roman" w:hAnsi="Times New Roman" w:cs="Times New Roman"/>
          <w:color w:val="575757"/>
          <w:kern w:val="0"/>
          <w:sz w:val="24"/>
          <w:szCs w:val="24"/>
          <w:lang w:val="bg-BG"/>
          <w14:ligatures w14:val="none"/>
        </w:rPr>
        <w:t xml:space="preserve"> 9</w:t>
      </w:r>
      <w:r w:rsidR="00780FA7" w:rsidRPr="005A56A5">
        <w:rPr>
          <w:rFonts w:ascii="Times New Roman" w:eastAsia="Times New Roman" w:hAnsi="Times New Roman" w:cs="Times New Roman"/>
          <w:i/>
          <w:iCs/>
          <w:color w:val="575757"/>
          <w:kern w:val="0"/>
          <w:sz w:val="24"/>
          <w:szCs w:val="24"/>
          <w:lang w:val="bg-BG"/>
          <w14:ligatures w14:val="none"/>
        </w:rPr>
        <w:t> </w:t>
      </w:r>
      <w:r w:rsidRPr="005A56A5">
        <w:rPr>
          <w:rFonts w:ascii="Times New Roman" w:eastAsia="Times New Roman" w:hAnsi="Times New Roman" w:cs="Times New Roman"/>
          <w:i/>
          <w:iCs/>
          <w:color w:val="575757"/>
          <w:kern w:val="0"/>
          <w:sz w:val="24"/>
          <w:szCs w:val="24"/>
          <w:lang w:val="bg-BG"/>
          <w14:ligatures w14:val="none"/>
        </w:rPr>
        <w:t xml:space="preserve">Финансови </w:t>
      </w:r>
      <w:r w:rsidRPr="005A56A5">
        <w:rPr>
          <w:rFonts w:ascii="Times New Roman" w:eastAsia="Times New Roman" w:hAnsi="Times New Roman" w:cs="Times New Roman"/>
          <w:i/>
          <w:iCs/>
          <w:color w:val="575757"/>
          <w:kern w:val="0"/>
          <w:sz w:val="24"/>
          <w:szCs w:val="24"/>
          <w:lang w:val="bg-BG"/>
          <w14:ligatures w14:val="none"/>
        </w:rPr>
        <w:lastRenderedPageBreak/>
        <w:t>инструменти</w:t>
      </w:r>
      <w:r w:rsidR="00780FA7" w:rsidRPr="005A56A5">
        <w:rPr>
          <w:rFonts w:ascii="Times New Roman" w:eastAsia="Times New Roman" w:hAnsi="Times New Roman" w:cs="Times New Roman"/>
          <w:i/>
          <w:iCs/>
          <w:color w:val="575757"/>
          <w:kern w:val="0"/>
          <w:sz w:val="24"/>
          <w:szCs w:val="24"/>
          <w:lang w:val="bg-BG"/>
          <w14:ligatures w14:val="none"/>
        </w:rPr>
        <w:t> </w:t>
      </w:r>
      <w:r w:rsidRPr="005A56A5">
        <w:rPr>
          <w:rFonts w:ascii="Times New Roman" w:eastAsia="Times New Roman" w:hAnsi="Times New Roman" w:cs="Times New Roman"/>
          <w:color w:val="575757"/>
          <w:kern w:val="0"/>
          <w:sz w:val="24"/>
          <w:szCs w:val="24"/>
          <w:lang w:val="bg-BG"/>
          <w14:ligatures w14:val="none"/>
        </w:rPr>
        <w:t>и изискванията за оповестяване на кредитния риск в</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МСФО</w:t>
      </w:r>
      <w:r w:rsidR="00780FA7" w:rsidRPr="005A56A5">
        <w:rPr>
          <w:rFonts w:ascii="Times New Roman" w:eastAsia="Times New Roman" w:hAnsi="Times New Roman" w:cs="Times New Roman"/>
          <w:color w:val="575757"/>
          <w:kern w:val="0"/>
          <w:sz w:val="24"/>
          <w:szCs w:val="24"/>
          <w:lang w:val="bg-BG"/>
          <w14:ligatures w14:val="none"/>
        </w:rPr>
        <w:t xml:space="preserve"> 7 </w:t>
      </w:r>
      <w:r w:rsidRPr="005A56A5">
        <w:rPr>
          <w:rFonts w:ascii="Times New Roman" w:eastAsia="Times New Roman" w:hAnsi="Times New Roman" w:cs="Times New Roman"/>
          <w:i/>
          <w:iCs/>
          <w:color w:val="575757"/>
          <w:kern w:val="0"/>
          <w:sz w:val="24"/>
          <w:szCs w:val="24"/>
          <w:lang w:val="bg-BG"/>
          <w14:ligatures w14:val="none"/>
        </w:rPr>
        <w:t>Финансови инструменти </w:t>
      </w:r>
      <w:r w:rsidR="00780FA7" w:rsidRPr="005A56A5">
        <w:rPr>
          <w:rFonts w:ascii="Times New Roman" w:eastAsia="Times New Roman" w:hAnsi="Times New Roman" w:cs="Times New Roman"/>
          <w:i/>
          <w:iCs/>
          <w:color w:val="575757"/>
          <w:kern w:val="0"/>
          <w:sz w:val="24"/>
          <w:szCs w:val="24"/>
          <w:lang w:val="bg-BG"/>
          <w14:ligatures w14:val="none"/>
        </w:rPr>
        <w:t xml:space="preserve">: </w:t>
      </w:r>
      <w:r w:rsidRPr="005A56A5">
        <w:rPr>
          <w:rFonts w:ascii="Times New Roman" w:eastAsia="Times New Roman" w:hAnsi="Times New Roman" w:cs="Times New Roman"/>
          <w:i/>
          <w:iCs/>
          <w:color w:val="575757"/>
          <w:kern w:val="0"/>
          <w:sz w:val="24"/>
          <w:szCs w:val="24"/>
          <w:lang w:val="bg-BG"/>
          <w14:ligatures w14:val="none"/>
        </w:rPr>
        <w:t>оповестяване</w:t>
      </w:r>
      <w:r w:rsidR="00780FA7" w:rsidRPr="005A56A5">
        <w:rPr>
          <w:rFonts w:ascii="Times New Roman" w:eastAsia="Times New Roman" w:hAnsi="Times New Roman" w:cs="Times New Roman"/>
          <w:color w:val="575757"/>
          <w:kern w:val="0"/>
          <w:sz w:val="24"/>
          <w:szCs w:val="24"/>
          <w:lang w:val="bg-BG"/>
          <w14:ligatures w14:val="none"/>
        </w:rPr>
        <w:t>;</w:t>
      </w:r>
    </w:p>
    <w:p w14:paraId="24359669" w14:textId="72EA8333" w:rsidR="00780FA7" w:rsidRPr="005A56A5" w:rsidRDefault="00F0060A" w:rsidP="00780FA7">
      <w:pPr>
        <w:numPr>
          <w:ilvl w:val="0"/>
          <w:numId w:val="17"/>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обсъди преглед на научната литература, имаща отношение към този преглед след въвеждане</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36D7FEEE" w14:textId="0E5B276A" w:rsidR="00780FA7" w:rsidRPr="005A56A5" w:rsidRDefault="00F0060A" w:rsidP="00780FA7">
      <w:pPr>
        <w:numPr>
          <w:ilvl w:val="0"/>
          <w:numId w:val="17"/>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вземе решение по въпроси</w:t>
      </w:r>
      <w:r w:rsidR="007E545F" w:rsidRPr="005A56A5">
        <w:rPr>
          <w:rFonts w:ascii="Times New Roman" w:eastAsia="Times New Roman" w:hAnsi="Times New Roman" w:cs="Times New Roman"/>
          <w:color w:val="575757"/>
          <w:kern w:val="0"/>
          <w:sz w:val="24"/>
          <w:szCs w:val="24"/>
          <w:lang w:val="bg-BG"/>
          <w14:ligatures w14:val="none"/>
        </w:rPr>
        <w:t>, относно които</w:t>
      </w:r>
      <w:r w:rsidR="00780FA7" w:rsidRPr="005A56A5">
        <w:rPr>
          <w:rFonts w:ascii="Times New Roman" w:eastAsia="Times New Roman" w:hAnsi="Times New Roman" w:cs="Times New Roman"/>
          <w:color w:val="575757"/>
          <w:kern w:val="0"/>
          <w:sz w:val="24"/>
          <w:szCs w:val="24"/>
          <w:lang w:val="bg-BG"/>
          <w14:ligatures w14:val="none"/>
        </w:rPr>
        <w:t xml:space="preserve"> IASB </w:t>
      </w:r>
      <w:r w:rsidR="007E545F" w:rsidRPr="005A56A5">
        <w:rPr>
          <w:rFonts w:ascii="Times New Roman" w:eastAsia="Times New Roman" w:hAnsi="Times New Roman" w:cs="Times New Roman"/>
          <w:color w:val="575757"/>
          <w:kern w:val="0"/>
          <w:sz w:val="24"/>
          <w:szCs w:val="24"/>
          <w:lang w:val="bg-BG"/>
          <w14:ligatures w14:val="none"/>
        </w:rPr>
        <w:t>ще зададе въпроси в искането за предоставяне на информация</w:t>
      </w:r>
      <w:r w:rsidR="00780FA7" w:rsidRPr="005A56A5">
        <w:rPr>
          <w:rFonts w:ascii="Times New Roman" w:eastAsia="Times New Roman" w:hAnsi="Times New Roman" w:cs="Times New Roman"/>
          <w:color w:val="575757"/>
          <w:kern w:val="0"/>
          <w:sz w:val="24"/>
          <w:szCs w:val="24"/>
          <w:lang w:val="bg-BG"/>
          <w14:ligatures w14:val="none"/>
        </w:rPr>
        <w:t>. </w:t>
      </w:r>
    </w:p>
    <w:p w14:paraId="175BC090" w14:textId="1C84B71A"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F65B06" w:rsidRPr="005A56A5">
        <w:rPr>
          <w:rFonts w:ascii="Helvetica" w:eastAsia="Times New Roman" w:hAnsi="Helvetica" w:cs="Helvetica"/>
          <w:color w:val="575757"/>
          <w:kern w:val="0"/>
          <w:sz w:val="24"/>
          <w:szCs w:val="24"/>
          <w:lang w:val="bg-BG"/>
          <w14:ligatures w14:val="none"/>
        </w:rPr>
        <w:t>планира да зададе въпроси относно</w:t>
      </w:r>
      <w:r w:rsidRPr="005A56A5">
        <w:rPr>
          <w:rFonts w:ascii="Helvetica" w:eastAsia="Times New Roman" w:hAnsi="Helvetica" w:cs="Helvetica"/>
          <w:color w:val="575757"/>
          <w:kern w:val="0"/>
          <w:sz w:val="24"/>
          <w:szCs w:val="24"/>
          <w:lang w:val="bg-BG"/>
          <w14:ligatures w14:val="none"/>
        </w:rPr>
        <w:t>:</w:t>
      </w:r>
    </w:p>
    <w:p w14:paraId="35F70E75" w14:textId="4985115D" w:rsidR="00780FA7" w:rsidRPr="005A56A5" w:rsidRDefault="00F65B06" w:rsidP="00780FA7">
      <w:pPr>
        <w:numPr>
          <w:ilvl w:val="0"/>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общия подход спрямо признаването на очаквани кредитни загуби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в частност</w:t>
      </w:r>
      <w:r w:rsidR="00780FA7" w:rsidRPr="005A56A5">
        <w:rPr>
          <w:rFonts w:ascii="Times New Roman" w:eastAsia="Times New Roman" w:hAnsi="Times New Roman" w:cs="Times New Roman"/>
          <w:color w:val="575757"/>
          <w:kern w:val="0"/>
          <w:sz w:val="24"/>
          <w:szCs w:val="24"/>
          <w:lang w:val="bg-BG"/>
          <w14:ligatures w14:val="none"/>
        </w:rPr>
        <w:t>: </w:t>
      </w:r>
    </w:p>
    <w:p w14:paraId="61F2768B" w14:textId="5A03B5E5" w:rsidR="00780FA7" w:rsidRPr="005A56A5" w:rsidRDefault="00F65B06" w:rsidP="00780FA7">
      <w:pPr>
        <w:numPr>
          <w:ilvl w:val="1"/>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ефекта от подхода по отношение на полезността на информацията относно промени</w:t>
      </w:r>
      <w:r w:rsidR="00616598">
        <w:rPr>
          <w:rFonts w:ascii="Times New Roman" w:eastAsia="Times New Roman" w:hAnsi="Times New Roman" w:cs="Times New Roman"/>
          <w:color w:val="575757"/>
          <w:kern w:val="0"/>
          <w:sz w:val="24"/>
          <w:szCs w:val="24"/>
          <w:lang w:val="bg-BG"/>
          <w14:ligatures w14:val="none"/>
        </w:rPr>
        <w:t>те</w:t>
      </w:r>
      <w:r w:rsidRPr="005A56A5">
        <w:rPr>
          <w:rFonts w:ascii="Times New Roman" w:eastAsia="Times New Roman" w:hAnsi="Times New Roman" w:cs="Times New Roman"/>
          <w:color w:val="575757"/>
          <w:kern w:val="0"/>
          <w:sz w:val="24"/>
          <w:szCs w:val="24"/>
          <w:lang w:val="bg-BG"/>
          <w14:ligatures w14:val="none"/>
        </w:rPr>
        <w:t xml:space="preserve"> в кредитния риск за потребителите на финансовия отчет</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r w:rsidR="00780FA7" w:rsidRPr="005A56A5">
        <w:rPr>
          <w:rFonts w:ascii="Times New Roman" w:eastAsia="Times New Roman" w:hAnsi="Times New Roman" w:cs="Times New Roman"/>
          <w:color w:val="575757"/>
          <w:kern w:val="0"/>
          <w:sz w:val="24"/>
          <w:szCs w:val="24"/>
          <w:lang w:val="bg-BG"/>
          <w14:ligatures w14:val="none"/>
        </w:rPr>
        <w:t> </w:t>
      </w:r>
    </w:p>
    <w:p w14:paraId="2DBA9CBF" w14:textId="3D47AE87" w:rsidR="00780FA7" w:rsidRPr="005A56A5" w:rsidRDefault="00F65B06" w:rsidP="00780FA7">
      <w:pPr>
        <w:numPr>
          <w:ilvl w:val="1"/>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разходите и ползите от прилагането на подхода спрямо конкретни сделки и операции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като например, вътрешнофирмени заеми</w:t>
      </w:r>
      <w:r w:rsidR="00780FA7" w:rsidRPr="005A56A5">
        <w:rPr>
          <w:rFonts w:ascii="Times New Roman" w:eastAsia="Times New Roman" w:hAnsi="Times New Roman" w:cs="Times New Roman"/>
          <w:color w:val="575757"/>
          <w:kern w:val="0"/>
          <w:sz w:val="24"/>
          <w:szCs w:val="24"/>
          <w:lang w:val="bg-BG"/>
          <w14:ligatures w14:val="none"/>
        </w:rPr>
        <w:t>; </w:t>
      </w:r>
    </w:p>
    <w:p w14:paraId="6B1C1497" w14:textId="24775E71" w:rsidR="00780FA7" w:rsidRPr="005A56A5" w:rsidRDefault="00F65B06" w:rsidP="00780FA7">
      <w:pPr>
        <w:numPr>
          <w:ilvl w:val="0"/>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значителни увеличения на кредитния риск</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в частност</w:t>
      </w:r>
      <w:r w:rsidR="00780FA7" w:rsidRPr="005A56A5">
        <w:rPr>
          <w:rFonts w:ascii="Times New Roman" w:eastAsia="Times New Roman" w:hAnsi="Times New Roman" w:cs="Times New Roman"/>
          <w:color w:val="575757"/>
          <w:kern w:val="0"/>
          <w:sz w:val="24"/>
          <w:szCs w:val="24"/>
          <w:lang w:val="bg-BG"/>
          <w14:ligatures w14:val="none"/>
        </w:rPr>
        <w:t>:</w:t>
      </w:r>
    </w:p>
    <w:p w14:paraId="2F4ED074" w14:textId="40E89312" w:rsidR="00780FA7" w:rsidRPr="005A56A5" w:rsidRDefault="00F65B06" w:rsidP="00780FA7">
      <w:pPr>
        <w:numPr>
          <w:ilvl w:val="1"/>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използването на преценка при определяне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значителните увеличения на кредитния риск</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7D9FC5AF" w14:textId="191C0AF8" w:rsidR="00780FA7" w:rsidRPr="005A56A5" w:rsidRDefault="00F65B06" w:rsidP="00780FA7">
      <w:pPr>
        <w:numPr>
          <w:ilvl w:val="1"/>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доказателства за причините и мащаба на разнообразието в начините, по които предприятията оценяват значителните увеличения на кредитния риск</w:t>
      </w:r>
      <w:r w:rsidR="00780FA7" w:rsidRPr="005A56A5">
        <w:rPr>
          <w:rFonts w:ascii="Times New Roman" w:eastAsia="Times New Roman" w:hAnsi="Times New Roman" w:cs="Times New Roman"/>
          <w:color w:val="575757"/>
          <w:kern w:val="0"/>
          <w:sz w:val="24"/>
          <w:szCs w:val="24"/>
          <w:lang w:val="bg-BG"/>
          <w14:ligatures w14:val="none"/>
        </w:rPr>
        <w:t>; </w:t>
      </w:r>
    </w:p>
    <w:p w14:paraId="756FB8B7" w14:textId="7416C5C9" w:rsidR="00780FA7" w:rsidRPr="005A56A5" w:rsidRDefault="00F65B06" w:rsidP="00780FA7">
      <w:pPr>
        <w:numPr>
          <w:ilvl w:val="0"/>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оценяване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очакваните кредитни загуби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в частност</w:t>
      </w:r>
      <w:r w:rsidR="00780FA7" w:rsidRPr="005A56A5">
        <w:rPr>
          <w:rFonts w:ascii="Times New Roman" w:eastAsia="Times New Roman" w:hAnsi="Times New Roman" w:cs="Times New Roman"/>
          <w:color w:val="575757"/>
          <w:kern w:val="0"/>
          <w:sz w:val="24"/>
          <w:szCs w:val="24"/>
          <w:lang w:val="bg-BG"/>
          <w14:ligatures w14:val="none"/>
        </w:rPr>
        <w:t>:</w:t>
      </w:r>
    </w:p>
    <w:p w14:paraId="5A0E4548" w14:textId="357567AA" w:rsidR="00780FA7" w:rsidRPr="005A56A5" w:rsidRDefault="00F65B06" w:rsidP="00780FA7">
      <w:pPr>
        <w:numPr>
          <w:ilvl w:val="1"/>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използване на множество прогнозни сценарии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7084BE49" w14:textId="35B4066B" w:rsidR="00780FA7" w:rsidRPr="005A56A5" w:rsidRDefault="00F65B06" w:rsidP="00780FA7">
      <w:pPr>
        <w:numPr>
          <w:ilvl w:val="1"/>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оценяване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очакваните кредитни загуби в периоди на засилена икономическа несигурност</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включително използване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корекции на ръководството след прилагане на модела или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корекции на ръководството за припокриване</w:t>
      </w:r>
      <w:r w:rsidR="00780FA7" w:rsidRPr="005A56A5">
        <w:rPr>
          <w:rFonts w:ascii="Times New Roman" w:eastAsia="Times New Roman" w:hAnsi="Times New Roman" w:cs="Times New Roman"/>
          <w:color w:val="575757"/>
          <w:kern w:val="0"/>
          <w:sz w:val="24"/>
          <w:szCs w:val="24"/>
          <w:lang w:val="bg-BG"/>
          <w14:ligatures w14:val="none"/>
        </w:rPr>
        <w:t>; </w:t>
      </w:r>
    </w:p>
    <w:p w14:paraId="2F84DC46" w14:textId="03B8176A" w:rsidR="00780FA7" w:rsidRPr="005A56A5" w:rsidRDefault="00F65B06" w:rsidP="00F65B06">
      <w:pPr>
        <w:numPr>
          <w:ilvl w:val="0"/>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доминирането на въпроси от предприятията относно това как да прилагат изискванията по отношение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очакваните кредитни загуби във връзка със закупени или първоначално създадени финансови активи с кредитна обезценка</w:t>
      </w:r>
      <w:r w:rsidR="00780FA7" w:rsidRPr="005A56A5">
        <w:rPr>
          <w:rFonts w:ascii="Times New Roman" w:eastAsia="Times New Roman" w:hAnsi="Times New Roman" w:cs="Times New Roman"/>
          <w:color w:val="575757"/>
          <w:kern w:val="0"/>
          <w:sz w:val="24"/>
          <w:szCs w:val="24"/>
          <w:lang w:val="bg-BG"/>
          <w14:ligatures w14:val="none"/>
        </w:rPr>
        <w:t>; </w:t>
      </w:r>
    </w:p>
    <w:p w14:paraId="170336AF" w14:textId="27690131" w:rsidR="00780FA7" w:rsidRPr="005A56A5" w:rsidRDefault="00F65B06" w:rsidP="00780FA7">
      <w:pPr>
        <w:numPr>
          <w:ilvl w:val="0"/>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опростения подход за признаване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 xml:space="preserve">очаквани кредитни загуби по отношение </w:t>
      </w:r>
      <w:r w:rsidR="0054022C" w:rsidRPr="005A56A5">
        <w:rPr>
          <w:rFonts w:ascii="Times New Roman" w:eastAsia="Times New Roman" w:hAnsi="Times New Roman" w:cs="Times New Roman"/>
          <w:color w:val="575757"/>
          <w:kern w:val="0"/>
          <w:sz w:val="24"/>
          <w:szCs w:val="24"/>
          <w:lang w:val="bg-BG"/>
          <w14:ligatures w14:val="none"/>
        </w:rPr>
        <w:t>на</w:t>
      </w:r>
      <w:r w:rsidRPr="005A56A5">
        <w:rPr>
          <w:rFonts w:ascii="Times New Roman" w:eastAsia="Times New Roman" w:hAnsi="Times New Roman" w:cs="Times New Roman"/>
          <w:color w:val="575757"/>
          <w:kern w:val="0"/>
          <w:sz w:val="24"/>
          <w:szCs w:val="24"/>
          <w:lang w:val="bg-BG"/>
          <w14:ligatures w14:val="none"/>
        </w:rPr>
        <w:t xml:space="preserve"> търговски вземания</w:t>
      </w:r>
      <w:r w:rsidR="00780FA7" w:rsidRPr="005A56A5">
        <w:rPr>
          <w:rFonts w:ascii="Times New Roman" w:eastAsia="Times New Roman" w:hAnsi="Times New Roman" w:cs="Times New Roman"/>
          <w:color w:val="575757"/>
          <w:kern w:val="0"/>
          <w:sz w:val="24"/>
          <w:szCs w:val="24"/>
          <w:lang w:val="bg-BG"/>
          <w14:ligatures w14:val="none"/>
        </w:rPr>
        <w:t xml:space="preserve">, </w:t>
      </w:r>
      <w:r w:rsidR="0054022C" w:rsidRPr="005A56A5">
        <w:rPr>
          <w:rFonts w:ascii="Times New Roman" w:eastAsia="Times New Roman" w:hAnsi="Times New Roman" w:cs="Times New Roman"/>
          <w:color w:val="575757"/>
          <w:kern w:val="0"/>
          <w:sz w:val="24"/>
          <w:szCs w:val="24"/>
          <w:lang w:val="bg-BG"/>
          <w14:ligatures w14:val="none"/>
        </w:rPr>
        <w:t>активи по договори и лизингови вземания</w:t>
      </w:r>
      <w:r w:rsidR="00780FA7" w:rsidRPr="005A56A5">
        <w:rPr>
          <w:rFonts w:ascii="Times New Roman" w:eastAsia="Times New Roman" w:hAnsi="Times New Roman" w:cs="Times New Roman"/>
          <w:color w:val="575757"/>
          <w:kern w:val="0"/>
          <w:sz w:val="24"/>
          <w:szCs w:val="24"/>
          <w:lang w:val="bg-BG"/>
          <w14:ligatures w14:val="none"/>
        </w:rPr>
        <w:t xml:space="preserve">, </w:t>
      </w:r>
      <w:r w:rsidR="0054022C" w:rsidRPr="005A56A5">
        <w:rPr>
          <w:rFonts w:ascii="Times New Roman" w:eastAsia="Times New Roman" w:hAnsi="Times New Roman" w:cs="Times New Roman"/>
          <w:color w:val="575757"/>
          <w:kern w:val="0"/>
          <w:sz w:val="24"/>
          <w:szCs w:val="24"/>
          <w:lang w:val="bg-BG"/>
          <w14:ligatures w14:val="none"/>
        </w:rPr>
        <w:t>в частност</w:t>
      </w:r>
      <w:r w:rsidR="00780FA7" w:rsidRPr="005A56A5">
        <w:rPr>
          <w:rFonts w:ascii="Times New Roman" w:eastAsia="Times New Roman" w:hAnsi="Times New Roman" w:cs="Times New Roman"/>
          <w:color w:val="575757"/>
          <w:kern w:val="0"/>
          <w:sz w:val="24"/>
          <w:szCs w:val="24"/>
          <w:lang w:val="bg-BG"/>
          <w14:ligatures w14:val="none"/>
        </w:rPr>
        <w:t>:</w:t>
      </w:r>
    </w:p>
    <w:p w14:paraId="71559576" w14:textId="69DBECA3" w:rsidR="00780FA7" w:rsidRPr="005A56A5" w:rsidRDefault="0054022C" w:rsidP="00780FA7">
      <w:pPr>
        <w:numPr>
          <w:ilvl w:val="1"/>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ефекта от облекчението, предоставено от</w:t>
      </w:r>
      <w:r w:rsidR="00780FA7" w:rsidRPr="005A56A5">
        <w:rPr>
          <w:rFonts w:ascii="Times New Roman" w:eastAsia="Times New Roman" w:hAnsi="Times New Roman" w:cs="Times New Roman"/>
          <w:color w:val="575757"/>
          <w:kern w:val="0"/>
          <w:sz w:val="24"/>
          <w:szCs w:val="24"/>
          <w:lang w:val="bg-BG"/>
          <w14:ligatures w14:val="none"/>
        </w:rPr>
        <w:t xml:space="preserve"> IASB </w:t>
      </w:r>
      <w:r w:rsidRPr="005A56A5">
        <w:rPr>
          <w:rFonts w:ascii="Times New Roman" w:eastAsia="Times New Roman" w:hAnsi="Times New Roman" w:cs="Times New Roman"/>
          <w:color w:val="575757"/>
          <w:kern w:val="0"/>
          <w:sz w:val="24"/>
          <w:szCs w:val="24"/>
          <w:lang w:val="bg-BG"/>
          <w14:ligatures w14:val="none"/>
        </w:rPr>
        <w:t>посредством този подход</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7B53D16A" w14:textId="5C66CCA1" w:rsidR="00780FA7" w:rsidRPr="005A56A5" w:rsidRDefault="0054022C" w:rsidP="00780FA7">
      <w:pPr>
        <w:numPr>
          <w:ilvl w:val="1"/>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включването на прогнозна информация при прилагането на този подход</w:t>
      </w:r>
      <w:r w:rsidR="00780FA7" w:rsidRPr="005A56A5">
        <w:rPr>
          <w:rFonts w:ascii="Times New Roman" w:eastAsia="Times New Roman" w:hAnsi="Times New Roman" w:cs="Times New Roman"/>
          <w:color w:val="575757"/>
          <w:kern w:val="0"/>
          <w:sz w:val="24"/>
          <w:szCs w:val="24"/>
          <w:lang w:val="bg-BG"/>
          <w14:ligatures w14:val="none"/>
        </w:rPr>
        <w:t>;</w:t>
      </w:r>
    </w:p>
    <w:p w14:paraId="5995D1F5" w14:textId="1266ED10" w:rsidR="00780FA7" w:rsidRPr="005A56A5" w:rsidRDefault="0054022C" w:rsidP="00780FA7">
      <w:pPr>
        <w:numPr>
          <w:ilvl w:val="0"/>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счетоводно отчитане на държани ангажименти за кредити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обезпечения и други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механизми за повишаване качеството на кредита</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 издадени договори за финансови гаранции, които попадат в обхвата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МСФО</w:t>
      </w:r>
      <w:r w:rsidR="00780FA7" w:rsidRPr="005A56A5">
        <w:rPr>
          <w:rFonts w:ascii="Times New Roman" w:eastAsia="Times New Roman" w:hAnsi="Times New Roman" w:cs="Times New Roman"/>
          <w:color w:val="575757"/>
          <w:kern w:val="0"/>
          <w:sz w:val="24"/>
          <w:szCs w:val="24"/>
          <w:lang w:val="bg-BG"/>
          <w14:ligatures w14:val="none"/>
        </w:rPr>
        <w:t xml:space="preserve"> 9;</w:t>
      </w:r>
    </w:p>
    <w:p w14:paraId="63A486FB" w14:textId="0D6853C6" w:rsidR="00780FA7" w:rsidRPr="005A56A5" w:rsidRDefault="0054022C" w:rsidP="00780FA7">
      <w:pPr>
        <w:numPr>
          <w:ilvl w:val="0"/>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прилагането на изискванията по отношение на</w:t>
      </w:r>
      <w:r w:rsidR="00780FA7" w:rsidRPr="005A56A5">
        <w:rPr>
          <w:rFonts w:ascii="Times New Roman" w:eastAsia="Times New Roman" w:hAnsi="Times New Roman" w:cs="Times New Roman"/>
          <w:color w:val="575757"/>
          <w:kern w:val="0"/>
          <w:sz w:val="24"/>
          <w:szCs w:val="24"/>
          <w:lang w:val="bg-BG"/>
          <w14:ligatures w14:val="none"/>
        </w:rPr>
        <w:t xml:space="preserve"> </w:t>
      </w:r>
      <w:r w:rsidR="00F65B06" w:rsidRPr="005A56A5">
        <w:rPr>
          <w:rFonts w:ascii="Times New Roman" w:eastAsia="Times New Roman" w:hAnsi="Times New Roman" w:cs="Times New Roman"/>
          <w:color w:val="575757"/>
          <w:kern w:val="0"/>
          <w:sz w:val="24"/>
          <w:szCs w:val="24"/>
          <w:lang w:val="bg-BG"/>
          <w14:ligatures w14:val="none"/>
        </w:rPr>
        <w:t>очаквани</w:t>
      </w:r>
      <w:r w:rsidRPr="005A56A5">
        <w:rPr>
          <w:rFonts w:ascii="Times New Roman" w:eastAsia="Times New Roman" w:hAnsi="Times New Roman" w:cs="Times New Roman"/>
          <w:color w:val="575757"/>
          <w:kern w:val="0"/>
          <w:sz w:val="24"/>
          <w:szCs w:val="24"/>
          <w:lang w:val="bg-BG"/>
          <w14:ligatures w14:val="none"/>
        </w:rPr>
        <w:t>те</w:t>
      </w:r>
      <w:r w:rsidR="00F65B06" w:rsidRPr="005A56A5">
        <w:rPr>
          <w:rFonts w:ascii="Times New Roman" w:eastAsia="Times New Roman" w:hAnsi="Times New Roman" w:cs="Times New Roman"/>
          <w:color w:val="575757"/>
          <w:kern w:val="0"/>
          <w:sz w:val="24"/>
          <w:szCs w:val="24"/>
          <w:lang w:val="bg-BG"/>
          <w14:ligatures w14:val="none"/>
        </w:rPr>
        <w:t xml:space="preserve"> кредитни загуби </w:t>
      </w:r>
      <w:r w:rsidRPr="005A56A5">
        <w:rPr>
          <w:rFonts w:ascii="Times New Roman" w:eastAsia="Times New Roman" w:hAnsi="Times New Roman" w:cs="Times New Roman"/>
          <w:color w:val="575757"/>
          <w:kern w:val="0"/>
          <w:sz w:val="24"/>
          <w:szCs w:val="24"/>
          <w:lang w:val="bg-BG"/>
          <w14:ligatures w14:val="none"/>
        </w:rPr>
        <w:t>в комбинация с други изисквания в</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МСФО</w:t>
      </w:r>
      <w:r w:rsidR="00780FA7" w:rsidRPr="005A56A5">
        <w:rPr>
          <w:rFonts w:ascii="Times New Roman" w:eastAsia="Times New Roman" w:hAnsi="Times New Roman" w:cs="Times New Roman"/>
          <w:color w:val="575757"/>
          <w:kern w:val="0"/>
          <w:sz w:val="24"/>
          <w:szCs w:val="24"/>
          <w:lang w:val="bg-BG"/>
          <w14:ligatures w14:val="none"/>
        </w:rPr>
        <w:t xml:space="preserve"> 9 </w:t>
      </w:r>
      <w:r w:rsidR="00DC0F07" w:rsidRPr="005A56A5">
        <w:rPr>
          <w:rFonts w:ascii="Times New Roman" w:eastAsia="Times New Roman" w:hAnsi="Times New Roman" w:cs="Times New Roman"/>
          <w:color w:val="575757"/>
          <w:kern w:val="0"/>
          <w:sz w:val="24"/>
          <w:szCs w:val="24"/>
          <w:lang w:val="bg-BG"/>
          <w14:ligatures w14:val="none"/>
        </w:rPr>
        <w:t>или в други счетоводни</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МСФО</w:t>
      </w:r>
      <w:r w:rsidR="00780FA7" w:rsidRPr="005A56A5">
        <w:rPr>
          <w:rFonts w:ascii="Times New Roman" w:eastAsia="Times New Roman" w:hAnsi="Times New Roman" w:cs="Times New Roman"/>
          <w:color w:val="575757"/>
          <w:kern w:val="0"/>
          <w:sz w:val="24"/>
          <w:szCs w:val="24"/>
          <w:lang w:val="bg-BG"/>
          <w14:ligatures w14:val="none"/>
        </w:rPr>
        <w:t xml:space="preserve"> </w:t>
      </w:r>
      <w:r w:rsidR="00DC0F07" w:rsidRPr="005A56A5">
        <w:rPr>
          <w:rFonts w:ascii="Times New Roman" w:eastAsia="Times New Roman" w:hAnsi="Times New Roman" w:cs="Times New Roman"/>
          <w:color w:val="575757"/>
          <w:kern w:val="0"/>
          <w:sz w:val="24"/>
          <w:szCs w:val="24"/>
          <w:lang w:val="bg-BG"/>
          <w14:ligatures w14:val="none"/>
        </w:rPr>
        <w:t>стандарти</w:t>
      </w:r>
      <w:r w:rsidR="00780FA7" w:rsidRPr="005A56A5">
        <w:rPr>
          <w:rFonts w:ascii="Times New Roman" w:eastAsia="Times New Roman" w:hAnsi="Times New Roman" w:cs="Times New Roman"/>
          <w:color w:val="575757"/>
          <w:kern w:val="0"/>
          <w:sz w:val="24"/>
          <w:szCs w:val="24"/>
          <w:lang w:val="bg-BG"/>
          <w14:ligatures w14:val="none"/>
        </w:rPr>
        <w:t>;</w:t>
      </w:r>
    </w:p>
    <w:p w14:paraId="39DB495D" w14:textId="5C8B9324" w:rsidR="00780FA7" w:rsidRPr="005A56A5" w:rsidRDefault="00DC0F07" w:rsidP="00780FA7">
      <w:pPr>
        <w:numPr>
          <w:ilvl w:val="0"/>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ефекта от облекченията при преход, предоставени от</w:t>
      </w:r>
      <w:r w:rsidR="00780FA7" w:rsidRPr="005A56A5">
        <w:rPr>
          <w:rFonts w:ascii="Times New Roman" w:eastAsia="Times New Roman" w:hAnsi="Times New Roman" w:cs="Times New Roman"/>
          <w:color w:val="575757"/>
          <w:kern w:val="0"/>
          <w:sz w:val="24"/>
          <w:szCs w:val="24"/>
          <w:lang w:val="bg-BG"/>
          <w14:ligatures w14:val="none"/>
        </w:rPr>
        <w:t xml:space="preserve"> IASB </w:t>
      </w:r>
      <w:r w:rsidRPr="005A56A5">
        <w:rPr>
          <w:rFonts w:ascii="Times New Roman" w:eastAsia="Times New Roman" w:hAnsi="Times New Roman" w:cs="Times New Roman"/>
          <w:color w:val="575757"/>
          <w:kern w:val="0"/>
          <w:sz w:val="24"/>
          <w:szCs w:val="24"/>
          <w:lang w:val="bg-BG"/>
          <w14:ligatures w14:val="none"/>
        </w:rPr>
        <w:t>и баланса между намаляването на разходите за съставителите на финансовите отчети и предоставянето на полезна информация за потребителите на финансовите отчети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2C9A4A21" w14:textId="68A80F8B" w:rsidR="00780FA7" w:rsidRPr="005A56A5" w:rsidRDefault="00DC0F07" w:rsidP="00780FA7">
      <w:pPr>
        <w:numPr>
          <w:ilvl w:val="0"/>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изискванията за оповестяване на кредитния риск в</w:t>
      </w:r>
      <w:r w:rsidR="00780FA7" w:rsidRPr="005A56A5">
        <w:rPr>
          <w:rFonts w:ascii="Times New Roman" w:eastAsia="Times New Roman" w:hAnsi="Times New Roman" w:cs="Times New Roman"/>
          <w:color w:val="575757"/>
          <w:kern w:val="0"/>
          <w:sz w:val="24"/>
          <w:szCs w:val="24"/>
          <w:lang w:val="bg-BG"/>
          <w14:ligatures w14:val="none"/>
        </w:rPr>
        <w:t xml:space="preserve"> </w:t>
      </w:r>
      <w:r w:rsidR="00127BAB" w:rsidRPr="005A56A5">
        <w:rPr>
          <w:rFonts w:ascii="Times New Roman" w:eastAsia="Times New Roman" w:hAnsi="Times New Roman" w:cs="Times New Roman"/>
          <w:color w:val="575757"/>
          <w:kern w:val="0"/>
          <w:sz w:val="24"/>
          <w:szCs w:val="24"/>
          <w:lang w:val="bg-BG"/>
          <w14:ligatures w14:val="none"/>
        </w:rPr>
        <w:t>МСФО</w:t>
      </w:r>
      <w:r w:rsidR="00780FA7" w:rsidRPr="005A56A5">
        <w:rPr>
          <w:rFonts w:ascii="Times New Roman" w:eastAsia="Times New Roman" w:hAnsi="Times New Roman" w:cs="Times New Roman"/>
          <w:color w:val="575757"/>
          <w:kern w:val="0"/>
          <w:sz w:val="24"/>
          <w:szCs w:val="24"/>
          <w:lang w:val="bg-BG"/>
          <w14:ligatures w14:val="none"/>
        </w:rPr>
        <w:t xml:space="preserve"> 7, </w:t>
      </w:r>
      <w:r w:rsidRPr="005A56A5">
        <w:rPr>
          <w:rFonts w:ascii="Times New Roman" w:eastAsia="Times New Roman" w:hAnsi="Times New Roman" w:cs="Times New Roman"/>
          <w:color w:val="575757"/>
          <w:kern w:val="0"/>
          <w:sz w:val="24"/>
          <w:szCs w:val="24"/>
          <w:lang w:val="bg-BG"/>
          <w14:ligatures w14:val="none"/>
        </w:rPr>
        <w:t>в частност</w:t>
      </w:r>
      <w:r w:rsidR="00780FA7" w:rsidRPr="005A56A5">
        <w:rPr>
          <w:rFonts w:ascii="Times New Roman" w:eastAsia="Times New Roman" w:hAnsi="Times New Roman" w:cs="Times New Roman"/>
          <w:color w:val="575757"/>
          <w:kern w:val="0"/>
          <w:sz w:val="24"/>
          <w:szCs w:val="24"/>
          <w:lang w:val="bg-BG"/>
          <w14:ligatures w14:val="none"/>
        </w:rPr>
        <w:t>:</w:t>
      </w:r>
    </w:p>
    <w:p w14:paraId="361AA98F" w14:textId="55AEF7A0" w:rsidR="00780FA7" w:rsidRPr="005A56A5" w:rsidRDefault="00DC0F07" w:rsidP="00780FA7">
      <w:pPr>
        <w:numPr>
          <w:ilvl w:val="1"/>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t>дали комбинацията между принципите на оповестяването и минималните изисквания за оповестяване постига подходящ баланс между съпоставимата информация и уместната информация</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 xml:space="preserve">за потребителите на финансовите отчети във връзка с ефекта на кредитния риск върху сумата, времето и </w:t>
      </w:r>
      <w:r w:rsidR="0014158A" w:rsidRPr="005A56A5">
        <w:rPr>
          <w:rFonts w:ascii="Times New Roman" w:eastAsia="Times New Roman" w:hAnsi="Times New Roman" w:cs="Times New Roman"/>
          <w:color w:val="575757"/>
          <w:kern w:val="0"/>
          <w:sz w:val="24"/>
          <w:szCs w:val="24"/>
          <w:lang w:val="bg-BG"/>
          <w14:ligatures w14:val="none"/>
        </w:rPr>
        <w:t>несигурността на бъдещите парични потоци</w:t>
      </w:r>
      <w:r w:rsidR="00780FA7" w:rsidRPr="005A56A5">
        <w:rPr>
          <w:rFonts w:ascii="Times New Roman" w:eastAsia="Times New Roman" w:hAnsi="Times New Roman" w:cs="Times New Roman"/>
          <w:color w:val="575757"/>
          <w:kern w:val="0"/>
          <w:sz w:val="24"/>
          <w:szCs w:val="24"/>
          <w:lang w:val="bg-BG"/>
          <w14:ligatures w14:val="none"/>
        </w:rPr>
        <w:t xml:space="preserve">; </w:t>
      </w:r>
      <w:r w:rsidRPr="005A56A5">
        <w:rPr>
          <w:rFonts w:ascii="Times New Roman" w:eastAsia="Times New Roman" w:hAnsi="Times New Roman" w:cs="Times New Roman"/>
          <w:color w:val="575757"/>
          <w:kern w:val="0"/>
          <w:sz w:val="24"/>
          <w:szCs w:val="24"/>
          <w:lang w:val="bg-BG"/>
          <w14:ligatures w14:val="none"/>
        </w:rPr>
        <w:t>и</w:t>
      </w:r>
    </w:p>
    <w:p w14:paraId="37E7970F" w14:textId="7127CDC5" w:rsidR="00780FA7" w:rsidRPr="005A56A5" w:rsidRDefault="0014158A" w:rsidP="00780FA7">
      <w:pPr>
        <w:numPr>
          <w:ilvl w:val="1"/>
          <w:numId w:val="18"/>
        </w:numPr>
        <w:spacing w:before="100" w:beforeAutospacing="1" w:after="100" w:afterAutospacing="1" w:line="240" w:lineRule="auto"/>
        <w:rPr>
          <w:rFonts w:ascii="Times New Roman" w:eastAsia="Times New Roman" w:hAnsi="Times New Roman" w:cs="Times New Roman"/>
          <w:color w:val="575757"/>
          <w:kern w:val="0"/>
          <w:sz w:val="24"/>
          <w:szCs w:val="24"/>
          <w:lang w:val="bg-BG"/>
          <w14:ligatures w14:val="none"/>
        </w:rPr>
      </w:pPr>
      <w:r w:rsidRPr="005A56A5">
        <w:rPr>
          <w:rFonts w:ascii="Times New Roman" w:eastAsia="Times New Roman" w:hAnsi="Times New Roman" w:cs="Times New Roman"/>
          <w:color w:val="575757"/>
          <w:kern w:val="0"/>
          <w:sz w:val="24"/>
          <w:szCs w:val="24"/>
          <w:lang w:val="bg-BG"/>
          <w14:ligatures w14:val="none"/>
        </w:rPr>
        <w:lastRenderedPageBreak/>
        <w:t>съвместимостта на изискванията с дигиталното отчитане</w:t>
      </w:r>
      <w:r w:rsidR="00780FA7" w:rsidRPr="005A56A5">
        <w:rPr>
          <w:rFonts w:ascii="Times New Roman" w:eastAsia="Times New Roman" w:hAnsi="Times New Roman" w:cs="Times New Roman"/>
          <w:color w:val="575757"/>
          <w:kern w:val="0"/>
          <w:sz w:val="24"/>
          <w:szCs w:val="24"/>
          <w:lang w:val="bg-BG"/>
          <w14:ligatures w14:val="none"/>
        </w:rPr>
        <w:t>.</w:t>
      </w:r>
    </w:p>
    <w:p w14:paraId="4A9AF88F" w14:textId="0615C817" w:rsidR="00780FA7" w:rsidRPr="005A56A5" w:rsidRDefault="00EC703C"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363E652F" w14:textId="062E181A" w:rsidR="00780FA7" w:rsidRPr="005A56A5" w:rsidRDefault="00ED20B1" w:rsidP="00780FA7">
      <w:pPr>
        <w:spacing w:before="100" w:beforeAutospacing="1" w:after="100" w:afterAutospacing="1" w:line="240" w:lineRule="auto"/>
        <w:outlineLvl w:val="3"/>
        <w:rPr>
          <w:rFonts w:ascii="Times New Roman" w:eastAsia="Times New Roman" w:hAnsi="Times New Roman" w:cs="Times New Roman"/>
          <w:b/>
          <w:bCs/>
          <w:i/>
          <w:iCs/>
          <w:color w:val="575757"/>
          <w:kern w:val="0"/>
          <w:sz w:val="26"/>
          <w:szCs w:val="26"/>
          <w:lang w:val="bg-BG"/>
          <w14:ligatures w14:val="none"/>
        </w:rPr>
      </w:pPr>
      <w:r w:rsidRPr="005A56A5">
        <w:rPr>
          <w:rFonts w:ascii="Times New Roman" w:eastAsia="Times New Roman" w:hAnsi="Times New Roman" w:cs="Times New Roman"/>
          <w:b/>
          <w:bCs/>
          <w:i/>
          <w:iCs/>
          <w:color w:val="575757"/>
          <w:kern w:val="0"/>
          <w:sz w:val="26"/>
          <w:szCs w:val="26"/>
          <w:lang w:val="bg-BG"/>
          <w14:ligatures w14:val="none"/>
        </w:rPr>
        <w:t>Следващи етапи</w:t>
      </w:r>
    </w:p>
    <w:p w14:paraId="12BC90BF" w14:textId="09F201B0" w:rsidR="00780FA7" w:rsidRPr="005A56A5" w:rsidRDefault="00780FA7" w:rsidP="00780FA7">
      <w:pPr>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14158A" w:rsidRPr="005A56A5">
        <w:rPr>
          <w:rFonts w:ascii="Helvetica" w:eastAsia="Times New Roman" w:hAnsi="Helvetica" w:cs="Helvetica"/>
          <w:color w:val="575757"/>
          <w:kern w:val="0"/>
          <w:sz w:val="24"/>
          <w:szCs w:val="24"/>
          <w:lang w:val="bg-BG"/>
          <w14:ligatures w14:val="none"/>
        </w:rPr>
        <w:t>планира да одобри публикуването на искането за предоставяне на информация и да определи срок за изпращане на коментарите</w:t>
      </w:r>
      <w:r w:rsidRPr="005A56A5">
        <w:rPr>
          <w:rFonts w:ascii="Helvetica" w:eastAsia="Times New Roman" w:hAnsi="Helvetica" w:cs="Helvetica"/>
          <w:color w:val="575757"/>
          <w:kern w:val="0"/>
          <w:sz w:val="24"/>
          <w:szCs w:val="24"/>
          <w:lang w:val="bg-BG"/>
          <w14:ligatures w14:val="none"/>
        </w:rPr>
        <w:t xml:space="preserve">. IASB </w:t>
      </w:r>
      <w:r w:rsidR="0014158A" w:rsidRPr="005A56A5">
        <w:rPr>
          <w:rFonts w:ascii="Helvetica" w:eastAsia="Times New Roman" w:hAnsi="Helvetica" w:cs="Helvetica"/>
          <w:color w:val="575757"/>
          <w:kern w:val="0"/>
          <w:sz w:val="24"/>
          <w:szCs w:val="24"/>
          <w:lang w:val="bg-BG"/>
          <w14:ligatures w14:val="none"/>
        </w:rPr>
        <w:t>очаква да публикува искането за предоставяне на информация до края на май</w:t>
      </w:r>
      <w:r w:rsidRPr="005A56A5">
        <w:rPr>
          <w:rFonts w:ascii="Helvetica" w:eastAsia="Times New Roman" w:hAnsi="Helvetica" w:cs="Helvetica"/>
          <w:color w:val="575757"/>
          <w:kern w:val="0"/>
          <w:sz w:val="24"/>
          <w:szCs w:val="24"/>
          <w:lang w:val="bg-BG"/>
          <w14:ligatures w14:val="none"/>
        </w:rPr>
        <w:t xml:space="preserve"> 2023</w:t>
      </w:r>
      <w:r w:rsidR="0014158A" w:rsidRPr="005A56A5">
        <w:rPr>
          <w:rFonts w:ascii="Helvetica" w:eastAsia="Times New Roman" w:hAnsi="Helvetica" w:cs="Helvetica"/>
          <w:color w:val="575757"/>
          <w:kern w:val="0"/>
          <w:sz w:val="24"/>
          <w:szCs w:val="24"/>
          <w:lang w:val="bg-BG"/>
          <w14:ligatures w14:val="none"/>
        </w:rPr>
        <w:t xml:space="preserve"> г</w:t>
      </w:r>
      <w:r w:rsidRPr="005A56A5">
        <w:rPr>
          <w:rFonts w:ascii="Helvetica" w:eastAsia="Times New Roman" w:hAnsi="Helvetica" w:cs="Helvetica"/>
          <w:color w:val="575757"/>
          <w:kern w:val="0"/>
          <w:sz w:val="24"/>
          <w:szCs w:val="24"/>
          <w:lang w:val="bg-BG"/>
          <w14:ligatures w14:val="none"/>
        </w:rPr>
        <w:t>.</w:t>
      </w:r>
    </w:p>
    <w:p w14:paraId="6709AC9A" w14:textId="42FB7707" w:rsidR="00780FA7" w:rsidRPr="005A56A5" w:rsidRDefault="00ED20B1" w:rsidP="00780FA7">
      <w:pPr>
        <w:shd w:val="clear" w:color="auto" w:fill="FFFFFF"/>
        <w:spacing w:before="450" w:after="300" w:line="240" w:lineRule="auto"/>
        <w:outlineLvl w:val="1"/>
        <w:rPr>
          <w:rFonts w:ascii="Helvetica" w:eastAsia="Times New Roman" w:hAnsi="Helvetica" w:cs="Helvetica"/>
          <w:b/>
          <w:bCs/>
          <w:color w:val="333333"/>
          <w:kern w:val="0"/>
          <w:sz w:val="34"/>
          <w:szCs w:val="34"/>
          <w:lang w:val="bg-BG"/>
          <w14:ligatures w14:val="none"/>
        </w:rPr>
      </w:pPr>
      <w:r w:rsidRPr="005A56A5">
        <w:rPr>
          <w:rFonts w:ascii="Helvetica" w:eastAsia="Times New Roman" w:hAnsi="Helvetica" w:cs="Helvetica"/>
          <w:b/>
          <w:bCs/>
          <w:color w:val="333333"/>
          <w:kern w:val="0"/>
          <w:sz w:val="34"/>
          <w:szCs w:val="34"/>
          <w:lang w:val="bg-BG"/>
          <w14:ligatures w14:val="none"/>
        </w:rPr>
        <w:t>Поддържане и последователно прилагане</w:t>
      </w:r>
    </w:p>
    <w:p w14:paraId="792F7924" w14:textId="5514BBC8" w:rsidR="00780FA7" w:rsidRPr="005A56A5" w:rsidRDefault="00BC2206" w:rsidP="00780FA7">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5A56A5">
        <w:rPr>
          <w:rFonts w:ascii="Helvetica" w:eastAsia="Times New Roman" w:hAnsi="Helvetica" w:cs="Helvetica"/>
          <w:b/>
          <w:bCs/>
          <w:color w:val="CD3333"/>
          <w:kern w:val="0"/>
          <w:sz w:val="26"/>
          <w:szCs w:val="26"/>
          <w:lang w:val="bg-BG"/>
          <w14:ligatures w14:val="none"/>
        </w:rPr>
        <w:t xml:space="preserve">Поддържане и последователно прилагане </w:t>
      </w:r>
      <w:r w:rsidR="00780FA7" w:rsidRPr="005A56A5">
        <w:rPr>
          <w:rFonts w:ascii="Helvetica" w:eastAsia="Times New Roman" w:hAnsi="Helvetica" w:cs="Helvetica"/>
          <w:b/>
          <w:bCs/>
          <w:color w:val="CD3333"/>
          <w:kern w:val="0"/>
          <w:sz w:val="26"/>
          <w:szCs w:val="26"/>
          <w:lang w:val="bg-BG"/>
          <w14:ligatures w14:val="none"/>
        </w:rPr>
        <w:t>(</w:t>
      </w:r>
      <w:r w:rsidR="00D56402" w:rsidRPr="005A56A5">
        <w:rPr>
          <w:rFonts w:ascii="Helvetica" w:eastAsia="Times New Roman" w:hAnsi="Helvetica" w:cs="Helvetica"/>
          <w:b/>
          <w:bCs/>
          <w:color w:val="CD3333"/>
          <w:kern w:val="0"/>
          <w:sz w:val="26"/>
          <w:szCs w:val="26"/>
          <w:lang w:val="bg-BG"/>
          <w14:ligatures w14:val="none"/>
        </w:rPr>
        <w:t>Документ по програмата</w:t>
      </w:r>
      <w:r w:rsidR="00780FA7" w:rsidRPr="005A56A5">
        <w:rPr>
          <w:rFonts w:ascii="Helvetica" w:eastAsia="Times New Roman" w:hAnsi="Helvetica" w:cs="Helvetica"/>
          <w:b/>
          <w:bCs/>
          <w:color w:val="CD3333"/>
          <w:kern w:val="0"/>
          <w:sz w:val="26"/>
          <w:szCs w:val="26"/>
          <w:lang w:val="bg-BG"/>
          <w14:ligatures w14:val="none"/>
        </w:rPr>
        <w:t xml:space="preserve"> 12)</w:t>
      </w:r>
    </w:p>
    <w:p w14:paraId="2D475B2E" w14:textId="30302C2F" w:rsidR="00780FA7" w:rsidRPr="005A56A5" w:rsidRDefault="00924C84"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На 20 февруари 2023 г. IASB проведе заседание, за да обсъди </w:t>
      </w:r>
      <w:r w:rsidR="00BC2206" w:rsidRPr="005A56A5">
        <w:rPr>
          <w:rFonts w:ascii="Helvetica" w:eastAsia="Times New Roman" w:hAnsi="Helvetica" w:cs="Helvetica"/>
          <w:color w:val="575757"/>
          <w:kern w:val="0"/>
          <w:sz w:val="24"/>
          <w:szCs w:val="24"/>
          <w:lang w:val="bg-BG"/>
          <w14:ligatures w14:val="none"/>
        </w:rPr>
        <w:t xml:space="preserve">проекта, посветен на споразуменията за финансиране на доставчици и на 23 февруари 2023 г., за да обсъди проекта, посветен на отсъствието на възможност за размяна и следващия цикъл годишни подобрения на счетоводните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w:t>
      </w:r>
      <w:r w:rsidR="00BC2206" w:rsidRPr="005A56A5">
        <w:rPr>
          <w:rFonts w:ascii="Helvetica" w:eastAsia="Times New Roman" w:hAnsi="Helvetica" w:cs="Helvetica"/>
          <w:color w:val="575757"/>
          <w:kern w:val="0"/>
          <w:sz w:val="24"/>
          <w:szCs w:val="24"/>
          <w:lang w:val="bg-BG"/>
          <w14:ligatures w14:val="none"/>
        </w:rPr>
        <w:t>стандарти</w:t>
      </w:r>
      <w:r w:rsidR="00780FA7" w:rsidRPr="005A56A5">
        <w:rPr>
          <w:rFonts w:ascii="Helvetica" w:eastAsia="Times New Roman" w:hAnsi="Helvetica" w:cs="Helvetica"/>
          <w:color w:val="575757"/>
          <w:kern w:val="0"/>
          <w:sz w:val="24"/>
          <w:szCs w:val="24"/>
          <w:lang w:val="bg-BG"/>
          <w14:ligatures w14:val="none"/>
        </w:rPr>
        <w:t>.</w:t>
      </w:r>
    </w:p>
    <w:p w14:paraId="2581CC5A" w14:textId="6B04E527" w:rsidR="00780FA7" w:rsidRPr="005A56A5" w:rsidRDefault="00BC2206" w:rsidP="00780FA7">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5A56A5">
        <w:rPr>
          <w:rFonts w:ascii="Helvetica" w:eastAsia="Times New Roman" w:hAnsi="Helvetica" w:cs="Helvetica"/>
          <w:b/>
          <w:bCs/>
          <w:color w:val="CD3333"/>
          <w:kern w:val="0"/>
          <w:sz w:val="26"/>
          <w:szCs w:val="26"/>
          <w:lang w:val="bg-BG"/>
          <w14:ligatures w14:val="none"/>
        </w:rPr>
        <w:t xml:space="preserve">Споразумения за финансиране на доставчици </w:t>
      </w:r>
      <w:r w:rsidR="00780FA7" w:rsidRPr="005A56A5">
        <w:rPr>
          <w:rFonts w:ascii="Helvetica" w:eastAsia="Times New Roman" w:hAnsi="Helvetica" w:cs="Helvetica"/>
          <w:b/>
          <w:bCs/>
          <w:color w:val="CD3333"/>
          <w:kern w:val="0"/>
          <w:sz w:val="26"/>
          <w:szCs w:val="26"/>
          <w:lang w:val="bg-BG"/>
          <w14:ligatures w14:val="none"/>
        </w:rPr>
        <w:t>—</w:t>
      </w:r>
      <w:r w:rsidRPr="005A56A5">
        <w:rPr>
          <w:rFonts w:ascii="Helvetica" w:eastAsia="Times New Roman" w:hAnsi="Helvetica" w:cs="Helvetica"/>
          <w:b/>
          <w:bCs/>
          <w:color w:val="CD3333"/>
          <w:kern w:val="0"/>
          <w:sz w:val="26"/>
          <w:szCs w:val="26"/>
          <w:lang w:val="bg-BG"/>
          <w14:ligatures w14:val="none"/>
        </w:rPr>
        <w:t>преход</w:t>
      </w:r>
      <w:r w:rsidR="00780FA7" w:rsidRPr="005A56A5">
        <w:rPr>
          <w:rFonts w:ascii="Helvetica" w:eastAsia="Times New Roman" w:hAnsi="Helvetica" w:cs="Helvetica"/>
          <w:b/>
          <w:bCs/>
          <w:color w:val="CD3333"/>
          <w:kern w:val="0"/>
          <w:sz w:val="26"/>
          <w:szCs w:val="26"/>
          <w:lang w:val="bg-BG"/>
          <w14:ligatures w14:val="none"/>
        </w:rPr>
        <w:t xml:space="preserve">, </w:t>
      </w:r>
      <w:r w:rsidRPr="005A56A5">
        <w:rPr>
          <w:rFonts w:ascii="Helvetica" w:eastAsia="Times New Roman" w:hAnsi="Helvetica" w:cs="Helvetica"/>
          <w:b/>
          <w:bCs/>
          <w:color w:val="CD3333"/>
          <w:kern w:val="0"/>
          <w:sz w:val="26"/>
          <w:szCs w:val="26"/>
          <w:lang w:val="bg-BG"/>
          <w14:ligatures w14:val="none"/>
        </w:rPr>
        <w:t>дата на влизане в сила и надлежна процедура</w:t>
      </w:r>
      <w:r w:rsidR="00780FA7" w:rsidRPr="005A56A5">
        <w:rPr>
          <w:rFonts w:ascii="Helvetica" w:eastAsia="Times New Roman" w:hAnsi="Helvetica" w:cs="Helvetica"/>
          <w:b/>
          <w:bCs/>
          <w:color w:val="CD3333"/>
          <w:kern w:val="0"/>
          <w:sz w:val="26"/>
          <w:szCs w:val="26"/>
          <w:lang w:val="bg-BG"/>
          <w14:ligatures w14:val="none"/>
        </w:rPr>
        <w:t xml:space="preserve"> (</w:t>
      </w:r>
      <w:r w:rsidR="00D56402" w:rsidRPr="005A56A5">
        <w:rPr>
          <w:rFonts w:ascii="Helvetica" w:eastAsia="Times New Roman" w:hAnsi="Helvetica" w:cs="Helvetica"/>
          <w:b/>
          <w:bCs/>
          <w:color w:val="CD3333"/>
          <w:kern w:val="0"/>
          <w:sz w:val="26"/>
          <w:szCs w:val="26"/>
          <w:lang w:val="bg-BG"/>
          <w14:ligatures w14:val="none"/>
        </w:rPr>
        <w:t>Документ по програмата</w:t>
      </w:r>
      <w:r w:rsidR="00780FA7" w:rsidRPr="005A56A5">
        <w:rPr>
          <w:rFonts w:ascii="Helvetica" w:eastAsia="Times New Roman" w:hAnsi="Helvetica" w:cs="Helvetica"/>
          <w:b/>
          <w:bCs/>
          <w:color w:val="CD3333"/>
          <w:kern w:val="0"/>
          <w:sz w:val="26"/>
          <w:szCs w:val="26"/>
          <w:lang w:val="bg-BG"/>
          <w14:ligatures w14:val="none"/>
        </w:rPr>
        <w:t xml:space="preserve"> 12A)</w:t>
      </w:r>
    </w:p>
    <w:p w14:paraId="7F896DF6" w14:textId="2CBD4083" w:rsidR="00780FA7" w:rsidRPr="005A56A5" w:rsidRDefault="00780FA7"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6A6273" w:rsidRPr="005A56A5">
        <w:rPr>
          <w:rFonts w:ascii="Helvetica" w:eastAsia="Times New Roman" w:hAnsi="Helvetica" w:cs="Helvetica"/>
          <w:color w:val="575757"/>
          <w:kern w:val="0"/>
          <w:sz w:val="24"/>
          <w:szCs w:val="24"/>
          <w:lang w:val="bg-BG"/>
          <w14:ligatures w14:val="none"/>
        </w:rPr>
        <w:t>обсъди предложените от Съвета изменения в</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МСС</w:t>
      </w:r>
      <w:r w:rsidRPr="005A56A5">
        <w:rPr>
          <w:rFonts w:ascii="Helvetica" w:eastAsia="Times New Roman" w:hAnsi="Helvetica" w:cs="Helvetica"/>
          <w:color w:val="575757"/>
          <w:kern w:val="0"/>
          <w:sz w:val="24"/>
          <w:szCs w:val="24"/>
          <w:lang w:val="bg-BG"/>
          <w14:ligatures w14:val="none"/>
        </w:rPr>
        <w:t xml:space="preserve"> 7 </w:t>
      </w:r>
      <w:r w:rsidR="006A6273" w:rsidRPr="005A56A5">
        <w:rPr>
          <w:rFonts w:ascii="Helvetica" w:eastAsia="Times New Roman" w:hAnsi="Helvetica" w:cs="Helvetica"/>
          <w:i/>
          <w:iCs/>
          <w:color w:val="575757"/>
          <w:kern w:val="0"/>
          <w:sz w:val="24"/>
          <w:szCs w:val="24"/>
          <w:lang w:val="bg-BG"/>
          <w14:ligatures w14:val="none"/>
        </w:rPr>
        <w:t>Отчет за паричните потоци</w:t>
      </w:r>
      <w:r w:rsidRPr="005A56A5">
        <w:rPr>
          <w:rFonts w:ascii="Helvetica" w:eastAsia="Times New Roman" w:hAnsi="Helvetica" w:cs="Helvetica"/>
          <w:color w:val="575757"/>
          <w:kern w:val="0"/>
          <w:sz w:val="24"/>
          <w:szCs w:val="24"/>
          <w:lang w:val="bg-BG"/>
          <w14:ligatures w14:val="none"/>
        </w:rPr>
        <w:t> </w:t>
      </w:r>
      <w:r w:rsidR="006A6273" w:rsidRPr="005A56A5">
        <w:rPr>
          <w:rFonts w:ascii="Helvetica" w:eastAsia="Times New Roman" w:hAnsi="Helvetica" w:cs="Helvetica"/>
          <w:color w:val="575757"/>
          <w:kern w:val="0"/>
          <w:sz w:val="24"/>
          <w:szCs w:val="24"/>
          <w:lang w:val="bg-BG"/>
          <w14:ligatures w14:val="none"/>
        </w:rPr>
        <w:t>и</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Pr="005A56A5">
        <w:rPr>
          <w:rFonts w:ascii="Helvetica" w:eastAsia="Times New Roman" w:hAnsi="Helvetica" w:cs="Helvetica"/>
          <w:color w:val="575757"/>
          <w:kern w:val="0"/>
          <w:sz w:val="24"/>
          <w:szCs w:val="24"/>
          <w:lang w:val="bg-BG"/>
          <w14:ligatures w14:val="none"/>
        </w:rPr>
        <w:t xml:space="preserve"> 7 </w:t>
      </w:r>
      <w:r w:rsidR="00E4395D" w:rsidRPr="005A56A5">
        <w:rPr>
          <w:rFonts w:ascii="Helvetica" w:eastAsia="Times New Roman" w:hAnsi="Helvetica" w:cs="Helvetica"/>
          <w:i/>
          <w:iCs/>
          <w:color w:val="575757"/>
          <w:kern w:val="0"/>
          <w:sz w:val="24"/>
          <w:szCs w:val="24"/>
          <w:lang w:val="bg-BG"/>
          <w14:ligatures w14:val="none"/>
        </w:rPr>
        <w:t>Финансови инструменти</w:t>
      </w:r>
      <w:r w:rsidRPr="005A56A5">
        <w:rPr>
          <w:rFonts w:ascii="Helvetica" w:eastAsia="Times New Roman" w:hAnsi="Helvetica" w:cs="Helvetica"/>
          <w:i/>
          <w:iCs/>
          <w:color w:val="575757"/>
          <w:kern w:val="0"/>
          <w:sz w:val="24"/>
          <w:szCs w:val="24"/>
          <w:lang w:val="bg-BG"/>
          <w14:ligatures w14:val="none"/>
        </w:rPr>
        <w:t xml:space="preserve">: </w:t>
      </w:r>
      <w:r w:rsidR="00E4395D" w:rsidRPr="005A56A5">
        <w:rPr>
          <w:rFonts w:ascii="Helvetica" w:eastAsia="Times New Roman" w:hAnsi="Helvetica" w:cs="Helvetica"/>
          <w:i/>
          <w:iCs/>
          <w:color w:val="575757"/>
          <w:kern w:val="0"/>
          <w:sz w:val="24"/>
          <w:szCs w:val="24"/>
          <w:lang w:val="bg-BG"/>
          <w14:ligatures w14:val="none"/>
        </w:rPr>
        <w:t>оповестяване</w:t>
      </w:r>
      <w:r w:rsidRPr="005A56A5">
        <w:rPr>
          <w:rFonts w:ascii="Helvetica" w:eastAsia="Times New Roman" w:hAnsi="Helvetica" w:cs="Helvetica"/>
          <w:color w:val="575757"/>
          <w:kern w:val="0"/>
          <w:sz w:val="24"/>
          <w:szCs w:val="24"/>
          <w:lang w:val="bg-BG"/>
          <w14:ligatures w14:val="none"/>
        </w:rPr>
        <w:t xml:space="preserve">. </w:t>
      </w:r>
      <w:r w:rsidR="00E4395D" w:rsidRPr="005A56A5">
        <w:rPr>
          <w:rFonts w:ascii="Helvetica" w:eastAsia="Times New Roman" w:hAnsi="Helvetica" w:cs="Helvetica"/>
          <w:color w:val="575757"/>
          <w:kern w:val="0"/>
          <w:sz w:val="24"/>
          <w:szCs w:val="24"/>
          <w:lang w:val="bg-BG"/>
          <w14:ligatures w14:val="none"/>
        </w:rPr>
        <w:t>Предложените изменения биха добавили изисквания за оповестяване относно споразуменията на предприятието за финансиране на доставчици</w:t>
      </w:r>
      <w:r w:rsidRPr="005A56A5">
        <w:rPr>
          <w:rFonts w:ascii="Helvetica" w:eastAsia="Times New Roman" w:hAnsi="Helvetica" w:cs="Helvetica"/>
          <w:color w:val="575757"/>
          <w:kern w:val="0"/>
          <w:sz w:val="24"/>
          <w:szCs w:val="24"/>
          <w:lang w:val="bg-BG"/>
          <w14:ligatures w14:val="none"/>
        </w:rPr>
        <w:t>.</w:t>
      </w:r>
    </w:p>
    <w:p w14:paraId="564C6B54" w14:textId="1F2C7405" w:rsidR="00780FA7" w:rsidRPr="005A56A5" w:rsidRDefault="00683D1B"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E4395D" w:rsidRPr="005A56A5">
        <w:rPr>
          <w:rFonts w:ascii="Helvetica" w:eastAsia="Times New Roman" w:hAnsi="Helvetica" w:cs="Helvetica"/>
          <w:color w:val="575757"/>
          <w:kern w:val="0"/>
          <w:sz w:val="24"/>
          <w:szCs w:val="24"/>
          <w:lang w:val="bg-BG"/>
          <w14:ligatures w14:val="none"/>
        </w:rPr>
        <w:t>да изисква предприятието да прилага измененията за годишни отчетни периоди, започващи на или след</w:t>
      </w:r>
      <w:r w:rsidR="00780FA7" w:rsidRPr="005A56A5">
        <w:rPr>
          <w:rFonts w:ascii="Helvetica" w:eastAsia="Times New Roman" w:hAnsi="Helvetica" w:cs="Helvetica"/>
          <w:color w:val="575757"/>
          <w:kern w:val="0"/>
          <w:sz w:val="24"/>
          <w:szCs w:val="24"/>
          <w:lang w:val="bg-BG"/>
          <w14:ligatures w14:val="none"/>
        </w:rPr>
        <w:t xml:space="preserve"> 1 </w:t>
      </w:r>
      <w:r w:rsidR="00E4395D" w:rsidRPr="005A56A5">
        <w:rPr>
          <w:rFonts w:ascii="Helvetica" w:eastAsia="Times New Roman" w:hAnsi="Helvetica" w:cs="Helvetica"/>
          <w:color w:val="575757"/>
          <w:kern w:val="0"/>
          <w:sz w:val="24"/>
          <w:szCs w:val="24"/>
          <w:lang w:val="bg-BG"/>
          <w14:ligatures w14:val="none"/>
        </w:rPr>
        <w:t>януари</w:t>
      </w:r>
      <w:r w:rsidR="00780FA7" w:rsidRPr="005A56A5">
        <w:rPr>
          <w:rFonts w:ascii="Helvetica" w:eastAsia="Times New Roman" w:hAnsi="Helvetica" w:cs="Helvetica"/>
          <w:color w:val="575757"/>
          <w:kern w:val="0"/>
          <w:sz w:val="24"/>
          <w:szCs w:val="24"/>
          <w:lang w:val="bg-BG"/>
          <w14:ligatures w14:val="none"/>
        </w:rPr>
        <w:t xml:space="preserve"> 2024</w:t>
      </w:r>
      <w:r w:rsidR="00E4395D" w:rsidRPr="005A56A5">
        <w:rPr>
          <w:rFonts w:ascii="Helvetica" w:eastAsia="Times New Roman" w:hAnsi="Helvetica" w:cs="Helvetica"/>
          <w:color w:val="575757"/>
          <w:kern w:val="0"/>
          <w:sz w:val="24"/>
          <w:szCs w:val="24"/>
          <w:lang w:val="bg-BG"/>
          <w14:ligatures w14:val="none"/>
        </w:rPr>
        <w:t xml:space="preserve"> г</w:t>
      </w:r>
      <w:r w:rsidR="00780FA7" w:rsidRPr="005A56A5">
        <w:rPr>
          <w:rFonts w:ascii="Helvetica" w:eastAsia="Times New Roman" w:hAnsi="Helvetica" w:cs="Helvetica"/>
          <w:color w:val="575757"/>
          <w:kern w:val="0"/>
          <w:sz w:val="24"/>
          <w:szCs w:val="24"/>
          <w:lang w:val="bg-BG"/>
          <w14:ligatures w14:val="none"/>
        </w:rPr>
        <w:t>.</w:t>
      </w:r>
    </w:p>
    <w:p w14:paraId="4CBE642F" w14:textId="2D33C098"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Единадесет от дванадесетте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3F1643C7" w14:textId="2205F99B" w:rsidR="00780FA7" w:rsidRPr="005A56A5" w:rsidRDefault="00683D1B"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543307ED" w14:textId="28277E0B" w:rsidR="00780FA7" w:rsidRPr="005A56A5" w:rsidRDefault="00E4395D" w:rsidP="00780FA7">
      <w:pPr>
        <w:numPr>
          <w:ilvl w:val="0"/>
          <w:numId w:val="19"/>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разреши по-ранното прилагане и в случай че предприятието прилага измененията за по-ранен период да изисква предприятието да оповестява този факт</w:t>
      </w:r>
      <w:r w:rsidR="00780FA7" w:rsidRPr="005A56A5">
        <w:rPr>
          <w:rFonts w:ascii="Helvetica" w:eastAsia="Times New Roman" w:hAnsi="Helvetica" w:cs="Helvetica"/>
          <w:color w:val="575757"/>
          <w:kern w:val="0"/>
          <w:sz w:val="24"/>
          <w:szCs w:val="24"/>
          <w:lang w:val="bg-BG"/>
          <w14:ligatures w14:val="none"/>
        </w:rPr>
        <w:t>;</w:t>
      </w:r>
    </w:p>
    <w:p w14:paraId="44C3F8BF" w14:textId="553CA7E8" w:rsidR="00780FA7" w:rsidRPr="005A56A5" w:rsidRDefault="00E4395D" w:rsidP="00780FA7">
      <w:pPr>
        <w:numPr>
          <w:ilvl w:val="0"/>
          <w:numId w:val="19"/>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не изисква предприятието да оповестява сравнителна информация</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за предходни периоди в годишния отчетен период, в който предприятието прилага измененията за първи път</w:t>
      </w:r>
      <w:r w:rsidR="00780FA7" w:rsidRPr="005A56A5">
        <w:rPr>
          <w:rFonts w:ascii="Helvetica" w:eastAsia="Times New Roman" w:hAnsi="Helvetica" w:cs="Helvetica"/>
          <w:color w:val="575757"/>
          <w:kern w:val="0"/>
          <w:sz w:val="24"/>
          <w:szCs w:val="24"/>
          <w:lang w:val="bg-BG"/>
          <w14:ligatures w14:val="none"/>
        </w:rPr>
        <w:t>;</w:t>
      </w:r>
    </w:p>
    <w:p w14:paraId="2D2A9593" w14:textId="43949E8E" w:rsidR="00780FA7" w:rsidRPr="005A56A5" w:rsidRDefault="00E4395D" w:rsidP="00780FA7">
      <w:pPr>
        <w:numPr>
          <w:ilvl w:val="0"/>
          <w:numId w:val="19"/>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не изисква предприятието да оповестява</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в първия годишен финансов отчет след като измененията влязат в сила</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информация към началото на този годишен отчетен период относно</w:t>
      </w:r>
      <w:r w:rsidR="00780FA7" w:rsidRPr="005A56A5">
        <w:rPr>
          <w:rFonts w:ascii="Helvetica" w:eastAsia="Times New Roman" w:hAnsi="Helvetica" w:cs="Helvetica"/>
          <w:color w:val="575757"/>
          <w:kern w:val="0"/>
          <w:sz w:val="24"/>
          <w:szCs w:val="24"/>
          <w:lang w:val="bg-BG"/>
          <w14:ligatures w14:val="none"/>
        </w:rPr>
        <w:t>:</w:t>
      </w:r>
    </w:p>
    <w:p w14:paraId="55B8E83E" w14:textId="3667864E" w:rsidR="00780FA7" w:rsidRPr="005A56A5" w:rsidRDefault="00925C35" w:rsidP="00780FA7">
      <w:pPr>
        <w:numPr>
          <w:ilvl w:val="1"/>
          <w:numId w:val="19"/>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балансовата стойност на финансови пасиви, признати в отчета за финансовото състояние, които са част от споразумение за </w:t>
      </w:r>
      <w:r w:rsidRPr="005A56A5">
        <w:rPr>
          <w:rFonts w:ascii="Helvetica" w:eastAsia="Times New Roman" w:hAnsi="Helvetica" w:cs="Helvetica"/>
          <w:color w:val="575757"/>
          <w:kern w:val="0"/>
          <w:sz w:val="24"/>
          <w:szCs w:val="24"/>
          <w:lang w:val="bg-BG"/>
          <w14:ligatures w14:val="none"/>
        </w:rPr>
        <w:lastRenderedPageBreak/>
        <w:t>финансиране на доставчици, за които доставчиците вече са получили плащане от доставчиците на финансиране</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и</w:t>
      </w:r>
    </w:p>
    <w:p w14:paraId="31B26313" w14:textId="3E6F391C" w:rsidR="00780FA7" w:rsidRPr="005A56A5" w:rsidRDefault="00925C35" w:rsidP="00780FA7">
      <w:pPr>
        <w:numPr>
          <w:ilvl w:val="1"/>
          <w:numId w:val="19"/>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диапазона на дати на падежи на плащания както на финансовите пасиви, които са част от</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 xml:space="preserve">споразумение за финансиране на доставчици, така и на </w:t>
      </w:r>
      <w:r w:rsidR="0099088D">
        <w:rPr>
          <w:rFonts w:ascii="Helvetica" w:eastAsia="Times New Roman" w:hAnsi="Helvetica" w:cs="Helvetica"/>
          <w:color w:val="575757"/>
          <w:kern w:val="0"/>
          <w:sz w:val="24"/>
          <w:szCs w:val="24"/>
          <w:lang w:val="bg-BG"/>
          <w14:ligatures w14:val="none"/>
        </w:rPr>
        <w:t>сравнимите</w:t>
      </w:r>
      <w:r w:rsidRPr="005A56A5">
        <w:rPr>
          <w:rFonts w:ascii="Helvetica" w:eastAsia="Times New Roman" w:hAnsi="Helvetica" w:cs="Helvetica"/>
          <w:color w:val="575757"/>
          <w:kern w:val="0"/>
          <w:sz w:val="24"/>
          <w:szCs w:val="24"/>
          <w:lang w:val="bg-BG"/>
          <w14:ligatures w14:val="none"/>
        </w:rPr>
        <w:t xml:space="preserve"> търговски задължения, които не са част от такова споразумение</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и</w:t>
      </w:r>
    </w:p>
    <w:p w14:paraId="238F8D7F" w14:textId="4D01CF53" w:rsidR="00780FA7" w:rsidRPr="005A56A5" w:rsidRDefault="00925C35" w:rsidP="00780FA7">
      <w:pPr>
        <w:numPr>
          <w:ilvl w:val="0"/>
          <w:numId w:val="19"/>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не изисква оповестяванията, изисквани от измененията</w:t>
      </w:r>
      <w:r w:rsidR="00780FA7" w:rsidRPr="005A56A5">
        <w:rPr>
          <w:rFonts w:ascii="Helvetica" w:eastAsia="Times New Roman" w:hAnsi="Helvetica" w:cs="Helvetica"/>
          <w:color w:val="575757"/>
          <w:kern w:val="0"/>
          <w:sz w:val="24"/>
          <w:szCs w:val="24"/>
          <w:lang w:val="bg-BG"/>
          <w14:ligatures w14:val="none"/>
        </w:rPr>
        <w:t xml:space="preserve"> </w:t>
      </w:r>
      <w:r w:rsidR="00F449B5" w:rsidRPr="005A56A5">
        <w:rPr>
          <w:rFonts w:ascii="Helvetica" w:eastAsia="Times New Roman" w:hAnsi="Helvetica" w:cs="Helvetica"/>
          <w:color w:val="575757"/>
          <w:kern w:val="0"/>
          <w:sz w:val="24"/>
          <w:szCs w:val="24"/>
          <w:lang w:val="bg-BG"/>
          <w14:ligatures w14:val="none"/>
        </w:rPr>
        <w:t>по отношение на междинни финансови отчети в рамките на годишния период, в който предприятието прилага измененията за първи път</w:t>
      </w:r>
      <w:r w:rsidR="00780FA7" w:rsidRPr="005A56A5">
        <w:rPr>
          <w:rFonts w:ascii="Helvetica" w:eastAsia="Times New Roman" w:hAnsi="Helvetica" w:cs="Helvetica"/>
          <w:color w:val="575757"/>
          <w:kern w:val="0"/>
          <w:sz w:val="24"/>
          <w:szCs w:val="24"/>
          <w:lang w:val="bg-BG"/>
          <w14:ligatures w14:val="none"/>
        </w:rPr>
        <w:t>.</w:t>
      </w:r>
    </w:p>
    <w:p w14:paraId="55340073" w14:textId="69139881"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47022846" w14:textId="3FD1BC41" w:rsidR="00780FA7" w:rsidRPr="005A56A5" w:rsidRDefault="00683D1B"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03711A" w:rsidRPr="005A56A5">
        <w:rPr>
          <w:rFonts w:ascii="Helvetica" w:eastAsia="Times New Roman" w:hAnsi="Helvetica" w:cs="Helvetica"/>
          <w:color w:val="575757"/>
          <w:kern w:val="0"/>
          <w:sz w:val="24"/>
          <w:szCs w:val="24"/>
          <w:lang w:val="bg-BG"/>
          <w14:ligatures w14:val="none"/>
        </w:rPr>
        <w:t>да не предоставя специфичн</w:t>
      </w:r>
      <w:r w:rsidR="0099088D">
        <w:rPr>
          <w:rFonts w:ascii="Helvetica" w:eastAsia="Times New Roman" w:hAnsi="Helvetica" w:cs="Helvetica"/>
          <w:color w:val="575757"/>
          <w:kern w:val="0"/>
          <w:sz w:val="24"/>
          <w:szCs w:val="24"/>
          <w:lang w:val="bg-BG"/>
          <w14:ligatures w14:val="none"/>
        </w:rPr>
        <w:t>о</w:t>
      </w:r>
      <w:r w:rsidR="0003711A" w:rsidRPr="005A56A5">
        <w:rPr>
          <w:rFonts w:ascii="Helvetica" w:eastAsia="Times New Roman" w:hAnsi="Helvetica" w:cs="Helvetica"/>
          <w:color w:val="575757"/>
          <w:kern w:val="0"/>
          <w:sz w:val="24"/>
          <w:szCs w:val="24"/>
          <w:lang w:val="bg-BG"/>
          <w14:ligatures w14:val="none"/>
        </w:rPr>
        <w:t xml:space="preserve"> освобождаване </w:t>
      </w:r>
      <w:r w:rsidR="0099088D">
        <w:rPr>
          <w:rFonts w:ascii="Helvetica" w:eastAsia="Times New Roman" w:hAnsi="Helvetica" w:cs="Helvetica"/>
          <w:color w:val="575757"/>
          <w:kern w:val="0"/>
          <w:sz w:val="24"/>
          <w:szCs w:val="24"/>
          <w:lang w:val="bg-BG"/>
          <w14:ligatures w14:val="none"/>
        </w:rPr>
        <w:t>от</w:t>
      </w:r>
      <w:r w:rsidR="0003711A" w:rsidRPr="005A56A5">
        <w:rPr>
          <w:rFonts w:ascii="Helvetica" w:eastAsia="Times New Roman" w:hAnsi="Helvetica" w:cs="Helvetica"/>
          <w:color w:val="575757"/>
          <w:kern w:val="0"/>
          <w:sz w:val="24"/>
          <w:szCs w:val="24"/>
          <w:lang w:val="bg-BG"/>
          <w14:ligatures w14:val="none"/>
        </w:rPr>
        <w:t xml:space="preserve"> изискванията при преход по отношение на предприятията, прилагащи измененията за първи път</w:t>
      </w:r>
      <w:r w:rsidR="00780FA7" w:rsidRPr="005A56A5">
        <w:rPr>
          <w:rFonts w:ascii="Helvetica" w:eastAsia="Times New Roman" w:hAnsi="Helvetica" w:cs="Helvetica"/>
          <w:color w:val="575757"/>
          <w:kern w:val="0"/>
          <w:sz w:val="24"/>
          <w:szCs w:val="24"/>
          <w:lang w:val="bg-BG"/>
          <w14:ligatures w14:val="none"/>
        </w:rPr>
        <w:t>.</w:t>
      </w:r>
    </w:p>
    <w:p w14:paraId="38CFDFDE" w14:textId="3009937F"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Единадесет от дванадесетте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19CC2AB5" w14:textId="4B4E1FCB" w:rsidR="00780FA7" w:rsidRPr="005A56A5" w:rsidRDefault="00780FA7"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03711A" w:rsidRPr="005A56A5">
        <w:rPr>
          <w:rFonts w:ascii="Helvetica" w:eastAsia="Times New Roman" w:hAnsi="Helvetica" w:cs="Helvetica"/>
          <w:color w:val="575757"/>
          <w:kern w:val="0"/>
          <w:sz w:val="24"/>
          <w:szCs w:val="24"/>
          <w:lang w:val="bg-BG"/>
          <w14:ligatures w14:val="none"/>
        </w:rPr>
        <w:t>реши да финализира измененията без предоставянето им за повторно обсъждане</w:t>
      </w:r>
      <w:r w:rsidRPr="005A56A5">
        <w:rPr>
          <w:rFonts w:ascii="Helvetica" w:eastAsia="Times New Roman" w:hAnsi="Helvetica" w:cs="Helvetica"/>
          <w:color w:val="575757"/>
          <w:kern w:val="0"/>
          <w:sz w:val="24"/>
          <w:szCs w:val="24"/>
          <w:lang w:val="bg-BG"/>
          <w14:ligatures w14:val="none"/>
        </w:rPr>
        <w:t>.</w:t>
      </w:r>
    </w:p>
    <w:p w14:paraId="488F1A2D" w14:textId="3D6E1B0F"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34EC0192" w14:textId="57CDA364" w:rsidR="00780FA7" w:rsidRPr="005A56A5" w:rsidRDefault="0003711A"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Нито един член на</w:t>
      </w:r>
      <w:r w:rsidR="00780FA7" w:rsidRPr="005A56A5">
        <w:rPr>
          <w:rFonts w:ascii="Helvetica" w:eastAsia="Times New Roman" w:hAnsi="Helvetica" w:cs="Helvetica"/>
          <w:color w:val="575757"/>
          <w:kern w:val="0"/>
          <w:sz w:val="24"/>
          <w:szCs w:val="24"/>
          <w:lang w:val="bg-BG"/>
          <w14:ligatures w14:val="none"/>
        </w:rPr>
        <w:t xml:space="preserve"> IASB </w:t>
      </w:r>
      <w:r w:rsidRPr="005A56A5">
        <w:rPr>
          <w:rFonts w:ascii="Helvetica" w:eastAsia="Times New Roman" w:hAnsi="Helvetica" w:cs="Helvetica"/>
          <w:color w:val="575757"/>
          <w:kern w:val="0"/>
          <w:sz w:val="24"/>
          <w:szCs w:val="24"/>
          <w:lang w:val="bg-BG"/>
          <w14:ligatures w14:val="none"/>
        </w:rPr>
        <w:t>не даде индикации за намерение да изрази несъгласие с публикуването на измененията</w:t>
      </w:r>
      <w:r w:rsidR="00780FA7" w:rsidRPr="005A56A5">
        <w:rPr>
          <w:rFonts w:ascii="Helvetica" w:eastAsia="Times New Roman" w:hAnsi="Helvetica" w:cs="Helvetica"/>
          <w:color w:val="575757"/>
          <w:kern w:val="0"/>
          <w:sz w:val="24"/>
          <w:szCs w:val="24"/>
          <w:lang w:val="bg-BG"/>
          <w14:ligatures w14:val="none"/>
        </w:rPr>
        <w:t>.</w:t>
      </w:r>
    </w:p>
    <w:p w14:paraId="5D0513FB" w14:textId="5FCC051D" w:rsidR="00780FA7" w:rsidRPr="005A56A5" w:rsidRDefault="0003711A"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w:t>
      </w:r>
      <w:r w:rsidR="00780FA7" w:rsidRPr="005A56A5">
        <w:rPr>
          <w:rFonts w:ascii="Helvetica" w:eastAsia="Times New Roman" w:hAnsi="Helvetica" w:cs="Helvetica"/>
          <w:color w:val="575757"/>
          <w:kern w:val="0"/>
          <w:sz w:val="24"/>
          <w:szCs w:val="24"/>
          <w:lang w:val="bg-BG"/>
          <w14:ligatures w14:val="none"/>
        </w:rPr>
        <w:t xml:space="preserve"> IASB </w:t>
      </w:r>
      <w:r w:rsidRPr="005A56A5">
        <w:rPr>
          <w:rFonts w:ascii="Helvetica" w:eastAsia="Times New Roman" w:hAnsi="Helvetica" w:cs="Helvetica"/>
          <w:color w:val="575757"/>
          <w:kern w:val="0"/>
          <w:sz w:val="24"/>
          <w:szCs w:val="24"/>
          <w:lang w:val="bg-BG"/>
          <w14:ligatures w14:val="none"/>
        </w:rPr>
        <w:t>потвърдиха, че са се уверили, че</w:t>
      </w:r>
      <w:r w:rsidR="00780FA7" w:rsidRPr="005A56A5">
        <w:rPr>
          <w:rFonts w:ascii="Helvetica" w:eastAsia="Times New Roman" w:hAnsi="Helvetica" w:cs="Helvetica"/>
          <w:color w:val="575757"/>
          <w:kern w:val="0"/>
          <w:sz w:val="24"/>
          <w:szCs w:val="24"/>
          <w:lang w:val="bg-BG"/>
          <w14:ligatures w14:val="none"/>
        </w:rPr>
        <w:t xml:space="preserve"> IASB </w:t>
      </w:r>
      <w:r w:rsidRPr="005A56A5">
        <w:rPr>
          <w:rFonts w:ascii="Helvetica" w:eastAsia="Times New Roman" w:hAnsi="Helvetica" w:cs="Helvetica"/>
          <w:color w:val="575757"/>
          <w:kern w:val="0"/>
          <w:sz w:val="24"/>
          <w:szCs w:val="24"/>
          <w:lang w:val="bg-BG"/>
          <w14:ligatures w14:val="none"/>
        </w:rPr>
        <w:t>е изпълнил приложимите изисквания на надлежната процедура и е осъществил достатъчно консултации и анализи, за да се пристъпи към процеса по гласуване на измененията</w:t>
      </w:r>
      <w:r w:rsidR="00780FA7" w:rsidRPr="005A56A5">
        <w:rPr>
          <w:rFonts w:ascii="Helvetica" w:eastAsia="Times New Roman" w:hAnsi="Helvetica" w:cs="Helvetica"/>
          <w:color w:val="575757"/>
          <w:kern w:val="0"/>
          <w:sz w:val="24"/>
          <w:szCs w:val="24"/>
          <w:lang w:val="bg-BG"/>
          <w14:ligatures w14:val="none"/>
        </w:rPr>
        <w:t>.</w:t>
      </w:r>
    </w:p>
    <w:p w14:paraId="26DC6B23" w14:textId="40108C02" w:rsidR="00780FA7" w:rsidRPr="005A56A5" w:rsidRDefault="00ED20B1" w:rsidP="00780FA7">
      <w:pPr>
        <w:shd w:val="clear" w:color="auto" w:fill="FFFFFF"/>
        <w:spacing w:before="100" w:beforeAutospacing="1" w:after="100" w:afterAutospacing="1" w:line="240" w:lineRule="auto"/>
        <w:outlineLvl w:val="3"/>
        <w:rPr>
          <w:rFonts w:ascii="Helvetica" w:eastAsia="Times New Roman" w:hAnsi="Helvetica" w:cs="Helvetica"/>
          <w:b/>
          <w:bCs/>
          <w:i/>
          <w:iCs/>
          <w:color w:val="575757"/>
          <w:kern w:val="0"/>
          <w:sz w:val="26"/>
          <w:szCs w:val="26"/>
          <w:lang w:val="bg-BG"/>
          <w14:ligatures w14:val="none"/>
        </w:rPr>
      </w:pPr>
      <w:r w:rsidRPr="005A56A5">
        <w:rPr>
          <w:rFonts w:ascii="Helvetica" w:eastAsia="Times New Roman" w:hAnsi="Helvetica" w:cs="Helvetica"/>
          <w:b/>
          <w:bCs/>
          <w:i/>
          <w:iCs/>
          <w:color w:val="575757"/>
          <w:kern w:val="0"/>
          <w:sz w:val="26"/>
          <w:szCs w:val="26"/>
          <w:lang w:val="bg-BG"/>
          <w14:ligatures w14:val="none"/>
        </w:rPr>
        <w:t>Следващ етап</w:t>
      </w:r>
    </w:p>
    <w:p w14:paraId="7106E738" w14:textId="4D475213" w:rsidR="00780FA7" w:rsidRPr="005A56A5" w:rsidRDefault="00780FA7"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03711A" w:rsidRPr="005A56A5">
        <w:rPr>
          <w:rFonts w:ascii="Helvetica" w:eastAsia="Times New Roman" w:hAnsi="Helvetica" w:cs="Helvetica"/>
          <w:color w:val="575757"/>
          <w:kern w:val="0"/>
          <w:sz w:val="24"/>
          <w:szCs w:val="24"/>
          <w:lang w:val="bg-BG"/>
          <w14:ligatures w14:val="none"/>
        </w:rPr>
        <w:t>очаква да издаде измененията през второто тримесечие на</w:t>
      </w:r>
      <w:r w:rsidRPr="005A56A5">
        <w:rPr>
          <w:rFonts w:ascii="Helvetica" w:eastAsia="Times New Roman" w:hAnsi="Helvetica" w:cs="Helvetica"/>
          <w:color w:val="575757"/>
          <w:kern w:val="0"/>
          <w:sz w:val="24"/>
          <w:szCs w:val="24"/>
          <w:lang w:val="bg-BG"/>
          <w14:ligatures w14:val="none"/>
        </w:rPr>
        <w:t xml:space="preserve"> 2023</w:t>
      </w:r>
      <w:r w:rsidR="0003711A" w:rsidRPr="005A56A5">
        <w:rPr>
          <w:rFonts w:ascii="Helvetica" w:eastAsia="Times New Roman" w:hAnsi="Helvetica" w:cs="Helvetica"/>
          <w:color w:val="575757"/>
          <w:kern w:val="0"/>
          <w:sz w:val="24"/>
          <w:szCs w:val="24"/>
          <w:lang w:val="bg-BG"/>
          <w14:ligatures w14:val="none"/>
        </w:rPr>
        <w:t xml:space="preserve"> г</w:t>
      </w:r>
      <w:r w:rsidRPr="005A56A5">
        <w:rPr>
          <w:rFonts w:ascii="Helvetica" w:eastAsia="Times New Roman" w:hAnsi="Helvetica" w:cs="Helvetica"/>
          <w:color w:val="575757"/>
          <w:kern w:val="0"/>
          <w:sz w:val="24"/>
          <w:szCs w:val="24"/>
          <w:lang w:val="bg-BG"/>
          <w14:ligatures w14:val="none"/>
        </w:rPr>
        <w:t>.</w:t>
      </w:r>
    </w:p>
    <w:p w14:paraId="30E13074" w14:textId="70B45923" w:rsidR="00780FA7" w:rsidRPr="005A56A5" w:rsidRDefault="00BC2206" w:rsidP="00780FA7">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5A56A5">
        <w:rPr>
          <w:rFonts w:ascii="Helvetica" w:eastAsia="Times New Roman" w:hAnsi="Helvetica" w:cs="Helvetica"/>
          <w:b/>
          <w:bCs/>
          <w:color w:val="CD3333"/>
          <w:kern w:val="0"/>
          <w:sz w:val="26"/>
          <w:szCs w:val="26"/>
          <w:lang w:val="bg-BG"/>
          <w14:ligatures w14:val="none"/>
        </w:rPr>
        <w:t xml:space="preserve">Отсъствие на възможност за размяна </w:t>
      </w:r>
      <w:r w:rsidR="00780FA7" w:rsidRPr="005A56A5">
        <w:rPr>
          <w:rFonts w:ascii="Helvetica" w:eastAsia="Times New Roman" w:hAnsi="Helvetica" w:cs="Helvetica"/>
          <w:b/>
          <w:bCs/>
          <w:color w:val="CD3333"/>
          <w:kern w:val="0"/>
          <w:sz w:val="26"/>
          <w:szCs w:val="26"/>
          <w:lang w:val="bg-BG"/>
          <w14:ligatures w14:val="none"/>
        </w:rPr>
        <w:t>(</w:t>
      </w:r>
      <w:r w:rsidRPr="005A56A5">
        <w:rPr>
          <w:rFonts w:ascii="Helvetica" w:eastAsia="Times New Roman" w:hAnsi="Helvetica" w:cs="Helvetica"/>
          <w:b/>
          <w:bCs/>
          <w:color w:val="CD3333"/>
          <w:kern w:val="0"/>
          <w:sz w:val="26"/>
          <w:szCs w:val="26"/>
          <w:lang w:val="bg-BG"/>
          <w14:ligatures w14:val="none"/>
        </w:rPr>
        <w:t>предложени изменения в</w:t>
      </w:r>
      <w:r w:rsidR="00780FA7" w:rsidRPr="005A56A5">
        <w:rPr>
          <w:rFonts w:ascii="Helvetica" w:eastAsia="Times New Roman" w:hAnsi="Helvetica" w:cs="Helvetica"/>
          <w:b/>
          <w:bCs/>
          <w:color w:val="CD3333"/>
          <w:kern w:val="0"/>
          <w:sz w:val="26"/>
          <w:szCs w:val="26"/>
          <w:lang w:val="bg-BG"/>
          <w14:ligatures w14:val="none"/>
        </w:rPr>
        <w:t xml:space="preserve"> </w:t>
      </w:r>
      <w:r w:rsidR="00127BAB" w:rsidRPr="005A56A5">
        <w:rPr>
          <w:rFonts w:ascii="Helvetica" w:eastAsia="Times New Roman" w:hAnsi="Helvetica" w:cs="Helvetica"/>
          <w:b/>
          <w:bCs/>
          <w:color w:val="CD3333"/>
          <w:kern w:val="0"/>
          <w:sz w:val="26"/>
          <w:szCs w:val="26"/>
          <w:lang w:val="bg-BG"/>
          <w14:ligatures w14:val="none"/>
        </w:rPr>
        <w:t>МСС</w:t>
      </w:r>
      <w:r w:rsidR="00780FA7" w:rsidRPr="005A56A5">
        <w:rPr>
          <w:rFonts w:ascii="Helvetica" w:eastAsia="Times New Roman" w:hAnsi="Helvetica" w:cs="Helvetica"/>
          <w:b/>
          <w:bCs/>
          <w:color w:val="CD3333"/>
          <w:kern w:val="0"/>
          <w:sz w:val="26"/>
          <w:szCs w:val="26"/>
          <w:lang w:val="bg-BG"/>
          <w14:ligatures w14:val="none"/>
        </w:rPr>
        <w:t> 21)—</w:t>
      </w:r>
      <w:r w:rsidR="0003711A" w:rsidRPr="005A56A5">
        <w:rPr>
          <w:rFonts w:ascii="Helvetica" w:eastAsia="Times New Roman" w:hAnsi="Helvetica" w:cs="Helvetica"/>
          <w:b/>
          <w:bCs/>
          <w:color w:val="CD3333"/>
          <w:kern w:val="0"/>
          <w:sz w:val="26"/>
          <w:szCs w:val="26"/>
          <w:lang w:val="bg-BG"/>
          <w14:ligatures w14:val="none"/>
        </w:rPr>
        <w:t>надлежна процедура</w:t>
      </w:r>
      <w:r w:rsidR="00780FA7" w:rsidRPr="005A56A5">
        <w:rPr>
          <w:rFonts w:ascii="Helvetica" w:eastAsia="Times New Roman" w:hAnsi="Helvetica" w:cs="Helvetica"/>
          <w:b/>
          <w:bCs/>
          <w:color w:val="CD3333"/>
          <w:kern w:val="0"/>
          <w:sz w:val="26"/>
          <w:szCs w:val="26"/>
          <w:lang w:val="bg-BG"/>
          <w14:ligatures w14:val="none"/>
        </w:rPr>
        <w:t xml:space="preserve">, </w:t>
      </w:r>
      <w:r w:rsidR="0003711A" w:rsidRPr="005A56A5">
        <w:rPr>
          <w:rFonts w:ascii="Helvetica" w:eastAsia="Times New Roman" w:hAnsi="Helvetica" w:cs="Helvetica"/>
          <w:b/>
          <w:bCs/>
          <w:color w:val="CD3333"/>
          <w:kern w:val="0"/>
          <w:sz w:val="26"/>
          <w:szCs w:val="26"/>
          <w:lang w:val="bg-BG"/>
          <w14:ligatures w14:val="none"/>
        </w:rPr>
        <w:t>дата на влизане в сила и други въпроси</w:t>
      </w:r>
      <w:r w:rsidR="00780FA7" w:rsidRPr="005A56A5">
        <w:rPr>
          <w:rFonts w:ascii="Helvetica" w:eastAsia="Times New Roman" w:hAnsi="Helvetica" w:cs="Helvetica"/>
          <w:b/>
          <w:bCs/>
          <w:color w:val="CD3333"/>
          <w:kern w:val="0"/>
          <w:sz w:val="26"/>
          <w:szCs w:val="26"/>
          <w:lang w:val="bg-BG"/>
          <w14:ligatures w14:val="none"/>
        </w:rPr>
        <w:t xml:space="preserve"> (</w:t>
      </w:r>
      <w:r w:rsidR="00D56402" w:rsidRPr="005A56A5">
        <w:rPr>
          <w:rFonts w:ascii="Helvetica" w:eastAsia="Times New Roman" w:hAnsi="Helvetica" w:cs="Helvetica"/>
          <w:b/>
          <w:bCs/>
          <w:color w:val="CD3333"/>
          <w:kern w:val="0"/>
          <w:sz w:val="26"/>
          <w:szCs w:val="26"/>
          <w:lang w:val="bg-BG"/>
          <w14:ligatures w14:val="none"/>
        </w:rPr>
        <w:t>Документ по програмата</w:t>
      </w:r>
      <w:r w:rsidR="00780FA7" w:rsidRPr="005A56A5">
        <w:rPr>
          <w:rFonts w:ascii="Helvetica" w:eastAsia="Times New Roman" w:hAnsi="Helvetica" w:cs="Helvetica"/>
          <w:b/>
          <w:bCs/>
          <w:color w:val="CD3333"/>
          <w:kern w:val="0"/>
          <w:sz w:val="26"/>
          <w:szCs w:val="26"/>
          <w:lang w:val="bg-BG"/>
          <w14:ligatures w14:val="none"/>
        </w:rPr>
        <w:t xml:space="preserve"> 12</w:t>
      </w:r>
      <w:r w:rsidR="0003711A" w:rsidRPr="005A56A5">
        <w:rPr>
          <w:rFonts w:ascii="Helvetica" w:eastAsia="Times New Roman" w:hAnsi="Helvetica" w:cs="Helvetica"/>
          <w:b/>
          <w:bCs/>
          <w:color w:val="CD3333"/>
          <w:kern w:val="0"/>
          <w:sz w:val="26"/>
          <w:szCs w:val="26"/>
          <w:lang w:val="bg-BG"/>
          <w14:ligatures w14:val="none"/>
        </w:rPr>
        <w:t>Б</w:t>
      </w:r>
      <w:r w:rsidR="00780FA7" w:rsidRPr="005A56A5">
        <w:rPr>
          <w:rFonts w:ascii="Helvetica" w:eastAsia="Times New Roman" w:hAnsi="Helvetica" w:cs="Helvetica"/>
          <w:b/>
          <w:bCs/>
          <w:color w:val="CD3333"/>
          <w:kern w:val="0"/>
          <w:sz w:val="26"/>
          <w:szCs w:val="26"/>
          <w:lang w:val="bg-BG"/>
          <w14:ligatures w14:val="none"/>
        </w:rPr>
        <w:t>)</w:t>
      </w:r>
    </w:p>
    <w:p w14:paraId="4A0C9533" w14:textId="6180111F" w:rsidR="00780FA7" w:rsidRPr="005A56A5" w:rsidRDefault="00780FA7"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03711A" w:rsidRPr="005A56A5">
        <w:rPr>
          <w:rFonts w:ascii="Helvetica" w:eastAsia="Times New Roman" w:hAnsi="Helvetica" w:cs="Helvetica"/>
          <w:color w:val="575757"/>
          <w:kern w:val="0"/>
          <w:sz w:val="24"/>
          <w:szCs w:val="24"/>
          <w:lang w:val="bg-BG"/>
          <w14:ligatures w14:val="none"/>
        </w:rPr>
        <w:t>обсъди предложените изменения в</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МСС</w:t>
      </w:r>
      <w:r w:rsidRPr="005A56A5">
        <w:rPr>
          <w:rFonts w:ascii="Helvetica" w:eastAsia="Times New Roman" w:hAnsi="Helvetica" w:cs="Helvetica"/>
          <w:color w:val="575757"/>
          <w:kern w:val="0"/>
          <w:sz w:val="24"/>
          <w:szCs w:val="24"/>
          <w:lang w:val="bg-BG"/>
          <w14:ligatures w14:val="none"/>
        </w:rPr>
        <w:t xml:space="preserve"> 21 </w:t>
      </w:r>
      <w:r w:rsidR="0003711A" w:rsidRPr="005A56A5">
        <w:rPr>
          <w:rFonts w:ascii="Helvetica" w:eastAsia="Times New Roman" w:hAnsi="Helvetica" w:cs="Helvetica"/>
          <w:i/>
          <w:iCs/>
          <w:color w:val="575757"/>
          <w:kern w:val="0"/>
          <w:sz w:val="24"/>
          <w:szCs w:val="24"/>
          <w:lang w:val="bg-BG"/>
          <w14:ligatures w14:val="none"/>
        </w:rPr>
        <w:t>Ефекти от промените в обменните курсове</w:t>
      </w:r>
      <w:r w:rsidRPr="005A56A5">
        <w:rPr>
          <w:rFonts w:ascii="Helvetica" w:eastAsia="Times New Roman" w:hAnsi="Helvetica" w:cs="Helvetica"/>
          <w:i/>
          <w:iCs/>
          <w:color w:val="575757"/>
          <w:kern w:val="0"/>
          <w:sz w:val="24"/>
          <w:szCs w:val="24"/>
          <w:lang w:val="bg-BG"/>
          <w14:ligatures w14:val="none"/>
        </w:rPr>
        <w:t> </w:t>
      </w:r>
      <w:r w:rsidR="0003711A" w:rsidRPr="005A56A5">
        <w:rPr>
          <w:rFonts w:ascii="Helvetica" w:eastAsia="Times New Roman" w:hAnsi="Helvetica" w:cs="Helvetica"/>
          <w:color w:val="575757"/>
          <w:kern w:val="0"/>
          <w:sz w:val="24"/>
          <w:szCs w:val="24"/>
          <w:lang w:val="bg-BG"/>
          <w14:ligatures w14:val="none"/>
        </w:rPr>
        <w:t>и реши в порядък на работна хипотеза</w:t>
      </w:r>
      <w:r w:rsidRPr="005A56A5">
        <w:rPr>
          <w:rFonts w:ascii="Helvetica" w:eastAsia="Times New Roman" w:hAnsi="Helvetica" w:cs="Helvetica"/>
          <w:color w:val="575757"/>
          <w:kern w:val="0"/>
          <w:sz w:val="24"/>
          <w:szCs w:val="24"/>
          <w:lang w:val="bg-BG"/>
          <w14:ligatures w14:val="none"/>
        </w:rPr>
        <w:t>:</w:t>
      </w:r>
    </w:p>
    <w:p w14:paraId="5FC4B52B" w14:textId="67C158EC" w:rsidR="00780FA7" w:rsidRPr="005A56A5" w:rsidRDefault="0003711A" w:rsidP="00780FA7">
      <w:pPr>
        <w:numPr>
          <w:ilvl w:val="0"/>
          <w:numId w:val="20"/>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продължи с предложените изменения в</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1 </w:t>
      </w:r>
      <w:r w:rsidRPr="005A56A5">
        <w:rPr>
          <w:rFonts w:ascii="Helvetica" w:eastAsia="Times New Roman" w:hAnsi="Helvetica" w:cs="Helvetica"/>
          <w:i/>
          <w:iCs/>
          <w:color w:val="575757"/>
          <w:kern w:val="0"/>
          <w:sz w:val="24"/>
          <w:szCs w:val="24"/>
          <w:lang w:val="bg-BG"/>
          <w14:ligatures w14:val="none"/>
        </w:rPr>
        <w:t>Прилагане за първи път на Международните стандарти за финансово отчитане</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и</w:t>
      </w:r>
    </w:p>
    <w:p w14:paraId="18672530" w14:textId="265195B9" w:rsidR="00780FA7" w:rsidRPr="005A56A5" w:rsidRDefault="0003711A" w:rsidP="00780FA7">
      <w:pPr>
        <w:numPr>
          <w:ilvl w:val="0"/>
          <w:numId w:val="20"/>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не прави изменения в</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13 </w:t>
      </w:r>
      <w:r w:rsidRPr="005A56A5">
        <w:rPr>
          <w:rFonts w:ascii="Helvetica" w:eastAsia="Times New Roman" w:hAnsi="Helvetica" w:cs="Helvetica"/>
          <w:i/>
          <w:iCs/>
          <w:color w:val="575757"/>
          <w:kern w:val="0"/>
          <w:sz w:val="24"/>
          <w:szCs w:val="24"/>
          <w:lang w:val="bg-BG"/>
          <w14:ligatures w14:val="none"/>
        </w:rPr>
        <w:t>Оценяване по справедлива стойност</w:t>
      </w:r>
      <w:r w:rsidR="00780FA7" w:rsidRPr="005A56A5">
        <w:rPr>
          <w:rFonts w:ascii="Helvetica" w:eastAsia="Times New Roman" w:hAnsi="Helvetica" w:cs="Helvetica"/>
          <w:color w:val="575757"/>
          <w:kern w:val="0"/>
          <w:sz w:val="24"/>
          <w:szCs w:val="24"/>
          <w:lang w:val="bg-BG"/>
          <w14:ligatures w14:val="none"/>
        </w:rPr>
        <w:t>.</w:t>
      </w:r>
    </w:p>
    <w:p w14:paraId="480A71DC" w14:textId="2231B4E9"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lastRenderedPageBreak/>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53BEF371" w14:textId="40374569" w:rsidR="00780FA7" w:rsidRPr="005A56A5" w:rsidRDefault="00683D1B"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 xml:space="preserve"> </w:t>
      </w:r>
      <w:r w:rsidR="0003711A" w:rsidRPr="005A56A5">
        <w:rPr>
          <w:rFonts w:ascii="Helvetica" w:eastAsia="Times New Roman" w:hAnsi="Helvetica" w:cs="Helvetica"/>
          <w:color w:val="575757"/>
          <w:kern w:val="0"/>
          <w:sz w:val="24"/>
          <w:szCs w:val="24"/>
          <w:lang w:val="bg-BG"/>
          <w14:ligatures w14:val="none"/>
        </w:rPr>
        <w:t>да изисква предприятието да прилага измененията за годишни отчетни периоди, започващи на или след</w:t>
      </w:r>
      <w:r w:rsidR="00780FA7" w:rsidRPr="005A56A5">
        <w:rPr>
          <w:rFonts w:ascii="Helvetica" w:eastAsia="Times New Roman" w:hAnsi="Helvetica" w:cs="Helvetica"/>
          <w:color w:val="575757"/>
          <w:kern w:val="0"/>
          <w:sz w:val="24"/>
          <w:szCs w:val="24"/>
          <w:lang w:val="bg-BG"/>
          <w14:ligatures w14:val="none"/>
        </w:rPr>
        <w:t xml:space="preserve"> 1 </w:t>
      </w:r>
      <w:r w:rsidR="0003711A" w:rsidRPr="005A56A5">
        <w:rPr>
          <w:rFonts w:ascii="Helvetica" w:eastAsia="Times New Roman" w:hAnsi="Helvetica" w:cs="Helvetica"/>
          <w:color w:val="575757"/>
          <w:kern w:val="0"/>
          <w:sz w:val="24"/>
          <w:szCs w:val="24"/>
          <w:lang w:val="bg-BG"/>
          <w14:ligatures w14:val="none"/>
        </w:rPr>
        <w:t>януари</w:t>
      </w:r>
      <w:r w:rsidR="00780FA7" w:rsidRPr="005A56A5">
        <w:rPr>
          <w:rFonts w:ascii="Helvetica" w:eastAsia="Times New Roman" w:hAnsi="Helvetica" w:cs="Helvetica"/>
          <w:color w:val="575757"/>
          <w:kern w:val="0"/>
          <w:sz w:val="24"/>
          <w:szCs w:val="24"/>
          <w:lang w:val="bg-BG"/>
          <w14:ligatures w14:val="none"/>
        </w:rPr>
        <w:t xml:space="preserve"> 2025 </w:t>
      </w:r>
      <w:r w:rsidR="0003711A" w:rsidRPr="005A56A5">
        <w:rPr>
          <w:rFonts w:ascii="Helvetica" w:eastAsia="Times New Roman" w:hAnsi="Helvetica" w:cs="Helvetica"/>
          <w:color w:val="575757"/>
          <w:kern w:val="0"/>
          <w:sz w:val="24"/>
          <w:szCs w:val="24"/>
          <w:lang w:val="bg-BG"/>
          <w14:ligatures w14:val="none"/>
        </w:rPr>
        <w:t>г. и да разреши по-ранното прилагане</w:t>
      </w:r>
      <w:r w:rsidR="00780FA7" w:rsidRPr="005A56A5">
        <w:rPr>
          <w:rFonts w:ascii="Helvetica" w:eastAsia="Times New Roman" w:hAnsi="Helvetica" w:cs="Helvetica"/>
          <w:color w:val="575757"/>
          <w:kern w:val="0"/>
          <w:sz w:val="24"/>
          <w:szCs w:val="24"/>
          <w:lang w:val="bg-BG"/>
          <w14:ligatures w14:val="none"/>
        </w:rPr>
        <w:t>.</w:t>
      </w:r>
    </w:p>
    <w:p w14:paraId="5F8E0CD1" w14:textId="58DCE2D8"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678E94CD" w14:textId="23F51288" w:rsidR="00780FA7" w:rsidRPr="005A56A5" w:rsidRDefault="0003711A"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да финализира измененията без предоставянето им за повторно обсъждане</w:t>
      </w:r>
      <w:r w:rsidR="00780FA7" w:rsidRPr="005A56A5">
        <w:rPr>
          <w:rFonts w:ascii="Helvetica" w:eastAsia="Times New Roman" w:hAnsi="Helvetica" w:cs="Helvetica"/>
          <w:color w:val="575757"/>
          <w:kern w:val="0"/>
          <w:sz w:val="24"/>
          <w:szCs w:val="24"/>
          <w:lang w:val="bg-BG"/>
          <w14:ligatures w14:val="none"/>
        </w:rPr>
        <w:t>.</w:t>
      </w:r>
    </w:p>
    <w:p w14:paraId="63EF655F" w14:textId="2A92CA8A"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780FA7" w:rsidRPr="005A56A5">
        <w:rPr>
          <w:rFonts w:ascii="Helvetica" w:eastAsia="Times New Roman" w:hAnsi="Helvetica" w:cs="Helvetica"/>
          <w:color w:val="575757"/>
          <w:kern w:val="0"/>
          <w:sz w:val="24"/>
          <w:szCs w:val="24"/>
          <w:lang w:val="bg-BG"/>
          <w14:ligatures w14:val="none"/>
        </w:rPr>
        <w:t>.</w:t>
      </w:r>
    </w:p>
    <w:p w14:paraId="7210D2BD" w14:textId="0332CDE1" w:rsidR="00780FA7" w:rsidRPr="005A56A5" w:rsidRDefault="0003711A"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Нито един член на IASB не даде индикации за намерение да изрази несъгласие с публикуването на измененията</w:t>
      </w:r>
      <w:r w:rsidR="00780FA7" w:rsidRPr="005A56A5">
        <w:rPr>
          <w:rFonts w:ascii="Helvetica" w:eastAsia="Times New Roman" w:hAnsi="Helvetica" w:cs="Helvetica"/>
          <w:color w:val="575757"/>
          <w:kern w:val="0"/>
          <w:sz w:val="24"/>
          <w:szCs w:val="24"/>
          <w:lang w:val="bg-BG"/>
          <w14:ligatures w14:val="none"/>
        </w:rPr>
        <w:t>.</w:t>
      </w:r>
    </w:p>
    <w:p w14:paraId="0A7185B7" w14:textId="4728B2FD" w:rsidR="00780FA7" w:rsidRPr="005A56A5" w:rsidRDefault="0003711A"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потвърдиха, че са се уверили, че IASB е изпълнил приложимите изисквания на надлежната процедура и е осъществил достатъчно консултации и анализи, за да се пристъпи към процеса по гласуване на измененията</w:t>
      </w:r>
      <w:r w:rsidR="00780FA7" w:rsidRPr="005A56A5">
        <w:rPr>
          <w:rFonts w:ascii="Helvetica" w:eastAsia="Times New Roman" w:hAnsi="Helvetica" w:cs="Helvetica"/>
          <w:color w:val="575757"/>
          <w:kern w:val="0"/>
          <w:sz w:val="24"/>
          <w:szCs w:val="24"/>
          <w:lang w:val="bg-BG"/>
          <w14:ligatures w14:val="none"/>
        </w:rPr>
        <w:t>.</w:t>
      </w:r>
    </w:p>
    <w:p w14:paraId="40236412" w14:textId="59DBF260" w:rsidR="00780FA7" w:rsidRPr="005A56A5" w:rsidRDefault="00ED20B1" w:rsidP="00780FA7">
      <w:pPr>
        <w:shd w:val="clear" w:color="auto" w:fill="FFFFFF"/>
        <w:spacing w:before="100" w:beforeAutospacing="1" w:after="100" w:afterAutospacing="1" w:line="240" w:lineRule="auto"/>
        <w:outlineLvl w:val="3"/>
        <w:rPr>
          <w:rFonts w:ascii="Helvetica" w:eastAsia="Times New Roman" w:hAnsi="Helvetica" w:cs="Helvetica"/>
          <w:b/>
          <w:bCs/>
          <w:i/>
          <w:iCs/>
          <w:color w:val="575757"/>
          <w:kern w:val="0"/>
          <w:sz w:val="26"/>
          <w:szCs w:val="26"/>
          <w:lang w:val="bg-BG"/>
          <w14:ligatures w14:val="none"/>
        </w:rPr>
      </w:pPr>
      <w:r w:rsidRPr="005A56A5">
        <w:rPr>
          <w:rFonts w:ascii="Helvetica" w:eastAsia="Times New Roman" w:hAnsi="Helvetica" w:cs="Helvetica"/>
          <w:b/>
          <w:bCs/>
          <w:i/>
          <w:iCs/>
          <w:color w:val="575757"/>
          <w:kern w:val="0"/>
          <w:sz w:val="26"/>
          <w:szCs w:val="26"/>
          <w:lang w:val="bg-BG"/>
          <w14:ligatures w14:val="none"/>
        </w:rPr>
        <w:t>Следващ етап</w:t>
      </w:r>
    </w:p>
    <w:p w14:paraId="28C2CEEC" w14:textId="6C5430E3" w:rsidR="00780FA7" w:rsidRPr="005A56A5" w:rsidRDefault="0003711A"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очаква да издаде измененията през третото тримесечие на 2023 г</w:t>
      </w:r>
      <w:r w:rsidR="00780FA7" w:rsidRPr="005A56A5">
        <w:rPr>
          <w:rFonts w:ascii="Helvetica" w:eastAsia="Times New Roman" w:hAnsi="Helvetica" w:cs="Helvetica"/>
          <w:color w:val="575757"/>
          <w:kern w:val="0"/>
          <w:sz w:val="24"/>
          <w:szCs w:val="24"/>
          <w:lang w:val="bg-BG"/>
          <w14:ligatures w14:val="none"/>
        </w:rPr>
        <w:t>.</w:t>
      </w:r>
    </w:p>
    <w:p w14:paraId="5488F90B" w14:textId="07D3862E" w:rsidR="00780FA7" w:rsidRPr="005A56A5" w:rsidRDefault="0003711A" w:rsidP="00780FA7">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5A56A5">
        <w:rPr>
          <w:rFonts w:ascii="Helvetica" w:eastAsia="Times New Roman" w:hAnsi="Helvetica" w:cs="Helvetica"/>
          <w:b/>
          <w:bCs/>
          <w:color w:val="CD3333"/>
          <w:kern w:val="0"/>
          <w:sz w:val="26"/>
          <w:szCs w:val="26"/>
          <w:lang w:val="bg-BG"/>
          <w14:ligatures w14:val="none"/>
        </w:rPr>
        <w:t xml:space="preserve">Счетоводно отчитане на хеджиране от предприятие, прилагащо за първи път стандартите (МСФО 1)—потенциално годишно подобрение </w:t>
      </w:r>
      <w:r w:rsidR="00780FA7" w:rsidRPr="005A56A5">
        <w:rPr>
          <w:rFonts w:ascii="Helvetica" w:eastAsia="Times New Roman" w:hAnsi="Helvetica" w:cs="Helvetica"/>
          <w:b/>
          <w:bCs/>
          <w:color w:val="CD3333"/>
          <w:kern w:val="0"/>
          <w:sz w:val="26"/>
          <w:szCs w:val="26"/>
          <w:lang w:val="bg-BG"/>
          <w14:ligatures w14:val="none"/>
        </w:rPr>
        <w:t>(</w:t>
      </w:r>
      <w:r w:rsidR="00D56402" w:rsidRPr="005A56A5">
        <w:rPr>
          <w:rFonts w:ascii="Helvetica" w:eastAsia="Times New Roman" w:hAnsi="Helvetica" w:cs="Helvetica"/>
          <w:b/>
          <w:bCs/>
          <w:color w:val="CD3333"/>
          <w:kern w:val="0"/>
          <w:sz w:val="26"/>
          <w:szCs w:val="26"/>
          <w:lang w:val="bg-BG"/>
          <w14:ligatures w14:val="none"/>
        </w:rPr>
        <w:t>Документ по програмата</w:t>
      </w:r>
      <w:r w:rsidR="00780FA7" w:rsidRPr="005A56A5">
        <w:rPr>
          <w:rFonts w:ascii="Helvetica" w:eastAsia="Times New Roman" w:hAnsi="Helvetica" w:cs="Helvetica"/>
          <w:b/>
          <w:bCs/>
          <w:color w:val="CD3333"/>
          <w:kern w:val="0"/>
          <w:sz w:val="26"/>
          <w:szCs w:val="26"/>
          <w:lang w:val="bg-BG"/>
          <w14:ligatures w14:val="none"/>
        </w:rPr>
        <w:t xml:space="preserve"> 12</w:t>
      </w:r>
      <w:r w:rsidRPr="005A56A5">
        <w:rPr>
          <w:rFonts w:ascii="Helvetica" w:eastAsia="Times New Roman" w:hAnsi="Helvetica" w:cs="Helvetica"/>
          <w:b/>
          <w:bCs/>
          <w:color w:val="CD3333"/>
          <w:kern w:val="0"/>
          <w:sz w:val="26"/>
          <w:szCs w:val="26"/>
          <w:lang w:val="bg-BG"/>
          <w14:ligatures w14:val="none"/>
        </w:rPr>
        <w:t>В</w:t>
      </w:r>
      <w:r w:rsidR="00780FA7" w:rsidRPr="005A56A5">
        <w:rPr>
          <w:rFonts w:ascii="Helvetica" w:eastAsia="Times New Roman" w:hAnsi="Helvetica" w:cs="Helvetica"/>
          <w:b/>
          <w:bCs/>
          <w:color w:val="CD3333"/>
          <w:kern w:val="0"/>
          <w:sz w:val="26"/>
          <w:szCs w:val="26"/>
          <w:lang w:val="bg-BG"/>
          <w14:ligatures w14:val="none"/>
        </w:rPr>
        <w:t>)</w:t>
      </w:r>
    </w:p>
    <w:p w14:paraId="25C6F583" w14:textId="4DEEE1EA" w:rsidR="00780FA7" w:rsidRPr="005A56A5" w:rsidRDefault="00780FA7"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CD6DB2" w:rsidRPr="005A56A5">
        <w:rPr>
          <w:rFonts w:ascii="Helvetica" w:eastAsia="Times New Roman" w:hAnsi="Helvetica" w:cs="Helvetica"/>
          <w:color w:val="575757"/>
          <w:kern w:val="0"/>
          <w:sz w:val="24"/>
          <w:szCs w:val="24"/>
          <w:lang w:val="bg-BG"/>
          <w14:ligatures w14:val="none"/>
        </w:rPr>
        <w:t>обсъди несъответствие в редакцията между параграф Б</w:t>
      </w:r>
      <w:r w:rsidRPr="005A56A5">
        <w:rPr>
          <w:rFonts w:ascii="Helvetica" w:eastAsia="Times New Roman" w:hAnsi="Helvetica" w:cs="Helvetica"/>
          <w:color w:val="575757"/>
          <w:kern w:val="0"/>
          <w:sz w:val="24"/>
          <w:szCs w:val="24"/>
          <w:lang w:val="bg-BG"/>
          <w14:ligatures w14:val="none"/>
        </w:rPr>
        <w:t xml:space="preserve">6 </w:t>
      </w:r>
      <w:r w:rsidR="00CD6DB2" w:rsidRPr="005A56A5">
        <w:rPr>
          <w:rFonts w:ascii="Helvetica" w:eastAsia="Times New Roman" w:hAnsi="Helvetica" w:cs="Helvetica"/>
          <w:color w:val="575757"/>
          <w:kern w:val="0"/>
          <w:sz w:val="24"/>
          <w:szCs w:val="24"/>
          <w:lang w:val="bg-BG"/>
          <w14:ligatures w14:val="none"/>
        </w:rPr>
        <w:t>от</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Pr="005A56A5">
        <w:rPr>
          <w:rFonts w:ascii="Helvetica" w:eastAsia="Times New Roman" w:hAnsi="Helvetica" w:cs="Helvetica"/>
          <w:color w:val="575757"/>
          <w:kern w:val="0"/>
          <w:sz w:val="24"/>
          <w:szCs w:val="24"/>
          <w:lang w:val="bg-BG"/>
          <w14:ligatures w14:val="none"/>
        </w:rPr>
        <w:t xml:space="preserve"> 1 </w:t>
      </w:r>
      <w:r w:rsidR="00CD6DB2" w:rsidRPr="005A56A5">
        <w:rPr>
          <w:rFonts w:ascii="Helvetica" w:eastAsia="Times New Roman" w:hAnsi="Helvetica" w:cs="Helvetica"/>
          <w:color w:val="575757"/>
          <w:kern w:val="0"/>
          <w:sz w:val="24"/>
          <w:szCs w:val="24"/>
          <w:lang w:val="bg-BG"/>
          <w14:ligatures w14:val="none"/>
        </w:rPr>
        <w:t>и изискванията по отношение на счетоводното отчитане на хеджиране в</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Pr="005A56A5">
        <w:rPr>
          <w:rFonts w:ascii="Helvetica" w:eastAsia="Times New Roman" w:hAnsi="Helvetica" w:cs="Helvetica"/>
          <w:color w:val="575757"/>
          <w:kern w:val="0"/>
          <w:sz w:val="24"/>
          <w:szCs w:val="24"/>
          <w:lang w:val="bg-BG"/>
          <w14:ligatures w14:val="none"/>
        </w:rPr>
        <w:t xml:space="preserve"> 9</w:t>
      </w:r>
      <w:r w:rsidRPr="005A56A5">
        <w:rPr>
          <w:rFonts w:ascii="Helvetica" w:eastAsia="Times New Roman" w:hAnsi="Helvetica" w:cs="Helvetica"/>
          <w:i/>
          <w:iCs/>
          <w:color w:val="575757"/>
          <w:kern w:val="0"/>
          <w:sz w:val="24"/>
          <w:szCs w:val="24"/>
          <w:lang w:val="bg-BG"/>
          <w14:ligatures w14:val="none"/>
        </w:rPr>
        <w:t> </w:t>
      </w:r>
      <w:r w:rsidR="00CD6DB2" w:rsidRPr="005A56A5">
        <w:rPr>
          <w:rFonts w:ascii="Helvetica" w:eastAsia="Times New Roman" w:hAnsi="Helvetica" w:cs="Helvetica"/>
          <w:i/>
          <w:iCs/>
          <w:color w:val="575757"/>
          <w:kern w:val="0"/>
          <w:sz w:val="24"/>
          <w:szCs w:val="24"/>
          <w:lang w:val="bg-BG"/>
          <w14:ligatures w14:val="none"/>
        </w:rPr>
        <w:t>Финансови инструменти</w:t>
      </w:r>
      <w:r w:rsidRPr="005A56A5">
        <w:rPr>
          <w:rFonts w:ascii="Helvetica" w:eastAsia="Times New Roman" w:hAnsi="Helvetica" w:cs="Helvetica"/>
          <w:color w:val="575757"/>
          <w:kern w:val="0"/>
          <w:sz w:val="24"/>
          <w:szCs w:val="24"/>
          <w:lang w:val="bg-BG"/>
          <w14:ligatures w14:val="none"/>
        </w:rPr>
        <w:t>.</w:t>
      </w:r>
    </w:p>
    <w:p w14:paraId="5CC56640" w14:textId="2B266129" w:rsidR="00780FA7" w:rsidRPr="005A56A5" w:rsidRDefault="00683D1B"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1BF07FEA" w14:textId="035928E1" w:rsidR="00780FA7" w:rsidRPr="005A56A5" w:rsidRDefault="00CD6DB2" w:rsidP="00780FA7">
      <w:pPr>
        <w:numPr>
          <w:ilvl w:val="0"/>
          <w:numId w:val="21"/>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предложи изменения в</w:t>
      </w:r>
      <w:r w:rsidR="00780FA7" w:rsidRPr="005A56A5">
        <w:rPr>
          <w:rFonts w:ascii="Helvetica" w:eastAsia="Times New Roman" w:hAnsi="Helvetica" w:cs="Helvetica"/>
          <w:color w:val="575757"/>
          <w:kern w:val="0"/>
          <w:sz w:val="24"/>
          <w:szCs w:val="24"/>
          <w:lang w:val="bg-BG"/>
          <w14:ligatures w14:val="none"/>
        </w:rPr>
        <w:t>:</w:t>
      </w:r>
    </w:p>
    <w:p w14:paraId="7468059A" w14:textId="07AB7EF4" w:rsidR="00780FA7" w:rsidRPr="005A56A5" w:rsidRDefault="00CD6DB2" w:rsidP="00780FA7">
      <w:pPr>
        <w:numPr>
          <w:ilvl w:val="1"/>
          <w:numId w:val="21"/>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параграфи</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Б</w:t>
      </w:r>
      <w:r w:rsidR="00780FA7" w:rsidRPr="005A56A5">
        <w:rPr>
          <w:rFonts w:ascii="Helvetica" w:eastAsia="Times New Roman" w:hAnsi="Helvetica" w:cs="Helvetica"/>
          <w:color w:val="575757"/>
          <w:kern w:val="0"/>
          <w:sz w:val="24"/>
          <w:szCs w:val="24"/>
          <w:lang w:val="bg-BG"/>
          <w14:ligatures w14:val="none"/>
        </w:rPr>
        <w:t>5–</w:t>
      </w:r>
      <w:r w:rsidRPr="005A56A5">
        <w:rPr>
          <w:rFonts w:ascii="Helvetica" w:eastAsia="Times New Roman" w:hAnsi="Helvetica" w:cs="Helvetica"/>
          <w:color w:val="575757"/>
          <w:kern w:val="0"/>
          <w:sz w:val="24"/>
          <w:szCs w:val="24"/>
          <w:lang w:val="bg-BG"/>
          <w14:ligatures w14:val="none"/>
        </w:rPr>
        <w:t>Б</w:t>
      </w:r>
      <w:r w:rsidR="00780FA7" w:rsidRPr="005A56A5">
        <w:rPr>
          <w:rFonts w:ascii="Helvetica" w:eastAsia="Times New Roman" w:hAnsi="Helvetica" w:cs="Helvetica"/>
          <w:color w:val="575757"/>
          <w:kern w:val="0"/>
          <w:sz w:val="24"/>
          <w:szCs w:val="24"/>
          <w:lang w:val="bg-BG"/>
          <w14:ligatures w14:val="none"/>
        </w:rPr>
        <w:t xml:space="preserve">6 </w:t>
      </w:r>
      <w:r w:rsidRPr="005A56A5">
        <w:rPr>
          <w:rFonts w:ascii="Helvetica" w:eastAsia="Times New Roman" w:hAnsi="Helvetica" w:cs="Helvetica"/>
          <w:color w:val="575757"/>
          <w:kern w:val="0"/>
          <w:sz w:val="24"/>
          <w:szCs w:val="24"/>
          <w:lang w:val="bg-BG"/>
          <w14:ligatures w14:val="none"/>
        </w:rPr>
        <w:t>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1</w:t>
      </w:r>
      <w:r w:rsidR="00AF6724" w:rsidRPr="005A56A5">
        <w:rPr>
          <w:rFonts w:ascii="Helvetica" w:eastAsia="Times New Roman" w:hAnsi="Helvetica" w:cs="Helvetica"/>
          <w:color w:val="575757"/>
          <w:kern w:val="0"/>
          <w:sz w:val="24"/>
          <w:szCs w:val="24"/>
          <w:lang w:val="bg-BG"/>
          <w14:ligatures w14:val="none"/>
        </w:rPr>
        <w:t>, така че да добави кръстосани препратки към параграф</w:t>
      </w:r>
      <w:r w:rsidR="00780FA7" w:rsidRPr="005A56A5">
        <w:rPr>
          <w:rFonts w:ascii="Helvetica" w:eastAsia="Times New Roman" w:hAnsi="Helvetica" w:cs="Helvetica"/>
          <w:color w:val="575757"/>
          <w:kern w:val="0"/>
          <w:sz w:val="24"/>
          <w:szCs w:val="24"/>
          <w:lang w:val="bg-BG"/>
          <w14:ligatures w14:val="none"/>
        </w:rPr>
        <w:t xml:space="preserve"> 6.4.1 </w:t>
      </w:r>
      <w:r w:rsidR="00AF6724" w:rsidRPr="005A56A5">
        <w:rPr>
          <w:rFonts w:ascii="Helvetica" w:eastAsia="Times New Roman" w:hAnsi="Helvetica" w:cs="Helvetica"/>
          <w:color w:val="575757"/>
          <w:kern w:val="0"/>
          <w:sz w:val="24"/>
          <w:szCs w:val="24"/>
          <w:lang w:val="bg-BG"/>
          <w14:ligatures w14:val="none"/>
        </w:rPr>
        <w:t>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9; </w:t>
      </w:r>
      <w:r w:rsidR="00AF6724" w:rsidRPr="005A56A5">
        <w:rPr>
          <w:rFonts w:ascii="Helvetica" w:eastAsia="Times New Roman" w:hAnsi="Helvetica" w:cs="Helvetica"/>
          <w:color w:val="575757"/>
          <w:kern w:val="0"/>
          <w:sz w:val="24"/>
          <w:szCs w:val="24"/>
          <w:lang w:val="bg-BG"/>
          <w14:ligatures w14:val="none"/>
        </w:rPr>
        <w:t>и</w:t>
      </w:r>
    </w:p>
    <w:p w14:paraId="55ABDDBB" w14:textId="1FF7492E" w:rsidR="00780FA7" w:rsidRPr="005A56A5" w:rsidRDefault="00AF6724" w:rsidP="00780FA7">
      <w:pPr>
        <w:numPr>
          <w:ilvl w:val="1"/>
          <w:numId w:val="21"/>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 параграф Б</w:t>
      </w:r>
      <w:r w:rsidR="00780FA7" w:rsidRPr="005A56A5">
        <w:rPr>
          <w:rFonts w:ascii="Helvetica" w:eastAsia="Times New Roman" w:hAnsi="Helvetica" w:cs="Helvetica"/>
          <w:color w:val="575757"/>
          <w:kern w:val="0"/>
          <w:sz w:val="24"/>
          <w:szCs w:val="24"/>
          <w:lang w:val="bg-BG"/>
          <w14:ligatures w14:val="none"/>
        </w:rPr>
        <w:t xml:space="preserve">6 </w:t>
      </w:r>
      <w:r w:rsidRPr="005A56A5">
        <w:rPr>
          <w:rFonts w:ascii="Helvetica" w:eastAsia="Times New Roman" w:hAnsi="Helvetica" w:cs="Helvetica"/>
          <w:color w:val="575757"/>
          <w:kern w:val="0"/>
          <w:sz w:val="24"/>
          <w:szCs w:val="24"/>
          <w:lang w:val="bg-BG"/>
          <w14:ligatures w14:val="none"/>
        </w:rPr>
        <w:t>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1 </w:t>
      </w:r>
      <w:r w:rsidRPr="005A56A5">
        <w:rPr>
          <w:rFonts w:ascii="Helvetica" w:eastAsia="Times New Roman" w:hAnsi="Helvetica" w:cs="Helvetica"/>
          <w:color w:val="575757"/>
          <w:kern w:val="0"/>
          <w:sz w:val="24"/>
          <w:szCs w:val="24"/>
          <w:lang w:val="bg-BG"/>
          <w14:ligatures w14:val="none"/>
        </w:rPr>
        <w:t>да замени думата</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„условия“ с „отговарящи на определени условия критерии“</w:t>
      </w:r>
      <w:r w:rsidR="00780FA7" w:rsidRPr="005A56A5">
        <w:rPr>
          <w:rFonts w:ascii="Helvetica" w:eastAsia="Times New Roman" w:hAnsi="Helvetica" w:cs="Helvetica"/>
          <w:color w:val="575757"/>
          <w:kern w:val="0"/>
          <w:sz w:val="24"/>
          <w:szCs w:val="24"/>
          <w:lang w:val="bg-BG"/>
          <w14:ligatures w14:val="none"/>
        </w:rPr>
        <w:t>;</w:t>
      </w:r>
    </w:p>
    <w:p w14:paraId="3D662148" w14:textId="57642333" w:rsidR="00780FA7" w:rsidRPr="005A56A5" w:rsidRDefault="00AF6724" w:rsidP="00780FA7">
      <w:pPr>
        <w:numPr>
          <w:ilvl w:val="0"/>
          <w:numId w:val="21"/>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не разработва специфични изисквания за преход по отношение на така предложените изменения</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и</w:t>
      </w:r>
    </w:p>
    <w:p w14:paraId="1217928A" w14:textId="5D09F659" w:rsidR="00780FA7" w:rsidRPr="005A56A5" w:rsidRDefault="00AF6724" w:rsidP="00780FA7">
      <w:pPr>
        <w:numPr>
          <w:ilvl w:val="0"/>
          <w:numId w:val="21"/>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включи така предложените изменения в следващия си цикъл на годишни подобрения</w:t>
      </w:r>
      <w:r w:rsidR="00780FA7" w:rsidRPr="005A56A5">
        <w:rPr>
          <w:rFonts w:ascii="Helvetica" w:eastAsia="Times New Roman" w:hAnsi="Helvetica" w:cs="Helvetica"/>
          <w:color w:val="575757"/>
          <w:kern w:val="0"/>
          <w:sz w:val="24"/>
          <w:szCs w:val="24"/>
          <w:lang w:val="bg-BG"/>
          <w14:ligatures w14:val="none"/>
        </w:rPr>
        <w:t>.</w:t>
      </w:r>
    </w:p>
    <w:p w14:paraId="2D5D6145" w14:textId="65E6F7F9"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72696330" w14:textId="7106BCAD" w:rsidR="00780FA7" w:rsidRPr="005A56A5" w:rsidRDefault="00F7383B" w:rsidP="00780FA7">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5A56A5">
        <w:rPr>
          <w:rFonts w:ascii="Helvetica" w:eastAsia="Times New Roman" w:hAnsi="Helvetica" w:cs="Helvetica"/>
          <w:b/>
          <w:bCs/>
          <w:color w:val="CD3333"/>
          <w:kern w:val="0"/>
          <w:sz w:val="26"/>
          <w:szCs w:val="26"/>
          <w:lang w:val="bg-BG"/>
          <w14:ligatures w14:val="none"/>
        </w:rPr>
        <w:lastRenderedPageBreak/>
        <w:t xml:space="preserve">Определяне на „фактически агент“ (МСФО 10)— потенциално годишно подобрение </w:t>
      </w:r>
      <w:r w:rsidR="00780FA7" w:rsidRPr="005A56A5">
        <w:rPr>
          <w:rFonts w:ascii="Helvetica" w:eastAsia="Times New Roman" w:hAnsi="Helvetica" w:cs="Helvetica"/>
          <w:b/>
          <w:bCs/>
          <w:color w:val="CD3333"/>
          <w:kern w:val="0"/>
          <w:sz w:val="26"/>
          <w:szCs w:val="26"/>
          <w:lang w:val="bg-BG"/>
          <w14:ligatures w14:val="none"/>
        </w:rPr>
        <w:t>(</w:t>
      </w:r>
      <w:r w:rsidR="00D56402" w:rsidRPr="005A56A5">
        <w:rPr>
          <w:rFonts w:ascii="Helvetica" w:eastAsia="Times New Roman" w:hAnsi="Helvetica" w:cs="Helvetica"/>
          <w:b/>
          <w:bCs/>
          <w:color w:val="CD3333"/>
          <w:kern w:val="0"/>
          <w:sz w:val="26"/>
          <w:szCs w:val="26"/>
          <w:lang w:val="bg-BG"/>
          <w14:ligatures w14:val="none"/>
        </w:rPr>
        <w:t>Документ по програмата</w:t>
      </w:r>
      <w:r w:rsidR="00780FA7" w:rsidRPr="005A56A5">
        <w:rPr>
          <w:rFonts w:ascii="Helvetica" w:eastAsia="Times New Roman" w:hAnsi="Helvetica" w:cs="Helvetica"/>
          <w:b/>
          <w:bCs/>
          <w:color w:val="CD3333"/>
          <w:kern w:val="0"/>
          <w:sz w:val="26"/>
          <w:szCs w:val="26"/>
          <w:lang w:val="bg-BG"/>
          <w14:ligatures w14:val="none"/>
        </w:rPr>
        <w:t xml:space="preserve"> 12</w:t>
      </w:r>
      <w:r w:rsidRPr="005A56A5">
        <w:rPr>
          <w:rFonts w:ascii="Helvetica" w:eastAsia="Times New Roman" w:hAnsi="Helvetica" w:cs="Helvetica"/>
          <w:b/>
          <w:bCs/>
          <w:color w:val="CD3333"/>
          <w:kern w:val="0"/>
          <w:sz w:val="26"/>
          <w:szCs w:val="26"/>
          <w:lang w:val="bg-BG"/>
          <w14:ligatures w14:val="none"/>
        </w:rPr>
        <w:t>Г</w:t>
      </w:r>
      <w:r w:rsidR="00780FA7" w:rsidRPr="005A56A5">
        <w:rPr>
          <w:rFonts w:ascii="Helvetica" w:eastAsia="Times New Roman" w:hAnsi="Helvetica" w:cs="Helvetica"/>
          <w:b/>
          <w:bCs/>
          <w:color w:val="CD3333"/>
          <w:kern w:val="0"/>
          <w:sz w:val="26"/>
          <w:szCs w:val="26"/>
          <w:lang w:val="bg-BG"/>
          <w14:ligatures w14:val="none"/>
        </w:rPr>
        <w:t>)</w:t>
      </w:r>
    </w:p>
    <w:p w14:paraId="500F2172" w14:textId="703CFD40" w:rsidR="00780FA7" w:rsidRPr="005A56A5" w:rsidRDefault="00780FA7"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F7383B" w:rsidRPr="005A56A5">
        <w:rPr>
          <w:rFonts w:ascii="Helvetica" w:eastAsia="Times New Roman" w:hAnsi="Helvetica" w:cs="Helvetica"/>
          <w:color w:val="575757"/>
          <w:kern w:val="0"/>
          <w:sz w:val="24"/>
          <w:szCs w:val="24"/>
          <w:lang w:val="bg-BG"/>
          <w14:ligatures w14:val="none"/>
        </w:rPr>
        <w:t>обсъди несъответствие между параграфи</w:t>
      </w:r>
      <w:r w:rsidRPr="005A56A5">
        <w:rPr>
          <w:rFonts w:ascii="Helvetica" w:eastAsia="Times New Roman" w:hAnsi="Helvetica" w:cs="Helvetica"/>
          <w:color w:val="575757"/>
          <w:kern w:val="0"/>
          <w:sz w:val="24"/>
          <w:szCs w:val="24"/>
          <w:lang w:val="bg-BG"/>
          <w14:ligatures w14:val="none"/>
        </w:rPr>
        <w:t xml:space="preserve"> </w:t>
      </w:r>
      <w:r w:rsidR="00F7383B" w:rsidRPr="005A56A5">
        <w:rPr>
          <w:rFonts w:ascii="Helvetica" w:eastAsia="Times New Roman" w:hAnsi="Helvetica" w:cs="Helvetica"/>
          <w:color w:val="575757"/>
          <w:kern w:val="0"/>
          <w:sz w:val="24"/>
          <w:szCs w:val="24"/>
          <w:lang w:val="bg-BG"/>
          <w14:ligatures w14:val="none"/>
        </w:rPr>
        <w:t>Б</w:t>
      </w:r>
      <w:r w:rsidRPr="005A56A5">
        <w:rPr>
          <w:rFonts w:ascii="Helvetica" w:eastAsia="Times New Roman" w:hAnsi="Helvetica" w:cs="Helvetica"/>
          <w:color w:val="575757"/>
          <w:kern w:val="0"/>
          <w:sz w:val="24"/>
          <w:szCs w:val="24"/>
          <w:lang w:val="bg-BG"/>
          <w14:ligatures w14:val="none"/>
        </w:rPr>
        <w:t xml:space="preserve">73 </w:t>
      </w:r>
      <w:r w:rsidR="00F7383B" w:rsidRPr="005A56A5">
        <w:rPr>
          <w:rFonts w:ascii="Helvetica" w:eastAsia="Times New Roman" w:hAnsi="Helvetica" w:cs="Helvetica"/>
          <w:color w:val="575757"/>
          <w:kern w:val="0"/>
          <w:sz w:val="24"/>
          <w:szCs w:val="24"/>
          <w:lang w:val="bg-BG"/>
          <w14:ligatures w14:val="none"/>
        </w:rPr>
        <w:t>и</w:t>
      </w:r>
      <w:r w:rsidRPr="005A56A5">
        <w:rPr>
          <w:rFonts w:ascii="Helvetica" w:eastAsia="Times New Roman" w:hAnsi="Helvetica" w:cs="Helvetica"/>
          <w:color w:val="575757"/>
          <w:kern w:val="0"/>
          <w:sz w:val="24"/>
          <w:szCs w:val="24"/>
          <w:lang w:val="bg-BG"/>
          <w14:ligatures w14:val="none"/>
        </w:rPr>
        <w:t xml:space="preserve"> </w:t>
      </w:r>
      <w:r w:rsidR="00F7383B" w:rsidRPr="005A56A5">
        <w:rPr>
          <w:rFonts w:ascii="Helvetica" w:eastAsia="Times New Roman" w:hAnsi="Helvetica" w:cs="Helvetica"/>
          <w:color w:val="575757"/>
          <w:kern w:val="0"/>
          <w:sz w:val="24"/>
          <w:szCs w:val="24"/>
          <w:lang w:val="bg-BG"/>
          <w14:ligatures w14:val="none"/>
        </w:rPr>
        <w:t>Б</w:t>
      </w:r>
      <w:r w:rsidRPr="005A56A5">
        <w:rPr>
          <w:rFonts w:ascii="Helvetica" w:eastAsia="Times New Roman" w:hAnsi="Helvetica" w:cs="Helvetica"/>
          <w:color w:val="575757"/>
          <w:kern w:val="0"/>
          <w:sz w:val="24"/>
          <w:szCs w:val="24"/>
          <w:lang w:val="bg-BG"/>
          <w14:ligatures w14:val="none"/>
        </w:rPr>
        <w:t xml:space="preserve">74 </w:t>
      </w:r>
      <w:r w:rsidR="00F7383B" w:rsidRPr="005A56A5">
        <w:rPr>
          <w:rFonts w:ascii="Helvetica" w:eastAsia="Times New Roman" w:hAnsi="Helvetica" w:cs="Helvetica"/>
          <w:color w:val="575757"/>
          <w:kern w:val="0"/>
          <w:sz w:val="24"/>
          <w:szCs w:val="24"/>
          <w:lang w:val="bg-BG"/>
          <w14:ligatures w14:val="none"/>
        </w:rPr>
        <w:t>от</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Pr="005A56A5">
        <w:rPr>
          <w:rFonts w:ascii="Helvetica" w:eastAsia="Times New Roman" w:hAnsi="Helvetica" w:cs="Helvetica"/>
          <w:color w:val="575757"/>
          <w:kern w:val="0"/>
          <w:sz w:val="24"/>
          <w:szCs w:val="24"/>
          <w:lang w:val="bg-BG"/>
          <w14:ligatures w14:val="none"/>
        </w:rPr>
        <w:t xml:space="preserve"> 10</w:t>
      </w:r>
      <w:r w:rsidRPr="005A56A5">
        <w:rPr>
          <w:rFonts w:ascii="Helvetica" w:eastAsia="Times New Roman" w:hAnsi="Helvetica" w:cs="Helvetica"/>
          <w:i/>
          <w:iCs/>
          <w:color w:val="575757"/>
          <w:kern w:val="0"/>
          <w:sz w:val="24"/>
          <w:szCs w:val="24"/>
          <w:lang w:val="bg-BG"/>
          <w14:ligatures w14:val="none"/>
        </w:rPr>
        <w:t> </w:t>
      </w:r>
      <w:r w:rsidR="00F7383B" w:rsidRPr="005A56A5">
        <w:rPr>
          <w:rFonts w:ascii="Helvetica" w:eastAsia="Times New Roman" w:hAnsi="Helvetica" w:cs="Helvetica"/>
          <w:i/>
          <w:iCs/>
          <w:color w:val="575757"/>
          <w:kern w:val="0"/>
          <w:sz w:val="24"/>
          <w:szCs w:val="24"/>
          <w:lang w:val="bg-BG"/>
          <w14:ligatures w14:val="none"/>
        </w:rPr>
        <w:t>Консолидирани финансови отчети,</w:t>
      </w:r>
      <w:r w:rsidRPr="005A56A5">
        <w:rPr>
          <w:rFonts w:ascii="Helvetica" w:eastAsia="Times New Roman" w:hAnsi="Helvetica" w:cs="Helvetica"/>
          <w:i/>
          <w:iCs/>
          <w:color w:val="575757"/>
          <w:kern w:val="0"/>
          <w:sz w:val="24"/>
          <w:szCs w:val="24"/>
          <w:lang w:val="bg-BG"/>
          <w14:ligatures w14:val="none"/>
        </w:rPr>
        <w:t> </w:t>
      </w:r>
      <w:r w:rsidR="00F7383B" w:rsidRPr="005A56A5">
        <w:rPr>
          <w:rFonts w:ascii="Helvetica" w:eastAsia="Times New Roman" w:hAnsi="Helvetica" w:cs="Helvetica"/>
          <w:color w:val="575757"/>
          <w:kern w:val="0"/>
          <w:sz w:val="24"/>
          <w:szCs w:val="24"/>
          <w:lang w:val="bg-BG"/>
          <w14:ligatures w14:val="none"/>
        </w:rPr>
        <w:t>отнасящо се до това как инвеститорът определя дали друга страна извършва дейност от името на този инвеститор</w:t>
      </w:r>
      <w:r w:rsidRPr="005A56A5">
        <w:rPr>
          <w:rFonts w:ascii="Helvetica" w:eastAsia="Times New Roman" w:hAnsi="Helvetica" w:cs="Helvetica"/>
          <w:color w:val="575757"/>
          <w:kern w:val="0"/>
          <w:sz w:val="24"/>
          <w:szCs w:val="24"/>
          <w:lang w:val="bg-BG"/>
          <w14:ligatures w14:val="none"/>
        </w:rPr>
        <w:t>.</w:t>
      </w:r>
    </w:p>
    <w:p w14:paraId="6F82F9BD" w14:textId="5820B15D" w:rsidR="00780FA7" w:rsidRPr="005A56A5" w:rsidRDefault="00683D1B"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0EB3B403" w14:textId="7987D247" w:rsidR="00780FA7" w:rsidRPr="005A56A5" w:rsidRDefault="00F7383B" w:rsidP="00780FA7">
      <w:pPr>
        <w:numPr>
          <w:ilvl w:val="0"/>
          <w:numId w:val="2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предложи изменения, които да изяснят изискванията в параграф Б</w:t>
      </w:r>
      <w:r w:rsidR="00780FA7" w:rsidRPr="005A56A5">
        <w:rPr>
          <w:rFonts w:ascii="Helvetica" w:eastAsia="Times New Roman" w:hAnsi="Helvetica" w:cs="Helvetica"/>
          <w:color w:val="575757"/>
          <w:kern w:val="0"/>
          <w:sz w:val="24"/>
          <w:szCs w:val="24"/>
          <w:lang w:val="bg-BG"/>
          <w14:ligatures w14:val="none"/>
        </w:rPr>
        <w:t xml:space="preserve">74 </w:t>
      </w:r>
      <w:r w:rsidRPr="005A56A5">
        <w:rPr>
          <w:rFonts w:ascii="Helvetica" w:eastAsia="Times New Roman" w:hAnsi="Helvetica" w:cs="Helvetica"/>
          <w:color w:val="575757"/>
          <w:kern w:val="0"/>
          <w:sz w:val="24"/>
          <w:szCs w:val="24"/>
          <w:lang w:val="bg-BG"/>
          <w14:ligatures w14:val="none"/>
        </w:rPr>
        <w:t>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10;</w:t>
      </w:r>
    </w:p>
    <w:p w14:paraId="1F0D7D61" w14:textId="3B72C26C" w:rsidR="00780FA7" w:rsidRPr="005A56A5" w:rsidRDefault="00F7383B" w:rsidP="00780FA7">
      <w:pPr>
        <w:numPr>
          <w:ilvl w:val="0"/>
          <w:numId w:val="2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не разработва специфични изисквания за преход по отношение на така предложените изменения</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и</w:t>
      </w:r>
    </w:p>
    <w:p w14:paraId="638FC51B" w14:textId="1F0AE2A7" w:rsidR="00780FA7" w:rsidRPr="005A56A5" w:rsidRDefault="00D73400" w:rsidP="00780FA7">
      <w:pPr>
        <w:numPr>
          <w:ilvl w:val="0"/>
          <w:numId w:val="2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включи така предложените изменения в следващия си цикъл на годишни подобрения</w:t>
      </w:r>
      <w:r w:rsidR="00780FA7" w:rsidRPr="005A56A5">
        <w:rPr>
          <w:rFonts w:ascii="Helvetica" w:eastAsia="Times New Roman" w:hAnsi="Helvetica" w:cs="Helvetica"/>
          <w:color w:val="575757"/>
          <w:kern w:val="0"/>
          <w:sz w:val="24"/>
          <w:szCs w:val="24"/>
          <w:lang w:val="bg-BG"/>
          <w14:ligatures w14:val="none"/>
        </w:rPr>
        <w:t>.</w:t>
      </w:r>
    </w:p>
    <w:p w14:paraId="1D8998F8" w14:textId="3FB8F557"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42BE14BF" w14:textId="1ED1DE3B" w:rsidR="00780FA7" w:rsidRPr="005A56A5" w:rsidRDefault="00F7383B" w:rsidP="00780FA7">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5A56A5">
        <w:rPr>
          <w:rFonts w:ascii="Helvetica" w:eastAsia="Times New Roman" w:hAnsi="Helvetica" w:cs="Helvetica"/>
          <w:b/>
          <w:bCs/>
          <w:color w:val="CD3333"/>
          <w:kern w:val="0"/>
          <w:sz w:val="26"/>
          <w:szCs w:val="26"/>
          <w:lang w:val="bg-BG"/>
          <w14:ligatures w14:val="none"/>
        </w:rPr>
        <w:t>Цена на сделката</w:t>
      </w:r>
      <w:r w:rsidR="00780FA7" w:rsidRPr="005A56A5">
        <w:rPr>
          <w:rFonts w:ascii="Helvetica" w:eastAsia="Times New Roman" w:hAnsi="Helvetica" w:cs="Helvetica"/>
          <w:b/>
          <w:bCs/>
          <w:color w:val="CD3333"/>
          <w:kern w:val="0"/>
          <w:sz w:val="26"/>
          <w:szCs w:val="26"/>
          <w:lang w:val="bg-BG"/>
          <w14:ligatures w14:val="none"/>
        </w:rPr>
        <w:t xml:space="preserve"> (</w:t>
      </w:r>
      <w:r w:rsidR="00127BAB" w:rsidRPr="005A56A5">
        <w:rPr>
          <w:rFonts w:ascii="Helvetica" w:eastAsia="Times New Roman" w:hAnsi="Helvetica" w:cs="Helvetica"/>
          <w:b/>
          <w:bCs/>
          <w:color w:val="CD3333"/>
          <w:kern w:val="0"/>
          <w:sz w:val="26"/>
          <w:szCs w:val="26"/>
          <w:lang w:val="bg-BG"/>
          <w14:ligatures w14:val="none"/>
        </w:rPr>
        <w:t>МСФО</w:t>
      </w:r>
      <w:r w:rsidR="00780FA7" w:rsidRPr="005A56A5">
        <w:rPr>
          <w:rFonts w:ascii="Helvetica" w:eastAsia="Times New Roman" w:hAnsi="Helvetica" w:cs="Helvetica"/>
          <w:b/>
          <w:bCs/>
          <w:color w:val="CD3333"/>
          <w:kern w:val="0"/>
          <w:sz w:val="26"/>
          <w:szCs w:val="26"/>
          <w:lang w:val="bg-BG"/>
          <w14:ligatures w14:val="none"/>
        </w:rPr>
        <w:t xml:space="preserve"> 9)—</w:t>
      </w:r>
      <w:r w:rsidRPr="005A56A5">
        <w:rPr>
          <w:rFonts w:ascii="Helvetica" w:eastAsia="Times New Roman" w:hAnsi="Helvetica" w:cs="Helvetica"/>
          <w:b/>
          <w:bCs/>
          <w:color w:val="CD3333"/>
          <w:kern w:val="0"/>
          <w:sz w:val="26"/>
          <w:szCs w:val="26"/>
          <w:lang w:val="bg-BG"/>
          <w14:ligatures w14:val="none"/>
        </w:rPr>
        <w:t xml:space="preserve"> потенциално годишно подобрение </w:t>
      </w:r>
      <w:r w:rsidR="00780FA7" w:rsidRPr="005A56A5">
        <w:rPr>
          <w:rFonts w:ascii="Helvetica" w:eastAsia="Times New Roman" w:hAnsi="Helvetica" w:cs="Helvetica"/>
          <w:b/>
          <w:bCs/>
          <w:color w:val="CD3333"/>
          <w:kern w:val="0"/>
          <w:sz w:val="26"/>
          <w:szCs w:val="26"/>
          <w:lang w:val="bg-BG"/>
          <w14:ligatures w14:val="none"/>
        </w:rPr>
        <w:t>(</w:t>
      </w:r>
      <w:r w:rsidR="00D56402" w:rsidRPr="005A56A5">
        <w:rPr>
          <w:rFonts w:ascii="Helvetica" w:eastAsia="Times New Roman" w:hAnsi="Helvetica" w:cs="Helvetica"/>
          <w:b/>
          <w:bCs/>
          <w:color w:val="CD3333"/>
          <w:kern w:val="0"/>
          <w:sz w:val="26"/>
          <w:szCs w:val="26"/>
          <w:lang w:val="bg-BG"/>
          <w14:ligatures w14:val="none"/>
        </w:rPr>
        <w:t>Документ по програмата</w:t>
      </w:r>
      <w:r w:rsidR="00780FA7" w:rsidRPr="005A56A5">
        <w:rPr>
          <w:rFonts w:ascii="Helvetica" w:eastAsia="Times New Roman" w:hAnsi="Helvetica" w:cs="Helvetica"/>
          <w:b/>
          <w:bCs/>
          <w:color w:val="CD3333"/>
          <w:kern w:val="0"/>
          <w:sz w:val="26"/>
          <w:szCs w:val="26"/>
          <w:lang w:val="bg-BG"/>
          <w14:ligatures w14:val="none"/>
        </w:rPr>
        <w:t xml:space="preserve"> 12</w:t>
      </w:r>
      <w:r w:rsidRPr="005A56A5">
        <w:rPr>
          <w:rFonts w:ascii="Helvetica" w:eastAsia="Times New Roman" w:hAnsi="Helvetica" w:cs="Helvetica"/>
          <w:b/>
          <w:bCs/>
          <w:color w:val="CD3333"/>
          <w:kern w:val="0"/>
          <w:sz w:val="26"/>
          <w:szCs w:val="26"/>
          <w:lang w:val="bg-BG"/>
          <w14:ligatures w14:val="none"/>
        </w:rPr>
        <w:t>Д</w:t>
      </w:r>
      <w:r w:rsidR="00780FA7" w:rsidRPr="005A56A5">
        <w:rPr>
          <w:rFonts w:ascii="Helvetica" w:eastAsia="Times New Roman" w:hAnsi="Helvetica" w:cs="Helvetica"/>
          <w:b/>
          <w:bCs/>
          <w:color w:val="CD3333"/>
          <w:kern w:val="0"/>
          <w:sz w:val="26"/>
          <w:szCs w:val="26"/>
          <w:lang w:val="bg-BG"/>
          <w14:ligatures w14:val="none"/>
        </w:rPr>
        <w:t>)</w:t>
      </w:r>
    </w:p>
    <w:p w14:paraId="112EB523" w14:textId="49E27050" w:rsidR="00780FA7" w:rsidRPr="005A56A5" w:rsidRDefault="00780FA7"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D73400" w:rsidRPr="005A56A5">
        <w:rPr>
          <w:rFonts w:ascii="Helvetica" w:eastAsia="Times New Roman" w:hAnsi="Helvetica" w:cs="Helvetica"/>
          <w:color w:val="575757"/>
          <w:kern w:val="0"/>
          <w:sz w:val="24"/>
          <w:szCs w:val="24"/>
          <w:lang w:val="bg-BG"/>
          <w14:ligatures w14:val="none"/>
        </w:rPr>
        <w:t>обсъди препратка в Приложение</w:t>
      </w:r>
      <w:r w:rsidRPr="005A56A5">
        <w:rPr>
          <w:rFonts w:ascii="Helvetica" w:eastAsia="Times New Roman" w:hAnsi="Helvetica" w:cs="Helvetica"/>
          <w:color w:val="575757"/>
          <w:kern w:val="0"/>
          <w:sz w:val="24"/>
          <w:szCs w:val="24"/>
          <w:lang w:val="bg-BG"/>
          <w14:ligatures w14:val="none"/>
        </w:rPr>
        <w:t xml:space="preserve"> A </w:t>
      </w:r>
      <w:r w:rsidR="00D73400" w:rsidRPr="005A56A5">
        <w:rPr>
          <w:rFonts w:ascii="Helvetica" w:eastAsia="Times New Roman" w:hAnsi="Helvetica" w:cs="Helvetica"/>
          <w:color w:val="575757"/>
          <w:kern w:val="0"/>
          <w:sz w:val="24"/>
          <w:szCs w:val="24"/>
          <w:lang w:val="bg-BG"/>
          <w14:ligatures w14:val="none"/>
        </w:rPr>
        <w:t>към</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Pr="005A56A5">
        <w:rPr>
          <w:rFonts w:ascii="Helvetica" w:eastAsia="Times New Roman" w:hAnsi="Helvetica" w:cs="Helvetica"/>
          <w:color w:val="575757"/>
          <w:kern w:val="0"/>
          <w:sz w:val="24"/>
          <w:szCs w:val="24"/>
          <w:lang w:val="bg-BG"/>
          <w14:ligatures w14:val="none"/>
        </w:rPr>
        <w:t xml:space="preserve"> 9 </w:t>
      </w:r>
      <w:r w:rsidR="00D73400" w:rsidRPr="005A56A5">
        <w:rPr>
          <w:rFonts w:ascii="Helvetica" w:eastAsia="Times New Roman" w:hAnsi="Helvetica" w:cs="Helvetica"/>
          <w:color w:val="575757"/>
          <w:kern w:val="0"/>
          <w:sz w:val="24"/>
          <w:szCs w:val="24"/>
          <w:lang w:val="bg-BG"/>
          <w14:ligatures w14:val="none"/>
        </w:rPr>
        <w:t>към дефиницията на „цена на сделката“ в</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Pr="005A56A5">
        <w:rPr>
          <w:rFonts w:ascii="Helvetica" w:eastAsia="Times New Roman" w:hAnsi="Helvetica" w:cs="Helvetica"/>
          <w:color w:val="575757"/>
          <w:kern w:val="0"/>
          <w:sz w:val="24"/>
          <w:szCs w:val="24"/>
          <w:lang w:val="bg-BG"/>
          <w14:ligatures w14:val="none"/>
        </w:rPr>
        <w:t xml:space="preserve"> 15 </w:t>
      </w:r>
      <w:r w:rsidR="00D73400" w:rsidRPr="005A56A5">
        <w:rPr>
          <w:rFonts w:ascii="Helvetica" w:eastAsia="Times New Roman" w:hAnsi="Helvetica" w:cs="Helvetica"/>
          <w:i/>
          <w:iCs/>
          <w:color w:val="575757"/>
          <w:kern w:val="0"/>
          <w:sz w:val="24"/>
          <w:szCs w:val="24"/>
          <w:lang w:val="bg-BG"/>
          <w14:ligatures w14:val="none"/>
        </w:rPr>
        <w:t>Приходи от договори с клиенти,</w:t>
      </w:r>
      <w:r w:rsidRPr="005A56A5">
        <w:rPr>
          <w:rFonts w:ascii="Helvetica" w:eastAsia="Times New Roman" w:hAnsi="Helvetica" w:cs="Helvetica"/>
          <w:i/>
          <w:iCs/>
          <w:color w:val="575757"/>
          <w:kern w:val="0"/>
          <w:sz w:val="24"/>
          <w:szCs w:val="24"/>
          <w:lang w:val="bg-BG"/>
          <w14:ligatures w14:val="none"/>
        </w:rPr>
        <w:t> </w:t>
      </w:r>
      <w:r w:rsidR="00D73400" w:rsidRPr="005A56A5">
        <w:rPr>
          <w:rFonts w:ascii="Helvetica" w:eastAsia="Times New Roman" w:hAnsi="Helvetica" w:cs="Helvetica"/>
          <w:color w:val="575757"/>
          <w:kern w:val="0"/>
          <w:sz w:val="24"/>
          <w:szCs w:val="24"/>
          <w:lang w:val="bg-BG"/>
          <w14:ligatures w14:val="none"/>
        </w:rPr>
        <w:t>която би могла да предизвика объркване</w:t>
      </w:r>
      <w:r w:rsidRPr="005A56A5">
        <w:rPr>
          <w:rFonts w:ascii="Helvetica" w:eastAsia="Times New Roman" w:hAnsi="Helvetica" w:cs="Helvetica"/>
          <w:color w:val="575757"/>
          <w:kern w:val="0"/>
          <w:sz w:val="24"/>
          <w:szCs w:val="24"/>
          <w:lang w:val="bg-BG"/>
          <w14:ligatures w14:val="none"/>
        </w:rPr>
        <w:t>.</w:t>
      </w:r>
    </w:p>
    <w:p w14:paraId="47E7B9B6" w14:textId="54BC9F61" w:rsidR="00780FA7" w:rsidRPr="005A56A5" w:rsidRDefault="00683D1B"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1FCC4539" w14:textId="25D6773D" w:rsidR="00780FA7" w:rsidRPr="005A56A5" w:rsidRDefault="00D73400" w:rsidP="00780FA7">
      <w:pPr>
        <w:numPr>
          <w:ilvl w:val="0"/>
          <w:numId w:val="23"/>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предложи изменения в</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9</w:t>
      </w:r>
      <w:r w:rsidRPr="005A56A5">
        <w:rPr>
          <w:rFonts w:ascii="Helvetica" w:eastAsia="Times New Roman" w:hAnsi="Helvetica" w:cs="Helvetica"/>
          <w:color w:val="575757"/>
          <w:kern w:val="0"/>
          <w:sz w:val="24"/>
          <w:szCs w:val="24"/>
          <w:lang w:val="bg-BG"/>
          <w14:ligatures w14:val="none"/>
        </w:rPr>
        <w:t>, така че да преработи редакцията в параграф</w:t>
      </w:r>
      <w:r w:rsidR="00780FA7" w:rsidRPr="005A56A5">
        <w:rPr>
          <w:rFonts w:ascii="Helvetica" w:eastAsia="Times New Roman" w:hAnsi="Helvetica" w:cs="Helvetica"/>
          <w:color w:val="575757"/>
          <w:kern w:val="0"/>
          <w:sz w:val="24"/>
          <w:szCs w:val="24"/>
          <w:lang w:val="bg-BG"/>
          <w14:ligatures w14:val="none"/>
        </w:rPr>
        <w:t xml:space="preserve"> 5.1.3 </w:t>
      </w:r>
      <w:r w:rsidRPr="005A56A5">
        <w:rPr>
          <w:rFonts w:ascii="Helvetica" w:eastAsia="Times New Roman" w:hAnsi="Helvetica" w:cs="Helvetica"/>
          <w:color w:val="575757"/>
          <w:kern w:val="0"/>
          <w:sz w:val="24"/>
          <w:szCs w:val="24"/>
          <w:lang w:val="bg-BG"/>
          <w14:ligatures w14:val="none"/>
        </w:rPr>
        <w:t>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9 </w:t>
      </w:r>
      <w:r w:rsidRPr="005A56A5">
        <w:rPr>
          <w:rFonts w:ascii="Helvetica" w:eastAsia="Times New Roman" w:hAnsi="Helvetica" w:cs="Helvetica"/>
          <w:color w:val="575757"/>
          <w:kern w:val="0"/>
          <w:sz w:val="24"/>
          <w:szCs w:val="24"/>
          <w:lang w:val="bg-BG"/>
          <w14:ligatures w14:val="none"/>
        </w:rPr>
        <w:t>и заличи препратката към</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„цената на сделката“ и свързаните с това препратки към</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15 </w:t>
      </w:r>
      <w:r w:rsidRPr="005A56A5">
        <w:rPr>
          <w:rFonts w:ascii="Helvetica" w:eastAsia="Times New Roman" w:hAnsi="Helvetica" w:cs="Helvetica"/>
          <w:color w:val="575757"/>
          <w:kern w:val="0"/>
          <w:sz w:val="24"/>
          <w:szCs w:val="24"/>
          <w:lang w:val="bg-BG"/>
          <w14:ligatures w14:val="none"/>
        </w:rPr>
        <w:t>от Приложение</w:t>
      </w:r>
      <w:r w:rsidR="00780FA7" w:rsidRPr="005A56A5">
        <w:rPr>
          <w:rFonts w:ascii="Helvetica" w:eastAsia="Times New Roman" w:hAnsi="Helvetica" w:cs="Helvetica"/>
          <w:color w:val="575757"/>
          <w:kern w:val="0"/>
          <w:sz w:val="24"/>
          <w:szCs w:val="24"/>
          <w:lang w:val="bg-BG"/>
          <w14:ligatures w14:val="none"/>
        </w:rPr>
        <w:t xml:space="preserve"> A;</w:t>
      </w:r>
    </w:p>
    <w:p w14:paraId="7A8867D5" w14:textId="1A8A5951" w:rsidR="00780FA7" w:rsidRPr="005A56A5" w:rsidRDefault="00F7383B" w:rsidP="00780FA7">
      <w:pPr>
        <w:numPr>
          <w:ilvl w:val="0"/>
          <w:numId w:val="23"/>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не разработва специфични изисквания за преход по отношение на така предложените изменения</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и</w:t>
      </w:r>
    </w:p>
    <w:p w14:paraId="5E044532" w14:textId="526FE2A7" w:rsidR="00780FA7" w:rsidRPr="005A56A5" w:rsidRDefault="00D73400" w:rsidP="00780FA7">
      <w:pPr>
        <w:numPr>
          <w:ilvl w:val="0"/>
          <w:numId w:val="23"/>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включи така предложените изменения в следващия си цикъл на годишни подобрения</w:t>
      </w:r>
      <w:r w:rsidR="00780FA7" w:rsidRPr="005A56A5">
        <w:rPr>
          <w:rFonts w:ascii="Helvetica" w:eastAsia="Times New Roman" w:hAnsi="Helvetica" w:cs="Helvetica"/>
          <w:color w:val="575757"/>
          <w:kern w:val="0"/>
          <w:sz w:val="24"/>
          <w:szCs w:val="24"/>
          <w:lang w:val="bg-BG"/>
          <w14:ligatures w14:val="none"/>
        </w:rPr>
        <w:t>.</w:t>
      </w:r>
    </w:p>
    <w:p w14:paraId="64DF81E1" w14:textId="273CC98B" w:rsidR="00780FA7" w:rsidRPr="005A56A5" w:rsidRDefault="00D73400"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Единадесет от дванадесетте членове на</w:t>
      </w:r>
      <w:r w:rsidR="00780FA7" w:rsidRPr="005A56A5">
        <w:rPr>
          <w:rFonts w:ascii="Helvetica" w:eastAsia="Times New Roman" w:hAnsi="Helvetica" w:cs="Helvetica"/>
          <w:color w:val="575757"/>
          <w:kern w:val="0"/>
          <w:sz w:val="24"/>
          <w:szCs w:val="24"/>
          <w:lang w:val="bg-BG"/>
          <w14:ligatures w14:val="none"/>
        </w:rPr>
        <w:t xml:space="preserve"> IASB </w:t>
      </w:r>
      <w:r w:rsidRPr="005A56A5">
        <w:rPr>
          <w:rFonts w:ascii="Helvetica" w:eastAsia="Times New Roman" w:hAnsi="Helvetica" w:cs="Helvetica"/>
          <w:color w:val="575757"/>
          <w:kern w:val="0"/>
          <w:sz w:val="24"/>
          <w:szCs w:val="24"/>
          <w:lang w:val="bg-BG"/>
          <w14:ligatures w14:val="none"/>
        </w:rPr>
        <w:t>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6D867219" w14:textId="1C5E47F9" w:rsidR="00780FA7" w:rsidRPr="005A56A5" w:rsidRDefault="00F7383B" w:rsidP="00780FA7">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5A56A5">
        <w:rPr>
          <w:rFonts w:ascii="Helvetica" w:eastAsia="Times New Roman" w:hAnsi="Helvetica" w:cs="Helvetica"/>
          <w:b/>
          <w:bCs/>
          <w:color w:val="CD3333"/>
          <w:kern w:val="0"/>
          <w:sz w:val="26"/>
          <w:szCs w:val="26"/>
          <w:lang w:val="bg-BG"/>
          <w14:ligatures w14:val="none"/>
        </w:rPr>
        <w:t>Метод на цената на придобиване</w:t>
      </w:r>
      <w:r w:rsidR="00780FA7" w:rsidRPr="005A56A5">
        <w:rPr>
          <w:rFonts w:ascii="Helvetica" w:eastAsia="Times New Roman" w:hAnsi="Helvetica" w:cs="Helvetica"/>
          <w:b/>
          <w:bCs/>
          <w:color w:val="CD3333"/>
          <w:kern w:val="0"/>
          <w:sz w:val="26"/>
          <w:szCs w:val="26"/>
          <w:lang w:val="bg-BG"/>
          <w14:ligatures w14:val="none"/>
        </w:rPr>
        <w:t xml:space="preserve"> (</w:t>
      </w:r>
      <w:r w:rsidR="00127BAB" w:rsidRPr="005A56A5">
        <w:rPr>
          <w:rFonts w:ascii="Helvetica" w:eastAsia="Times New Roman" w:hAnsi="Helvetica" w:cs="Helvetica"/>
          <w:b/>
          <w:bCs/>
          <w:color w:val="CD3333"/>
          <w:kern w:val="0"/>
          <w:sz w:val="26"/>
          <w:szCs w:val="26"/>
          <w:lang w:val="bg-BG"/>
          <w14:ligatures w14:val="none"/>
        </w:rPr>
        <w:t>МСС</w:t>
      </w:r>
      <w:r w:rsidR="00780FA7" w:rsidRPr="005A56A5">
        <w:rPr>
          <w:rFonts w:ascii="Helvetica" w:eastAsia="Times New Roman" w:hAnsi="Helvetica" w:cs="Helvetica"/>
          <w:b/>
          <w:bCs/>
          <w:color w:val="CD3333"/>
          <w:kern w:val="0"/>
          <w:sz w:val="26"/>
          <w:szCs w:val="26"/>
          <w:lang w:val="bg-BG"/>
          <w14:ligatures w14:val="none"/>
        </w:rPr>
        <w:t xml:space="preserve"> 7)—</w:t>
      </w:r>
      <w:r w:rsidRPr="005A56A5">
        <w:rPr>
          <w:rFonts w:ascii="Helvetica" w:eastAsia="Times New Roman" w:hAnsi="Helvetica" w:cs="Helvetica"/>
          <w:b/>
          <w:bCs/>
          <w:color w:val="CD3333"/>
          <w:kern w:val="0"/>
          <w:sz w:val="26"/>
          <w:szCs w:val="26"/>
          <w:lang w:val="bg-BG"/>
          <w14:ligatures w14:val="none"/>
        </w:rPr>
        <w:t xml:space="preserve"> потенциално годишно подобрение </w:t>
      </w:r>
      <w:r w:rsidR="00780FA7" w:rsidRPr="005A56A5">
        <w:rPr>
          <w:rFonts w:ascii="Helvetica" w:eastAsia="Times New Roman" w:hAnsi="Helvetica" w:cs="Helvetica"/>
          <w:b/>
          <w:bCs/>
          <w:color w:val="CD3333"/>
          <w:kern w:val="0"/>
          <w:sz w:val="26"/>
          <w:szCs w:val="26"/>
          <w:lang w:val="bg-BG"/>
          <w14:ligatures w14:val="none"/>
        </w:rPr>
        <w:t>(</w:t>
      </w:r>
      <w:r w:rsidR="00D56402" w:rsidRPr="005A56A5">
        <w:rPr>
          <w:rFonts w:ascii="Helvetica" w:eastAsia="Times New Roman" w:hAnsi="Helvetica" w:cs="Helvetica"/>
          <w:b/>
          <w:bCs/>
          <w:color w:val="CD3333"/>
          <w:kern w:val="0"/>
          <w:sz w:val="26"/>
          <w:szCs w:val="26"/>
          <w:lang w:val="bg-BG"/>
          <w14:ligatures w14:val="none"/>
        </w:rPr>
        <w:t>Документ по програмата</w:t>
      </w:r>
      <w:r w:rsidR="00780FA7" w:rsidRPr="005A56A5">
        <w:rPr>
          <w:rFonts w:ascii="Helvetica" w:eastAsia="Times New Roman" w:hAnsi="Helvetica" w:cs="Helvetica"/>
          <w:b/>
          <w:bCs/>
          <w:color w:val="CD3333"/>
          <w:kern w:val="0"/>
          <w:sz w:val="26"/>
          <w:szCs w:val="26"/>
          <w:lang w:val="bg-BG"/>
          <w14:ligatures w14:val="none"/>
        </w:rPr>
        <w:t xml:space="preserve"> 12</w:t>
      </w:r>
      <w:r w:rsidRPr="005A56A5">
        <w:rPr>
          <w:rFonts w:ascii="Helvetica" w:eastAsia="Times New Roman" w:hAnsi="Helvetica" w:cs="Helvetica"/>
          <w:b/>
          <w:bCs/>
          <w:color w:val="CD3333"/>
          <w:kern w:val="0"/>
          <w:sz w:val="26"/>
          <w:szCs w:val="26"/>
          <w:lang w:val="bg-BG"/>
          <w14:ligatures w14:val="none"/>
        </w:rPr>
        <w:t>Е</w:t>
      </w:r>
      <w:r w:rsidR="00780FA7" w:rsidRPr="005A56A5">
        <w:rPr>
          <w:rFonts w:ascii="Helvetica" w:eastAsia="Times New Roman" w:hAnsi="Helvetica" w:cs="Helvetica"/>
          <w:b/>
          <w:bCs/>
          <w:color w:val="CD3333"/>
          <w:kern w:val="0"/>
          <w:sz w:val="26"/>
          <w:szCs w:val="26"/>
          <w:lang w:val="bg-BG"/>
          <w14:ligatures w14:val="none"/>
        </w:rPr>
        <w:t>)</w:t>
      </w:r>
    </w:p>
    <w:p w14:paraId="59D40F5C" w14:textId="1086FD9F" w:rsidR="00780FA7" w:rsidRPr="005A56A5" w:rsidRDefault="00780FA7"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D73400" w:rsidRPr="005A56A5">
        <w:rPr>
          <w:rFonts w:ascii="Helvetica" w:eastAsia="Times New Roman" w:hAnsi="Helvetica" w:cs="Helvetica"/>
          <w:color w:val="575757"/>
          <w:kern w:val="0"/>
          <w:sz w:val="24"/>
          <w:szCs w:val="24"/>
          <w:lang w:val="bg-BG"/>
          <w14:ligatures w14:val="none"/>
        </w:rPr>
        <w:t>обсъди използването на термина</w:t>
      </w:r>
      <w:r w:rsidRPr="005A56A5">
        <w:rPr>
          <w:rFonts w:ascii="Helvetica" w:eastAsia="Times New Roman" w:hAnsi="Helvetica" w:cs="Helvetica"/>
          <w:color w:val="575757"/>
          <w:kern w:val="0"/>
          <w:sz w:val="24"/>
          <w:szCs w:val="24"/>
          <w:lang w:val="bg-BG"/>
          <w14:ligatures w14:val="none"/>
        </w:rPr>
        <w:t xml:space="preserve"> </w:t>
      </w:r>
      <w:r w:rsidR="00D73400" w:rsidRPr="005A56A5">
        <w:rPr>
          <w:rFonts w:ascii="Helvetica" w:eastAsia="Times New Roman" w:hAnsi="Helvetica" w:cs="Helvetica"/>
          <w:color w:val="575757"/>
          <w:kern w:val="0"/>
          <w:sz w:val="24"/>
          <w:szCs w:val="24"/>
          <w:lang w:val="bg-BG"/>
          <w14:ligatures w14:val="none"/>
        </w:rPr>
        <w:t>„метод на цена на придобиване“ в параграф</w:t>
      </w:r>
      <w:r w:rsidRPr="005A56A5">
        <w:rPr>
          <w:rFonts w:ascii="Helvetica" w:eastAsia="Times New Roman" w:hAnsi="Helvetica" w:cs="Helvetica"/>
          <w:color w:val="575757"/>
          <w:kern w:val="0"/>
          <w:sz w:val="24"/>
          <w:szCs w:val="24"/>
          <w:lang w:val="bg-BG"/>
          <w14:ligatures w14:val="none"/>
        </w:rPr>
        <w:t xml:space="preserve"> 37 </w:t>
      </w:r>
      <w:r w:rsidR="00D73400" w:rsidRPr="005A56A5">
        <w:rPr>
          <w:rFonts w:ascii="Helvetica" w:eastAsia="Times New Roman" w:hAnsi="Helvetica" w:cs="Helvetica"/>
          <w:color w:val="575757"/>
          <w:kern w:val="0"/>
          <w:sz w:val="24"/>
          <w:szCs w:val="24"/>
          <w:lang w:val="bg-BG"/>
          <w14:ligatures w14:val="none"/>
        </w:rPr>
        <w:t>от</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МСС</w:t>
      </w:r>
      <w:r w:rsidRPr="005A56A5">
        <w:rPr>
          <w:rFonts w:ascii="Helvetica" w:eastAsia="Times New Roman" w:hAnsi="Helvetica" w:cs="Helvetica"/>
          <w:color w:val="575757"/>
          <w:kern w:val="0"/>
          <w:sz w:val="24"/>
          <w:szCs w:val="24"/>
          <w:lang w:val="bg-BG"/>
          <w14:ligatures w14:val="none"/>
        </w:rPr>
        <w:t xml:space="preserve"> 7, </w:t>
      </w:r>
      <w:r w:rsidR="00D73400" w:rsidRPr="005A56A5">
        <w:rPr>
          <w:rFonts w:ascii="Helvetica" w:eastAsia="Times New Roman" w:hAnsi="Helvetica" w:cs="Helvetica"/>
          <w:color w:val="575757"/>
          <w:kern w:val="0"/>
          <w:sz w:val="24"/>
          <w:szCs w:val="24"/>
          <w:lang w:val="bg-BG"/>
          <w14:ligatures w14:val="none"/>
        </w:rPr>
        <w:t>който вече не е дефиниран в счетоводните</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Pr="005A56A5">
        <w:rPr>
          <w:rFonts w:ascii="Helvetica" w:eastAsia="Times New Roman" w:hAnsi="Helvetica" w:cs="Helvetica"/>
          <w:color w:val="575757"/>
          <w:kern w:val="0"/>
          <w:sz w:val="24"/>
          <w:szCs w:val="24"/>
          <w:lang w:val="bg-BG"/>
          <w14:ligatures w14:val="none"/>
        </w:rPr>
        <w:t xml:space="preserve"> </w:t>
      </w:r>
      <w:r w:rsidR="00D73400" w:rsidRPr="005A56A5">
        <w:rPr>
          <w:rFonts w:ascii="Helvetica" w:eastAsia="Times New Roman" w:hAnsi="Helvetica" w:cs="Helvetica"/>
          <w:color w:val="575757"/>
          <w:kern w:val="0"/>
          <w:sz w:val="24"/>
          <w:szCs w:val="24"/>
          <w:lang w:val="bg-BG"/>
          <w14:ligatures w14:val="none"/>
        </w:rPr>
        <w:t>стандарти</w:t>
      </w:r>
      <w:r w:rsidRPr="005A56A5">
        <w:rPr>
          <w:rFonts w:ascii="Helvetica" w:eastAsia="Times New Roman" w:hAnsi="Helvetica" w:cs="Helvetica"/>
          <w:color w:val="575757"/>
          <w:kern w:val="0"/>
          <w:sz w:val="24"/>
          <w:szCs w:val="24"/>
          <w:lang w:val="bg-BG"/>
          <w14:ligatures w14:val="none"/>
        </w:rPr>
        <w:t>.</w:t>
      </w:r>
    </w:p>
    <w:p w14:paraId="375E1404" w14:textId="6DCC2EF9" w:rsidR="00780FA7" w:rsidRPr="005A56A5" w:rsidRDefault="00683D1B"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2F329DE5" w14:textId="21548937" w:rsidR="00780FA7" w:rsidRPr="005A56A5" w:rsidRDefault="00D73400" w:rsidP="00780FA7">
      <w:pPr>
        <w:numPr>
          <w:ilvl w:val="0"/>
          <w:numId w:val="24"/>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lastRenderedPageBreak/>
        <w:t>да предложи изменение в параграф</w:t>
      </w:r>
      <w:r w:rsidR="00780FA7" w:rsidRPr="005A56A5">
        <w:rPr>
          <w:rFonts w:ascii="Helvetica" w:eastAsia="Times New Roman" w:hAnsi="Helvetica" w:cs="Helvetica"/>
          <w:color w:val="575757"/>
          <w:kern w:val="0"/>
          <w:sz w:val="24"/>
          <w:szCs w:val="24"/>
          <w:lang w:val="bg-BG"/>
          <w14:ligatures w14:val="none"/>
        </w:rPr>
        <w:t xml:space="preserve"> 37 </w:t>
      </w:r>
      <w:r w:rsidRPr="005A56A5">
        <w:rPr>
          <w:rFonts w:ascii="Helvetica" w:eastAsia="Times New Roman" w:hAnsi="Helvetica" w:cs="Helvetica"/>
          <w:color w:val="575757"/>
          <w:kern w:val="0"/>
          <w:sz w:val="24"/>
          <w:szCs w:val="24"/>
          <w:lang w:val="bg-BG"/>
          <w14:ligatures w14:val="none"/>
        </w:rPr>
        <w:t>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МСС</w:t>
      </w:r>
      <w:r w:rsidR="00780FA7" w:rsidRPr="005A56A5">
        <w:rPr>
          <w:rFonts w:ascii="Helvetica" w:eastAsia="Times New Roman" w:hAnsi="Helvetica" w:cs="Helvetica"/>
          <w:color w:val="575757"/>
          <w:kern w:val="0"/>
          <w:sz w:val="24"/>
          <w:szCs w:val="24"/>
          <w:lang w:val="bg-BG"/>
          <w14:ligatures w14:val="none"/>
        </w:rPr>
        <w:t xml:space="preserve"> 7</w:t>
      </w:r>
      <w:r w:rsidRPr="005A56A5">
        <w:rPr>
          <w:rFonts w:ascii="Helvetica" w:eastAsia="Times New Roman" w:hAnsi="Helvetica" w:cs="Helvetica"/>
          <w:color w:val="575757"/>
          <w:kern w:val="0"/>
          <w:sz w:val="24"/>
          <w:szCs w:val="24"/>
          <w:lang w:val="bg-BG"/>
          <w14:ligatures w14:val="none"/>
        </w:rPr>
        <w:t>, така че да замени термина „метод на цена на придобиване“ с „по цена на придобиване“</w:t>
      </w:r>
      <w:r w:rsidR="00780FA7" w:rsidRPr="005A56A5">
        <w:rPr>
          <w:rFonts w:ascii="Helvetica" w:eastAsia="Times New Roman" w:hAnsi="Helvetica" w:cs="Helvetica"/>
          <w:color w:val="575757"/>
          <w:kern w:val="0"/>
          <w:sz w:val="24"/>
          <w:szCs w:val="24"/>
          <w:lang w:val="bg-BG"/>
          <w14:ligatures w14:val="none"/>
        </w:rPr>
        <w:t>;</w:t>
      </w:r>
    </w:p>
    <w:p w14:paraId="43E015C2" w14:textId="76CA3057" w:rsidR="00780FA7" w:rsidRPr="005A56A5" w:rsidRDefault="00F7383B" w:rsidP="00780FA7">
      <w:pPr>
        <w:numPr>
          <w:ilvl w:val="0"/>
          <w:numId w:val="24"/>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не разработва специфични изисквания за преход по отношение на така предложеното изменение</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и</w:t>
      </w:r>
    </w:p>
    <w:p w14:paraId="06AF9CD4" w14:textId="34087051" w:rsidR="00780FA7" w:rsidRPr="005A56A5" w:rsidRDefault="00D73400" w:rsidP="00780FA7">
      <w:pPr>
        <w:numPr>
          <w:ilvl w:val="0"/>
          <w:numId w:val="24"/>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включи така предложеното изменение в следващия си цикъл на годишни подобрения</w:t>
      </w:r>
      <w:r w:rsidR="00780FA7" w:rsidRPr="005A56A5">
        <w:rPr>
          <w:rFonts w:ascii="Helvetica" w:eastAsia="Times New Roman" w:hAnsi="Helvetica" w:cs="Helvetica"/>
          <w:color w:val="575757"/>
          <w:kern w:val="0"/>
          <w:sz w:val="24"/>
          <w:szCs w:val="24"/>
          <w:lang w:val="bg-BG"/>
          <w14:ligatures w14:val="none"/>
        </w:rPr>
        <w:t>.</w:t>
      </w:r>
    </w:p>
    <w:p w14:paraId="1A203354" w14:textId="2AD520A6"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605DEDD6" w14:textId="4320C3A5" w:rsidR="00780FA7" w:rsidRPr="005A56A5" w:rsidRDefault="00F7383B" w:rsidP="00780FA7">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5A56A5">
        <w:rPr>
          <w:rFonts w:ascii="Helvetica" w:eastAsia="Times New Roman" w:hAnsi="Helvetica" w:cs="Helvetica"/>
          <w:b/>
          <w:bCs/>
          <w:color w:val="CD3333"/>
          <w:kern w:val="0"/>
          <w:sz w:val="26"/>
          <w:szCs w:val="26"/>
          <w:lang w:val="bg-BG"/>
          <w14:ligatures w14:val="none"/>
        </w:rPr>
        <w:t>Печалба или загуба при отписване (МСФО 7)</w:t>
      </w:r>
      <w:r w:rsidR="00D73400" w:rsidRPr="005A56A5">
        <w:rPr>
          <w:rFonts w:ascii="Helvetica" w:eastAsia="Times New Roman" w:hAnsi="Helvetica" w:cs="Helvetica"/>
          <w:b/>
          <w:bCs/>
          <w:color w:val="CD3333"/>
          <w:kern w:val="0"/>
          <w:sz w:val="26"/>
          <w:szCs w:val="26"/>
          <w:lang w:val="bg-BG"/>
          <w14:ligatures w14:val="none"/>
        </w:rPr>
        <w:t xml:space="preserve"> </w:t>
      </w:r>
      <w:r w:rsidRPr="005A56A5">
        <w:rPr>
          <w:rFonts w:ascii="Helvetica" w:eastAsia="Times New Roman" w:hAnsi="Helvetica" w:cs="Helvetica"/>
          <w:b/>
          <w:bCs/>
          <w:color w:val="CD3333"/>
          <w:kern w:val="0"/>
          <w:sz w:val="26"/>
          <w:szCs w:val="26"/>
          <w:lang w:val="bg-BG"/>
          <w14:ligatures w14:val="none"/>
        </w:rPr>
        <w:t xml:space="preserve">— потенциално годишно подобрение </w:t>
      </w:r>
      <w:r w:rsidR="00780FA7" w:rsidRPr="005A56A5">
        <w:rPr>
          <w:rFonts w:ascii="Helvetica" w:eastAsia="Times New Roman" w:hAnsi="Helvetica" w:cs="Helvetica"/>
          <w:b/>
          <w:bCs/>
          <w:color w:val="CD3333"/>
          <w:kern w:val="0"/>
          <w:sz w:val="26"/>
          <w:szCs w:val="26"/>
          <w:lang w:val="bg-BG"/>
          <w14:ligatures w14:val="none"/>
        </w:rPr>
        <w:t>(</w:t>
      </w:r>
      <w:r w:rsidR="00D56402" w:rsidRPr="005A56A5">
        <w:rPr>
          <w:rFonts w:ascii="Helvetica" w:eastAsia="Times New Roman" w:hAnsi="Helvetica" w:cs="Helvetica"/>
          <w:b/>
          <w:bCs/>
          <w:color w:val="CD3333"/>
          <w:kern w:val="0"/>
          <w:sz w:val="26"/>
          <w:szCs w:val="26"/>
          <w:lang w:val="bg-BG"/>
          <w14:ligatures w14:val="none"/>
        </w:rPr>
        <w:t>Документ по програмата</w:t>
      </w:r>
      <w:r w:rsidR="00780FA7" w:rsidRPr="005A56A5">
        <w:rPr>
          <w:rFonts w:ascii="Helvetica" w:eastAsia="Times New Roman" w:hAnsi="Helvetica" w:cs="Helvetica"/>
          <w:b/>
          <w:bCs/>
          <w:color w:val="CD3333"/>
          <w:kern w:val="0"/>
          <w:sz w:val="26"/>
          <w:szCs w:val="26"/>
          <w:lang w:val="bg-BG"/>
          <w14:ligatures w14:val="none"/>
        </w:rPr>
        <w:t xml:space="preserve"> 12</w:t>
      </w:r>
      <w:r w:rsidRPr="005A56A5">
        <w:rPr>
          <w:rFonts w:ascii="Helvetica" w:eastAsia="Times New Roman" w:hAnsi="Helvetica" w:cs="Helvetica"/>
          <w:b/>
          <w:bCs/>
          <w:color w:val="CD3333"/>
          <w:kern w:val="0"/>
          <w:sz w:val="26"/>
          <w:szCs w:val="26"/>
          <w:lang w:val="bg-BG"/>
          <w14:ligatures w14:val="none"/>
        </w:rPr>
        <w:t>Ж</w:t>
      </w:r>
      <w:r w:rsidR="00780FA7" w:rsidRPr="005A56A5">
        <w:rPr>
          <w:rFonts w:ascii="Helvetica" w:eastAsia="Times New Roman" w:hAnsi="Helvetica" w:cs="Helvetica"/>
          <w:b/>
          <w:bCs/>
          <w:color w:val="CD3333"/>
          <w:kern w:val="0"/>
          <w:sz w:val="26"/>
          <w:szCs w:val="26"/>
          <w:lang w:val="bg-BG"/>
          <w14:ligatures w14:val="none"/>
        </w:rPr>
        <w:t>)</w:t>
      </w:r>
    </w:p>
    <w:p w14:paraId="0E7A2028" w14:textId="0F850BAE" w:rsidR="00780FA7" w:rsidRPr="005A56A5" w:rsidRDefault="00780FA7"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D73400" w:rsidRPr="005A56A5">
        <w:rPr>
          <w:rFonts w:ascii="Helvetica" w:eastAsia="Times New Roman" w:hAnsi="Helvetica" w:cs="Helvetica"/>
          <w:color w:val="575757"/>
          <w:kern w:val="0"/>
          <w:sz w:val="24"/>
          <w:szCs w:val="24"/>
          <w:lang w:val="bg-BG"/>
          <w14:ligatures w14:val="none"/>
        </w:rPr>
        <w:t>обсъди препратка в параграф</w:t>
      </w:r>
      <w:r w:rsidRPr="005A56A5">
        <w:rPr>
          <w:rFonts w:ascii="Helvetica" w:eastAsia="Times New Roman" w:hAnsi="Helvetica" w:cs="Helvetica"/>
          <w:color w:val="575757"/>
          <w:kern w:val="0"/>
          <w:sz w:val="24"/>
          <w:szCs w:val="24"/>
          <w:lang w:val="bg-BG"/>
          <w14:ligatures w14:val="none"/>
        </w:rPr>
        <w:t xml:space="preserve"> </w:t>
      </w:r>
      <w:r w:rsidR="00D73400" w:rsidRPr="005A56A5">
        <w:rPr>
          <w:rFonts w:ascii="Helvetica" w:eastAsia="Times New Roman" w:hAnsi="Helvetica" w:cs="Helvetica"/>
          <w:color w:val="575757"/>
          <w:kern w:val="0"/>
          <w:sz w:val="24"/>
          <w:szCs w:val="24"/>
          <w:lang w:val="bg-BG"/>
          <w14:ligatures w14:val="none"/>
        </w:rPr>
        <w:t>Б</w:t>
      </w:r>
      <w:r w:rsidRPr="005A56A5">
        <w:rPr>
          <w:rFonts w:ascii="Helvetica" w:eastAsia="Times New Roman" w:hAnsi="Helvetica" w:cs="Helvetica"/>
          <w:color w:val="575757"/>
          <w:kern w:val="0"/>
          <w:sz w:val="24"/>
          <w:szCs w:val="24"/>
          <w:lang w:val="bg-BG"/>
          <w14:ligatures w14:val="none"/>
        </w:rPr>
        <w:t xml:space="preserve">38 </w:t>
      </w:r>
      <w:r w:rsidR="00D73400" w:rsidRPr="005A56A5">
        <w:rPr>
          <w:rFonts w:ascii="Helvetica" w:eastAsia="Times New Roman" w:hAnsi="Helvetica" w:cs="Helvetica"/>
          <w:color w:val="575757"/>
          <w:kern w:val="0"/>
          <w:sz w:val="24"/>
          <w:szCs w:val="24"/>
          <w:lang w:val="bg-BG"/>
          <w14:ligatures w14:val="none"/>
        </w:rPr>
        <w:t>от</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Pr="005A56A5">
        <w:rPr>
          <w:rFonts w:ascii="Helvetica" w:eastAsia="Times New Roman" w:hAnsi="Helvetica" w:cs="Helvetica"/>
          <w:color w:val="575757"/>
          <w:kern w:val="0"/>
          <w:sz w:val="24"/>
          <w:szCs w:val="24"/>
          <w:lang w:val="bg-BG"/>
          <w14:ligatures w14:val="none"/>
        </w:rPr>
        <w:t xml:space="preserve"> 7 </w:t>
      </w:r>
      <w:r w:rsidR="00D73400" w:rsidRPr="005A56A5">
        <w:rPr>
          <w:rFonts w:ascii="Helvetica" w:eastAsia="Times New Roman" w:hAnsi="Helvetica" w:cs="Helvetica"/>
          <w:color w:val="575757"/>
          <w:kern w:val="0"/>
          <w:sz w:val="24"/>
          <w:szCs w:val="24"/>
          <w:lang w:val="bg-BG"/>
          <w14:ligatures w14:val="none"/>
        </w:rPr>
        <w:t>към параграф</w:t>
      </w:r>
      <w:r w:rsidRPr="005A56A5">
        <w:rPr>
          <w:rFonts w:ascii="Helvetica" w:eastAsia="Times New Roman" w:hAnsi="Helvetica" w:cs="Helvetica"/>
          <w:color w:val="575757"/>
          <w:kern w:val="0"/>
          <w:sz w:val="24"/>
          <w:szCs w:val="24"/>
          <w:lang w:val="bg-BG"/>
          <w14:ligatures w14:val="none"/>
        </w:rPr>
        <w:t xml:space="preserve"> 27A, </w:t>
      </w:r>
      <w:r w:rsidR="00697AA6" w:rsidRPr="005A56A5">
        <w:rPr>
          <w:rFonts w:ascii="Helvetica" w:eastAsia="Times New Roman" w:hAnsi="Helvetica" w:cs="Helvetica"/>
          <w:color w:val="575757"/>
          <w:kern w:val="0"/>
          <w:sz w:val="24"/>
          <w:szCs w:val="24"/>
          <w:lang w:val="bg-BG"/>
          <w14:ligatures w14:val="none"/>
        </w:rPr>
        <w:t>който е заличен от</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Pr="005A56A5">
        <w:rPr>
          <w:rFonts w:ascii="Helvetica" w:eastAsia="Times New Roman" w:hAnsi="Helvetica" w:cs="Helvetica"/>
          <w:color w:val="575757"/>
          <w:kern w:val="0"/>
          <w:sz w:val="24"/>
          <w:szCs w:val="24"/>
          <w:lang w:val="bg-BG"/>
          <w14:ligatures w14:val="none"/>
        </w:rPr>
        <w:t xml:space="preserve"> 7.</w:t>
      </w:r>
    </w:p>
    <w:p w14:paraId="7E306A35" w14:textId="3599C0EC" w:rsidR="00780FA7" w:rsidRPr="005A56A5" w:rsidRDefault="00683D1B"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22675EA1" w14:textId="0DEBA669" w:rsidR="00780FA7" w:rsidRPr="005A56A5" w:rsidRDefault="00697AA6" w:rsidP="00780FA7">
      <w:pPr>
        <w:numPr>
          <w:ilvl w:val="0"/>
          <w:numId w:val="25"/>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предложи изменения в параграф Б</w:t>
      </w:r>
      <w:r w:rsidR="00780FA7" w:rsidRPr="005A56A5">
        <w:rPr>
          <w:rFonts w:ascii="Helvetica" w:eastAsia="Times New Roman" w:hAnsi="Helvetica" w:cs="Helvetica"/>
          <w:color w:val="575757"/>
          <w:kern w:val="0"/>
          <w:sz w:val="24"/>
          <w:szCs w:val="24"/>
          <w:lang w:val="bg-BG"/>
          <w14:ligatures w14:val="none"/>
        </w:rPr>
        <w:t xml:space="preserve">38 </w:t>
      </w:r>
      <w:r w:rsidRPr="005A56A5">
        <w:rPr>
          <w:rFonts w:ascii="Helvetica" w:eastAsia="Times New Roman" w:hAnsi="Helvetica" w:cs="Helvetica"/>
          <w:color w:val="575757"/>
          <w:kern w:val="0"/>
          <w:sz w:val="24"/>
          <w:szCs w:val="24"/>
          <w:lang w:val="bg-BG"/>
          <w14:ligatures w14:val="none"/>
        </w:rPr>
        <w:t>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7:</w:t>
      </w:r>
    </w:p>
    <w:p w14:paraId="72A60533" w14:textId="06A70CD3" w:rsidR="00780FA7" w:rsidRPr="005A56A5" w:rsidRDefault="00697AA6" w:rsidP="00780FA7">
      <w:pPr>
        <w:numPr>
          <w:ilvl w:val="1"/>
          <w:numId w:val="25"/>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замени препратката към параграф</w:t>
      </w:r>
      <w:r w:rsidR="00780FA7" w:rsidRPr="005A56A5">
        <w:rPr>
          <w:rFonts w:ascii="Helvetica" w:eastAsia="Times New Roman" w:hAnsi="Helvetica" w:cs="Helvetica"/>
          <w:color w:val="575757"/>
          <w:kern w:val="0"/>
          <w:sz w:val="24"/>
          <w:szCs w:val="24"/>
          <w:lang w:val="bg-BG"/>
          <w14:ligatures w14:val="none"/>
        </w:rPr>
        <w:t xml:space="preserve"> 27A </w:t>
      </w:r>
      <w:r w:rsidRPr="005A56A5">
        <w:rPr>
          <w:rFonts w:ascii="Helvetica" w:eastAsia="Times New Roman" w:hAnsi="Helvetica" w:cs="Helvetica"/>
          <w:color w:val="575757"/>
          <w:kern w:val="0"/>
          <w:sz w:val="24"/>
          <w:szCs w:val="24"/>
          <w:lang w:val="bg-BG"/>
          <w14:ligatures w14:val="none"/>
        </w:rPr>
        <w:t>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7 </w:t>
      </w:r>
      <w:r w:rsidRPr="005A56A5">
        <w:rPr>
          <w:rFonts w:ascii="Helvetica" w:eastAsia="Times New Roman" w:hAnsi="Helvetica" w:cs="Helvetica"/>
          <w:color w:val="575757"/>
          <w:kern w:val="0"/>
          <w:sz w:val="24"/>
          <w:szCs w:val="24"/>
          <w:lang w:val="bg-BG"/>
          <w14:ligatures w14:val="none"/>
        </w:rPr>
        <w:t>с препратка към параграфи</w:t>
      </w:r>
      <w:r w:rsidR="00780FA7" w:rsidRPr="005A56A5">
        <w:rPr>
          <w:rFonts w:ascii="Helvetica" w:eastAsia="Times New Roman" w:hAnsi="Helvetica" w:cs="Helvetica"/>
          <w:color w:val="575757"/>
          <w:kern w:val="0"/>
          <w:sz w:val="24"/>
          <w:szCs w:val="24"/>
          <w:lang w:val="bg-BG"/>
          <w14:ligatures w14:val="none"/>
        </w:rPr>
        <w:t xml:space="preserve"> 72–73 </w:t>
      </w:r>
      <w:r w:rsidRPr="005A56A5">
        <w:rPr>
          <w:rFonts w:ascii="Helvetica" w:eastAsia="Times New Roman" w:hAnsi="Helvetica" w:cs="Helvetica"/>
          <w:color w:val="575757"/>
          <w:kern w:val="0"/>
          <w:sz w:val="24"/>
          <w:szCs w:val="24"/>
          <w:lang w:val="bg-BG"/>
          <w14:ligatures w14:val="none"/>
        </w:rPr>
        <w:t>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13; </w:t>
      </w:r>
      <w:r w:rsidRPr="005A56A5">
        <w:rPr>
          <w:rFonts w:ascii="Helvetica" w:eastAsia="Times New Roman" w:hAnsi="Helvetica" w:cs="Helvetica"/>
          <w:color w:val="575757"/>
          <w:kern w:val="0"/>
          <w:sz w:val="24"/>
          <w:szCs w:val="24"/>
          <w:lang w:val="bg-BG"/>
          <w14:ligatures w14:val="none"/>
        </w:rPr>
        <w:t>и</w:t>
      </w:r>
    </w:p>
    <w:p w14:paraId="66227700" w14:textId="33351618" w:rsidR="00780FA7" w:rsidRPr="005A56A5" w:rsidRDefault="00697AA6" w:rsidP="00697AA6">
      <w:pPr>
        <w:numPr>
          <w:ilvl w:val="1"/>
          <w:numId w:val="25"/>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замени фразата</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„информация, която не се е основавала на данни от наблюдаван пазар“ с „ненаблюдаема входяща информация“</w:t>
      </w:r>
      <w:r w:rsidR="00780FA7" w:rsidRPr="005A56A5">
        <w:rPr>
          <w:rFonts w:ascii="Helvetica" w:eastAsia="Times New Roman" w:hAnsi="Helvetica" w:cs="Helvetica"/>
          <w:color w:val="575757"/>
          <w:kern w:val="0"/>
          <w:sz w:val="24"/>
          <w:szCs w:val="24"/>
          <w:lang w:val="bg-BG"/>
          <w14:ligatures w14:val="none"/>
        </w:rPr>
        <w:t>;</w:t>
      </w:r>
    </w:p>
    <w:p w14:paraId="533C3668" w14:textId="18404660" w:rsidR="00780FA7" w:rsidRPr="005A56A5" w:rsidRDefault="00F7383B" w:rsidP="00780FA7">
      <w:pPr>
        <w:numPr>
          <w:ilvl w:val="0"/>
          <w:numId w:val="25"/>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не разработва специфични изисквания за преход по отношение на така предложените изменения</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и</w:t>
      </w:r>
    </w:p>
    <w:p w14:paraId="480013D7" w14:textId="204D9590" w:rsidR="00780FA7" w:rsidRPr="005A56A5" w:rsidRDefault="00D73400" w:rsidP="00780FA7">
      <w:pPr>
        <w:numPr>
          <w:ilvl w:val="0"/>
          <w:numId w:val="25"/>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включи така предложените изменения в следващия си цикъл на годишни подобрения</w:t>
      </w:r>
      <w:r w:rsidR="00780FA7" w:rsidRPr="005A56A5">
        <w:rPr>
          <w:rFonts w:ascii="Helvetica" w:eastAsia="Times New Roman" w:hAnsi="Helvetica" w:cs="Helvetica"/>
          <w:color w:val="575757"/>
          <w:kern w:val="0"/>
          <w:sz w:val="24"/>
          <w:szCs w:val="24"/>
          <w:lang w:val="bg-BG"/>
          <w14:ligatures w14:val="none"/>
        </w:rPr>
        <w:t>.</w:t>
      </w:r>
    </w:p>
    <w:p w14:paraId="4605F3B3" w14:textId="6917491B"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6D62F6A3" w14:textId="56D66186" w:rsidR="00780FA7" w:rsidRPr="005A56A5" w:rsidRDefault="00F7383B" w:rsidP="00780FA7">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5A56A5">
        <w:rPr>
          <w:rFonts w:ascii="Helvetica" w:eastAsia="Times New Roman" w:hAnsi="Helvetica" w:cs="Helvetica"/>
          <w:b/>
          <w:bCs/>
          <w:color w:val="CD3333"/>
          <w:kern w:val="0"/>
          <w:sz w:val="26"/>
          <w:szCs w:val="26"/>
          <w:lang w:val="bg-BG"/>
          <w14:ligatures w14:val="none"/>
        </w:rPr>
        <w:t>Оповестяване на кредитния риск</w:t>
      </w:r>
      <w:r w:rsidR="00780FA7" w:rsidRPr="005A56A5">
        <w:rPr>
          <w:rFonts w:ascii="Helvetica" w:eastAsia="Times New Roman" w:hAnsi="Helvetica" w:cs="Helvetica"/>
          <w:b/>
          <w:bCs/>
          <w:color w:val="CD3333"/>
          <w:kern w:val="0"/>
          <w:sz w:val="26"/>
          <w:szCs w:val="26"/>
          <w:lang w:val="bg-BG"/>
          <w14:ligatures w14:val="none"/>
        </w:rPr>
        <w:t>—</w:t>
      </w:r>
      <w:r w:rsidRPr="005A56A5">
        <w:rPr>
          <w:lang w:val="bg-BG"/>
        </w:rPr>
        <w:t xml:space="preserve"> </w:t>
      </w:r>
      <w:r w:rsidRPr="005A56A5">
        <w:rPr>
          <w:rFonts w:ascii="Helvetica" w:eastAsia="Times New Roman" w:hAnsi="Helvetica" w:cs="Helvetica"/>
          <w:b/>
          <w:bCs/>
          <w:color w:val="CD3333"/>
          <w:kern w:val="0"/>
          <w:sz w:val="26"/>
          <w:szCs w:val="26"/>
          <w:lang w:val="bg-BG"/>
          <w14:ligatures w14:val="none"/>
        </w:rPr>
        <w:t xml:space="preserve">потенциално годишно подобрение </w:t>
      </w:r>
      <w:r w:rsidR="00780FA7" w:rsidRPr="005A56A5">
        <w:rPr>
          <w:rFonts w:ascii="Helvetica" w:eastAsia="Times New Roman" w:hAnsi="Helvetica" w:cs="Helvetica"/>
          <w:b/>
          <w:bCs/>
          <w:color w:val="CD3333"/>
          <w:kern w:val="0"/>
          <w:sz w:val="26"/>
          <w:szCs w:val="26"/>
          <w:lang w:val="bg-BG"/>
          <w14:ligatures w14:val="none"/>
        </w:rPr>
        <w:t>(</w:t>
      </w:r>
      <w:r w:rsidR="00D56402" w:rsidRPr="005A56A5">
        <w:rPr>
          <w:rFonts w:ascii="Helvetica" w:eastAsia="Times New Roman" w:hAnsi="Helvetica" w:cs="Helvetica"/>
          <w:b/>
          <w:bCs/>
          <w:color w:val="CD3333"/>
          <w:kern w:val="0"/>
          <w:sz w:val="26"/>
          <w:szCs w:val="26"/>
          <w:lang w:val="bg-BG"/>
          <w14:ligatures w14:val="none"/>
        </w:rPr>
        <w:t>Документ по програмата</w:t>
      </w:r>
      <w:r w:rsidR="00780FA7" w:rsidRPr="005A56A5">
        <w:rPr>
          <w:rFonts w:ascii="Helvetica" w:eastAsia="Times New Roman" w:hAnsi="Helvetica" w:cs="Helvetica"/>
          <w:b/>
          <w:bCs/>
          <w:color w:val="CD3333"/>
          <w:kern w:val="0"/>
          <w:sz w:val="26"/>
          <w:szCs w:val="26"/>
          <w:lang w:val="bg-BG"/>
          <w14:ligatures w14:val="none"/>
        </w:rPr>
        <w:t xml:space="preserve"> 12</w:t>
      </w:r>
      <w:r w:rsidRPr="005A56A5">
        <w:rPr>
          <w:rFonts w:ascii="Helvetica" w:eastAsia="Times New Roman" w:hAnsi="Helvetica" w:cs="Helvetica"/>
          <w:b/>
          <w:bCs/>
          <w:color w:val="CD3333"/>
          <w:kern w:val="0"/>
          <w:sz w:val="26"/>
          <w:szCs w:val="26"/>
          <w:lang w:val="bg-BG"/>
          <w14:ligatures w14:val="none"/>
        </w:rPr>
        <w:t xml:space="preserve"> З</w:t>
      </w:r>
      <w:r w:rsidR="00780FA7" w:rsidRPr="005A56A5">
        <w:rPr>
          <w:rFonts w:ascii="Helvetica" w:eastAsia="Times New Roman" w:hAnsi="Helvetica" w:cs="Helvetica"/>
          <w:b/>
          <w:bCs/>
          <w:color w:val="CD3333"/>
          <w:kern w:val="0"/>
          <w:sz w:val="26"/>
          <w:szCs w:val="26"/>
          <w:lang w:val="bg-BG"/>
          <w14:ligatures w14:val="none"/>
        </w:rPr>
        <w:t>)</w:t>
      </w:r>
    </w:p>
    <w:p w14:paraId="089CB88A" w14:textId="75150FBB" w:rsidR="00780FA7" w:rsidRPr="005A56A5" w:rsidRDefault="00780FA7"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 xml:space="preserve">IASB </w:t>
      </w:r>
      <w:r w:rsidR="009D5280" w:rsidRPr="005A56A5">
        <w:rPr>
          <w:rFonts w:ascii="Helvetica" w:eastAsia="Times New Roman" w:hAnsi="Helvetica" w:cs="Helvetica"/>
          <w:color w:val="575757"/>
          <w:kern w:val="0"/>
          <w:sz w:val="24"/>
          <w:szCs w:val="24"/>
          <w:lang w:val="bg-BG"/>
          <w14:ligatures w14:val="none"/>
        </w:rPr>
        <w:t>обсъди несъответствие между параграфи НП</w:t>
      </w:r>
      <w:r w:rsidRPr="005A56A5">
        <w:rPr>
          <w:rFonts w:ascii="Helvetica" w:eastAsia="Times New Roman" w:hAnsi="Helvetica" w:cs="Helvetica"/>
          <w:color w:val="575757"/>
          <w:kern w:val="0"/>
          <w:sz w:val="24"/>
          <w:szCs w:val="24"/>
          <w:lang w:val="bg-BG"/>
          <w14:ligatures w14:val="none"/>
        </w:rPr>
        <w:t>20</w:t>
      </w:r>
      <w:r w:rsidR="009D5280" w:rsidRPr="005A56A5">
        <w:rPr>
          <w:rFonts w:ascii="Helvetica" w:eastAsia="Times New Roman" w:hAnsi="Helvetica" w:cs="Helvetica"/>
          <w:color w:val="575757"/>
          <w:kern w:val="0"/>
          <w:sz w:val="24"/>
          <w:szCs w:val="24"/>
          <w:lang w:val="bg-BG"/>
          <w14:ligatures w14:val="none"/>
        </w:rPr>
        <w:t>Б</w:t>
      </w:r>
      <w:r w:rsidRPr="005A56A5">
        <w:rPr>
          <w:rFonts w:ascii="Helvetica" w:eastAsia="Times New Roman" w:hAnsi="Helvetica" w:cs="Helvetica"/>
          <w:color w:val="575757"/>
          <w:kern w:val="0"/>
          <w:sz w:val="24"/>
          <w:szCs w:val="24"/>
          <w:lang w:val="bg-BG"/>
          <w14:ligatures w14:val="none"/>
        </w:rPr>
        <w:t xml:space="preserve"> </w:t>
      </w:r>
      <w:r w:rsidR="009D5280" w:rsidRPr="005A56A5">
        <w:rPr>
          <w:rFonts w:ascii="Helvetica" w:eastAsia="Times New Roman" w:hAnsi="Helvetica" w:cs="Helvetica"/>
          <w:color w:val="575757"/>
          <w:kern w:val="0"/>
          <w:sz w:val="24"/>
          <w:szCs w:val="24"/>
          <w:lang w:val="bg-BG"/>
          <w14:ligatures w14:val="none"/>
        </w:rPr>
        <w:t>и</w:t>
      </w:r>
      <w:r w:rsidRPr="005A56A5">
        <w:rPr>
          <w:rFonts w:ascii="Helvetica" w:eastAsia="Times New Roman" w:hAnsi="Helvetica" w:cs="Helvetica"/>
          <w:color w:val="575757"/>
          <w:kern w:val="0"/>
          <w:sz w:val="24"/>
          <w:szCs w:val="24"/>
          <w:lang w:val="bg-BG"/>
          <w14:ligatures w14:val="none"/>
        </w:rPr>
        <w:t xml:space="preserve"> </w:t>
      </w:r>
      <w:r w:rsidR="009D5280" w:rsidRPr="005A56A5">
        <w:rPr>
          <w:rFonts w:ascii="Helvetica" w:eastAsia="Times New Roman" w:hAnsi="Helvetica" w:cs="Helvetica"/>
          <w:color w:val="575757"/>
          <w:kern w:val="0"/>
          <w:sz w:val="24"/>
          <w:szCs w:val="24"/>
          <w:lang w:val="bg-BG"/>
          <w14:ligatures w14:val="none"/>
        </w:rPr>
        <w:t>НП</w:t>
      </w:r>
      <w:r w:rsidRPr="005A56A5">
        <w:rPr>
          <w:rFonts w:ascii="Helvetica" w:eastAsia="Times New Roman" w:hAnsi="Helvetica" w:cs="Helvetica"/>
          <w:color w:val="575757"/>
          <w:kern w:val="0"/>
          <w:sz w:val="24"/>
          <w:szCs w:val="24"/>
          <w:lang w:val="bg-BG"/>
          <w14:ligatures w14:val="none"/>
        </w:rPr>
        <w:t>20</w:t>
      </w:r>
      <w:r w:rsidR="009D5280" w:rsidRPr="005A56A5">
        <w:rPr>
          <w:rFonts w:ascii="Helvetica" w:eastAsia="Times New Roman" w:hAnsi="Helvetica" w:cs="Helvetica"/>
          <w:color w:val="575757"/>
          <w:kern w:val="0"/>
          <w:sz w:val="24"/>
          <w:szCs w:val="24"/>
          <w:lang w:val="bg-BG"/>
          <w14:ligatures w14:val="none"/>
        </w:rPr>
        <w:t>В</w:t>
      </w:r>
      <w:r w:rsidRPr="005A56A5">
        <w:rPr>
          <w:rFonts w:ascii="Helvetica" w:eastAsia="Times New Roman" w:hAnsi="Helvetica" w:cs="Helvetica"/>
          <w:color w:val="575757"/>
          <w:kern w:val="0"/>
          <w:sz w:val="24"/>
          <w:szCs w:val="24"/>
          <w:lang w:val="bg-BG"/>
          <w14:ligatures w14:val="none"/>
        </w:rPr>
        <w:t xml:space="preserve"> </w:t>
      </w:r>
      <w:r w:rsidR="009D5280" w:rsidRPr="005A56A5">
        <w:rPr>
          <w:rFonts w:ascii="Helvetica" w:eastAsia="Times New Roman" w:hAnsi="Helvetica" w:cs="Helvetica"/>
          <w:color w:val="575757"/>
          <w:kern w:val="0"/>
          <w:sz w:val="24"/>
          <w:szCs w:val="24"/>
          <w:lang w:val="bg-BG"/>
          <w14:ligatures w14:val="none"/>
        </w:rPr>
        <w:t>от насоките за прилагане, съпътстващи</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Pr="005A56A5">
        <w:rPr>
          <w:rFonts w:ascii="Helvetica" w:eastAsia="Times New Roman" w:hAnsi="Helvetica" w:cs="Helvetica"/>
          <w:color w:val="575757"/>
          <w:kern w:val="0"/>
          <w:sz w:val="24"/>
          <w:szCs w:val="24"/>
          <w:lang w:val="bg-BG"/>
          <w14:ligatures w14:val="none"/>
        </w:rPr>
        <w:t xml:space="preserve"> 7. </w:t>
      </w:r>
      <w:r w:rsidR="009D5280" w:rsidRPr="005A56A5">
        <w:rPr>
          <w:rFonts w:ascii="Helvetica" w:eastAsia="Times New Roman" w:hAnsi="Helvetica" w:cs="Helvetica"/>
          <w:color w:val="575757"/>
          <w:kern w:val="0"/>
          <w:sz w:val="24"/>
          <w:szCs w:val="24"/>
          <w:lang w:val="bg-BG"/>
          <w14:ligatures w14:val="none"/>
        </w:rPr>
        <w:t>Параграф</w:t>
      </w:r>
      <w:r w:rsidRPr="005A56A5">
        <w:rPr>
          <w:rFonts w:ascii="Helvetica" w:eastAsia="Times New Roman" w:hAnsi="Helvetica" w:cs="Helvetica"/>
          <w:color w:val="575757"/>
          <w:kern w:val="0"/>
          <w:sz w:val="24"/>
          <w:szCs w:val="24"/>
          <w:lang w:val="bg-BG"/>
          <w14:ligatures w14:val="none"/>
        </w:rPr>
        <w:t xml:space="preserve"> </w:t>
      </w:r>
      <w:r w:rsidR="009D5280" w:rsidRPr="005A56A5">
        <w:rPr>
          <w:rFonts w:ascii="Helvetica" w:eastAsia="Times New Roman" w:hAnsi="Helvetica" w:cs="Helvetica"/>
          <w:color w:val="575757"/>
          <w:kern w:val="0"/>
          <w:sz w:val="24"/>
          <w:szCs w:val="24"/>
          <w:lang w:val="bg-BG"/>
          <w14:ligatures w14:val="none"/>
        </w:rPr>
        <w:t>НП20Б идентифицира съответните изисквания в</w:t>
      </w:r>
      <w:r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Pr="005A56A5">
        <w:rPr>
          <w:rFonts w:ascii="Helvetica" w:eastAsia="Times New Roman" w:hAnsi="Helvetica" w:cs="Helvetica"/>
          <w:color w:val="575757"/>
          <w:kern w:val="0"/>
          <w:sz w:val="24"/>
          <w:szCs w:val="24"/>
          <w:lang w:val="bg-BG"/>
          <w14:ligatures w14:val="none"/>
        </w:rPr>
        <w:t xml:space="preserve"> 7</w:t>
      </w:r>
      <w:r w:rsidR="009D5280" w:rsidRPr="005A56A5">
        <w:rPr>
          <w:rFonts w:ascii="Helvetica" w:eastAsia="Times New Roman" w:hAnsi="Helvetica" w:cs="Helvetica"/>
          <w:color w:val="575757"/>
          <w:kern w:val="0"/>
          <w:sz w:val="24"/>
          <w:szCs w:val="24"/>
          <w:lang w:val="bg-BG"/>
          <w14:ligatures w14:val="none"/>
        </w:rPr>
        <w:t>, които не са илюстрирани в примера за разлика от параграф НП20В</w:t>
      </w:r>
      <w:r w:rsidRPr="005A56A5">
        <w:rPr>
          <w:rFonts w:ascii="Helvetica" w:eastAsia="Times New Roman" w:hAnsi="Helvetica" w:cs="Helvetica"/>
          <w:color w:val="575757"/>
          <w:kern w:val="0"/>
          <w:sz w:val="24"/>
          <w:szCs w:val="24"/>
          <w:lang w:val="bg-BG"/>
          <w14:ligatures w14:val="none"/>
        </w:rPr>
        <w:t>.</w:t>
      </w:r>
    </w:p>
    <w:p w14:paraId="7F603A34" w14:textId="7D6AE702" w:rsidR="00780FA7" w:rsidRPr="005A56A5" w:rsidRDefault="00683D1B"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IASB реши в порядък на работна хипотеза</w:t>
      </w:r>
      <w:r w:rsidR="00780FA7" w:rsidRPr="005A56A5">
        <w:rPr>
          <w:rFonts w:ascii="Helvetica" w:eastAsia="Times New Roman" w:hAnsi="Helvetica" w:cs="Helvetica"/>
          <w:color w:val="575757"/>
          <w:kern w:val="0"/>
          <w:sz w:val="24"/>
          <w:szCs w:val="24"/>
          <w:lang w:val="bg-BG"/>
          <w14:ligatures w14:val="none"/>
        </w:rPr>
        <w:t>:</w:t>
      </w:r>
    </w:p>
    <w:p w14:paraId="29A5E650" w14:textId="02B47C25" w:rsidR="00780FA7" w:rsidRPr="005A56A5" w:rsidRDefault="009D5280" w:rsidP="00780FA7">
      <w:pPr>
        <w:numPr>
          <w:ilvl w:val="0"/>
          <w:numId w:val="26"/>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предложи изменение в параграф</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НП</w:t>
      </w:r>
      <w:r w:rsidR="00780FA7" w:rsidRPr="005A56A5">
        <w:rPr>
          <w:rFonts w:ascii="Helvetica" w:eastAsia="Times New Roman" w:hAnsi="Helvetica" w:cs="Helvetica"/>
          <w:color w:val="575757"/>
          <w:kern w:val="0"/>
          <w:sz w:val="24"/>
          <w:szCs w:val="24"/>
          <w:lang w:val="bg-BG"/>
          <w14:ligatures w14:val="none"/>
        </w:rPr>
        <w:t xml:space="preserve">1 </w:t>
      </w:r>
      <w:r w:rsidRPr="005A56A5">
        <w:rPr>
          <w:rFonts w:ascii="Helvetica" w:eastAsia="Times New Roman" w:hAnsi="Helvetica" w:cs="Helvetica"/>
          <w:color w:val="575757"/>
          <w:kern w:val="0"/>
          <w:sz w:val="24"/>
          <w:szCs w:val="24"/>
          <w:lang w:val="bg-BG"/>
          <w14:ligatures w14:val="none"/>
        </w:rPr>
        <w:t>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7</w:t>
      </w:r>
      <w:r w:rsidRPr="005A56A5">
        <w:rPr>
          <w:rFonts w:ascii="Helvetica" w:eastAsia="Times New Roman" w:hAnsi="Helvetica" w:cs="Helvetica"/>
          <w:color w:val="575757"/>
          <w:kern w:val="0"/>
          <w:sz w:val="24"/>
          <w:szCs w:val="24"/>
          <w:lang w:val="bg-BG"/>
          <w14:ligatures w14:val="none"/>
        </w:rPr>
        <w:t>, така че да добави изявление</w:t>
      </w:r>
      <w:bookmarkStart w:id="1" w:name="_GoBack"/>
      <w:bookmarkEnd w:id="1"/>
      <w:r w:rsidRPr="005A56A5">
        <w:rPr>
          <w:rFonts w:ascii="Helvetica" w:eastAsia="Times New Roman" w:hAnsi="Helvetica" w:cs="Helvetica"/>
          <w:color w:val="575757"/>
          <w:kern w:val="0"/>
          <w:sz w:val="24"/>
          <w:szCs w:val="24"/>
          <w:lang w:val="bg-BG"/>
          <w14:ligatures w14:val="none"/>
        </w:rPr>
        <w:t xml:space="preserve"> че насоките за прилагане, съпътстващи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7 </w:t>
      </w:r>
      <w:r w:rsidRPr="005A56A5">
        <w:rPr>
          <w:rFonts w:ascii="Helvetica" w:eastAsia="Times New Roman" w:hAnsi="Helvetica" w:cs="Helvetica"/>
          <w:color w:val="575757"/>
          <w:kern w:val="0"/>
          <w:sz w:val="24"/>
          <w:szCs w:val="24"/>
          <w:lang w:val="bg-BG"/>
          <w14:ligatures w14:val="none"/>
        </w:rPr>
        <w:t>не илюстрират всички изисквания в</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7;</w:t>
      </w:r>
    </w:p>
    <w:p w14:paraId="5C8143A2" w14:textId="40D2BC67" w:rsidR="00780FA7" w:rsidRPr="005A56A5" w:rsidRDefault="009D5280" w:rsidP="00780FA7">
      <w:pPr>
        <w:numPr>
          <w:ilvl w:val="0"/>
          <w:numId w:val="26"/>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предложи изменение в параграф</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НП</w:t>
      </w:r>
      <w:r w:rsidR="00780FA7" w:rsidRPr="005A56A5">
        <w:rPr>
          <w:rFonts w:ascii="Helvetica" w:eastAsia="Times New Roman" w:hAnsi="Helvetica" w:cs="Helvetica"/>
          <w:color w:val="575757"/>
          <w:kern w:val="0"/>
          <w:sz w:val="24"/>
          <w:szCs w:val="24"/>
          <w:lang w:val="bg-BG"/>
          <w14:ligatures w14:val="none"/>
        </w:rPr>
        <w:t>20</w:t>
      </w:r>
      <w:r w:rsidRPr="005A56A5">
        <w:rPr>
          <w:rFonts w:ascii="Helvetica" w:eastAsia="Times New Roman" w:hAnsi="Helvetica" w:cs="Helvetica"/>
          <w:color w:val="575757"/>
          <w:kern w:val="0"/>
          <w:sz w:val="24"/>
          <w:szCs w:val="24"/>
          <w:lang w:val="bg-BG"/>
          <w14:ligatures w14:val="none"/>
        </w:rPr>
        <w:t>Б от</w:t>
      </w:r>
      <w:r w:rsidR="00780FA7" w:rsidRPr="005A56A5">
        <w:rPr>
          <w:rFonts w:ascii="Helvetica" w:eastAsia="Times New Roman" w:hAnsi="Helvetica" w:cs="Helvetica"/>
          <w:color w:val="575757"/>
          <w:kern w:val="0"/>
          <w:sz w:val="24"/>
          <w:szCs w:val="24"/>
          <w:lang w:val="bg-BG"/>
          <w14:ligatures w14:val="none"/>
        </w:rPr>
        <w:t xml:space="preserve"> </w:t>
      </w:r>
      <w:r w:rsidR="00127BAB" w:rsidRPr="005A56A5">
        <w:rPr>
          <w:rFonts w:ascii="Helvetica" w:eastAsia="Times New Roman" w:hAnsi="Helvetica" w:cs="Helvetica"/>
          <w:color w:val="575757"/>
          <w:kern w:val="0"/>
          <w:sz w:val="24"/>
          <w:szCs w:val="24"/>
          <w:lang w:val="bg-BG"/>
          <w14:ligatures w14:val="none"/>
        </w:rPr>
        <w:t>МСФО</w:t>
      </w:r>
      <w:r w:rsidR="00780FA7" w:rsidRPr="005A56A5">
        <w:rPr>
          <w:rFonts w:ascii="Helvetica" w:eastAsia="Times New Roman" w:hAnsi="Helvetica" w:cs="Helvetica"/>
          <w:color w:val="575757"/>
          <w:kern w:val="0"/>
          <w:sz w:val="24"/>
          <w:szCs w:val="24"/>
          <w:lang w:val="bg-BG"/>
          <w14:ligatures w14:val="none"/>
        </w:rPr>
        <w:t xml:space="preserve"> 7</w:t>
      </w:r>
      <w:r w:rsidRPr="005A56A5">
        <w:rPr>
          <w:rFonts w:ascii="Helvetica" w:eastAsia="Times New Roman" w:hAnsi="Helvetica" w:cs="Helvetica"/>
          <w:color w:val="575757"/>
          <w:kern w:val="0"/>
          <w:sz w:val="24"/>
          <w:szCs w:val="24"/>
          <w:lang w:val="bg-BG"/>
          <w14:ligatures w14:val="none"/>
        </w:rPr>
        <w:t>, за да опрости формулировката</w:t>
      </w:r>
      <w:r w:rsidR="00780FA7" w:rsidRPr="005A56A5">
        <w:rPr>
          <w:rFonts w:ascii="Helvetica" w:eastAsia="Times New Roman" w:hAnsi="Helvetica" w:cs="Helvetica"/>
          <w:color w:val="575757"/>
          <w:kern w:val="0"/>
          <w:sz w:val="24"/>
          <w:szCs w:val="24"/>
          <w:lang w:val="bg-BG"/>
          <w14:ligatures w14:val="none"/>
        </w:rPr>
        <w:t xml:space="preserve">; </w:t>
      </w:r>
      <w:r w:rsidRPr="005A56A5">
        <w:rPr>
          <w:rFonts w:ascii="Helvetica" w:eastAsia="Times New Roman" w:hAnsi="Helvetica" w:cs="Helvetica"/>
          <w:color w:val="575757"/>
          <w:kern w:val="0"/>
          <w:sz w:val="24"/>
          <w:szCs w:val="24"/>
          <w:lang w:val="bg-BG"/>
          <w14:ligatures w14:val="none"/>
        </w:rPr>
        <w:t>и</w:t>
      </w:r>
    </w:p>
    <w:p w14:paraId="660C7D02" w14:textId="5FA03F04" w:rsidR="00780FA7" w:rsidRPr="005A56A5" w:rsidRDefault="00D73400" w:rsidP="00780FA7">
      <w:pPr>
        <w:numPr>
          <w:ilvl w:val="0"/>
          <w:numId w:val="26"/>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t>да включи така предложените изменения в следващия си цикъл на годишни подобрения</w:t>
      </w:r>
      <w:r w:rsidR="00780FA7" w:rsidRPr="005A56A5">
        <w:rPr>
          <w:rFonts w:ascii="Helvetica" w:eastAsia="Times New Roman" w:hAnsi="Helvetica" w:cs="Helvetica"/>
          <w:color w:val="575757"/>
          <w:kern w:val="0"/>
          <w:sz w:val="24"/>
          <w:szCs w:val="24"/>
          <w:lang w:val="bg-BG"/>
          <w14:ligatures w14:val="none"/>
        </w:rPr>
        <w:t>.</w:t>
      </w:r>
    </w:p>
    <w:p w14:paraId="0824A9CB" w14:textId="20C9ED92" w:rsidR="00780FA7" w:rsidRPr="005A56A5" w:rsidRDefault="00EC703C" w:rsidP="00780FA7">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5A56A5">
        <w:rPr>
          <w:rFonts w:ascii="Helvetica" w:eastAsia="Times New Roman" w:hAnsi="Helvetica" w:cs="Helvetica"/>
          <w:color w:val="575757"/>
          <w:kern w:val="0"/>
          <w:sz w:val="24"/>
          <w:szCs w:val="24"/>
          <w:lang w:val="bg-BG"/>
          <w14:ligatures w14:val="none"/>
        </w:rPr>
        <w:lastRenderedPageBreak/>
        <w:t>Всичките дванадесет членове на IASB изразиха съгласие с тези решения</w:t>
      </w:r>
      <w:r w:rsidR="00780FA7" w:rsidRPr="005A56A5">
        <w:rPr>
          <w:rFonts w:ascii="Helvetica" w:eastAsia="Times New Roman" w:hAnsi="Helvetica" w:cs="Helvetica"/>
          <w:color w:val="575757"/>
          <w:kern w:val="0"/>
          <w:sz w:val="24"/>
          <w:szCs w:val="24"/>
          <w:lang w:val="bg-BG"/>
          <w14:ligatures w14:val="none"/>
        </w:rPr>
        <w:t>.</w:t>
      </w:r>
    </w:p>
    <w:p w14:paraId="6FB186DD" w14:textId="77777777" w:rsidR="007F2489" w:rsidRPr="005A56A5" w:rsidRDefault="007F2489">
      <w:pPr>
        <w:rPr>
          <w:lang w:val="bg-BG"/>
        </w:rPr>
      </w:pPr>
    </w:p>
    <w:sectPr w:rsidR="007F2489" w:rsidRPr="005A56A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0FE8"/>
    <w:multiLevelType w:val="multilevel"/>
    <w:tmpl w:val="F72CEED0"/>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B832E0"/>
    <w:multiLevelType w:val="multilevel"/>
    <w:tmpl w:val="D628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32204"/>
    <w:multiLevelType w:val="multilevel"/>
    <w:tmpl w:val="AC98DBFE"/>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A431C1"/>
    <w:multiLevelType w:val="multilevel"/>
    <w:tmpl w:val="EE26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F3731"/>
    <w:multiLevelType w:val="multilevel"/>
    <w:tmpl w:val="218433A4"/>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255995"/>
    <w:multiLevelType w:val="multilevel"/>
    <w:tmpl w:val="DB1C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90B7A"/>
    <w:multiLevelType w:val="multilevel"/>
    <w:tmpl w:val="E892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E5E83"/>
    <w:multiLevelType w:val="multilevel"/>
    <w:tmpl w:val="441E7EC4"/>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F0372E"/>
    <w:multiLevelType w:val="multilevel"/>
    <w:tmpl w:val="3BE09214"/>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E14610"/>
    <w:multiLevelType w:val="multilevel"/>
    <w:tmpl w:val="0F5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C6CD9"/>
    <w:multiLevelType w:val="multilevel"/>
    <w:tmpl w:val="EA380EA6"/>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1C676A"/>
    <w:multiLevelType w:val="multilevel"/>
    <w:tmpl w:val="B02C04A8"/>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BA4AF5"/>
    <w:multiLevelType w:val="multilevel"/>
    <w:tmpl w:val="7346B05E"/>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D3B3330"/>
    <w:multiLevelType w:val="multilevel"/>
    <w:tmpl w:val="5888BCAA"/>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A51694"/>
    <w:multiLevelType w:val="multilevel"/>
    <w:tmpl w:val="87A66EE6"/>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87A3BFF"/>
    <w:multiLevelType w:val="multilevel"/>
    <w:tmpl w:val="D518A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E903B95"/>
    <w:multiLevelType w:val="multilevel"/>
    <w:tmpl w:val="CD388EE8"/>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A91E13"/>
    <w:multiLevelType w:val="multilevel"/>
    <w:tmpl w:val="8438D648"/>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A621931"/>
    <w:multiLevelType w:val="multilevel"/>
    <w:tmpl w:val="15CECA98"/>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ACC0E9D"/>
    <w:multiLevelType w:val="multilevel"/>
    <w:tmpl w:val="7A020C10"/>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E4D6B3A"/>
    <w:multiLevelType w:val="multilevel"/>
    <w:tmpl w:val="7BB447B8"/>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FEC33CC"/>
    <w:multiLevelType w:val="multilevel"/>
    <w:tmpl w:val="96A0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52581"/>
    <w:multiLevelType w:val="multilevel"/>
    <w:tmpl w:val="67E8AF0C"/>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6EE5AFD"/>
    <w:multiLevelType w:val="multilevel"/>
    <w:tmpl w:val="9C32D90E"/>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79A1569"/>
    <w:multiLevelType w:val="multilevel"/>
    <w:tmpl w:val="0468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DD2C75"/>
    <w:multiLevelType w:val="multilevel"/>
    <w:tmpl w:val="01846BDE"/>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9"/>
  </w:num>
  <w:num w:numId="3">
    <w:abstractNumId w:val="21"/>
  </w:num>
  <w:num w:numId="4">
    <w:abstractNumId w:val="6"/>
  </w:num>
  <w:num w:numId="5">
    <w:abstractNumId w:val="5"/>
  </w:num>
  <w:num w:numId="6">
    <w:abstractNumId w:val="23"/>
  </w:num>
  <w:num w:numId="7">
    <w:abstractNumId w:val="0"/>
  </w:num>
  <w:num w:numId="8">
    <w:abstractNumId w:val="18"/>
  </w:num>
  <w:num w:numId="9">
    <w:abstractNumId w:val="15"/>
  </w:num>
  <w:num w:numId="10">
    <w:abstractNumId w:val="22"/>
  </w:num>
  <w:num w:numId="11">
    <w:abstractNumId w:val="1"/>
  </w:num>
  <w:num w:numId="12">
    <w:abstractNumId w:val="19"/>
  </w:num>
  <w:num w:numId="13">
    <w:abstractNumId w:val="11"/>
  </w:num>
  <w:num w:numId="14">
    <w:abstractNumId w:val="25"/>
  </w:num>
  <w:num w:numId="15">
    <w:abstractNumId w:val="8"/>
  </w:num>
  <w:num w:numId="16">
    <w:abstractNumId w:val="4"/>
  </w:num>
  <w:num w:numId="17">
    <w:abstractNumId w:val="3"/>
  </w:num>
  <w:num w:numId="18">
    <w:abstractNumId w:val="16"/>
  </w:num>
  <w:num w:numId="19">
    <w:abstractNumId w:val="7"/>
  </w:num>
  <w:num w:numId="20">
    <w:abstractNumId w:val="12"/>
  </w:num>
  <w:num w:numId="21">
    <w:abstractNumId w:val="10"/>
  </w:num>
  <w:num w:numId="22">
    <w:abstractNumId w:val="20"/>
  </w:num>
  <w:num w:numId="23">
    <w:abstractNumId w:val="14"/>
  </w:num>
  <w:num w:numId="24">
    <w:abstractNumId w:val="17"/>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A7"/>
    <w:rsid w:val="0001307C"/>
    <w:rsid w:val="0003711A"/>
    <w:rsid w:val="00081EFA"/>
    <w:rsid w:val="000A3C8A"/>
    <w:rsid w:val="000D5769"/>
    <w:rsid w:val="00127BAB"/>
    <w:rsid w:val="0014158A"/>
    <w:rsid w:val="001F6B64"/>
    <w:rsid w:val="00211453"/>
    <w:rsid w:val="00292CB5"/>
    <w:rsid w:val="00360734"/>
    <w:rsid w:val="003900A1"/>
    <w:rsid w:val="00393FBA"/>
    <w:rsid w:val="003B466F"/>
    <w:rsid w:val="003C1E38"/>
    <w:rsid w:val="00420F9E"/>
    <w:rsid w:val="00426008"/>
    <w:rsid w:val="004353F2"/>
    <w:rsid w:val="00480C0B"/>
    <w:rsid w:val="004B3277"/>
    <w:rsid w:val="004E43F4"/>
    <w:rsid w:val="0054022C"/>
    <w:rsid w:val="00543EC9"/>
    <w:rsid w:val="00594EA4"/>
    <w:rsid w:val="005A56A5"/>
    <w:rsid w:val="00616598"/>
    <w:rsid w:val="00635E18"/>
    <w:rsid w:val="006822F9"/>
    <w:rsid w:val="00683D1B"/>
    <w:rsid w:val="00697AA6"/>
    <w:rsid w:val="006A6273"/>
    <w:rsid w:val="006F4F99"/>
    <w:rsid w:val="00701905"/>
    <w:rsid w:val="007546DD"/>
    <w:rsid w:val="00780FA7"/>
    <w:rsid w:val="007E545F"/>
    <w:rsid w:val="007F2489"/>
    <w:rsid w:val="00856857"/>
    <w:rsid w:val="008F3026"/>
    <w:rsid w:val="00924C84"/>
    <w:rsid w:val="00925C35"/>
    <w:rsid w:val="0099088D"/>
    <w:rsid w:val="009D5280"/>
    <w:rsid w:val="00A04C0E"/>
    <w:rsid w:val="00A330FE"/>
    <w:rsid w:val="00AB5C34"/>
    <w:rsid w:val="00AF6724"/>
    <w:rsid w:val="00B53AF7"/>
    <w:rsid w:val="00B7512C"/>
    <w:rsid w:val="00BC2206"/>
    <w:rsid w:val="00C00EB1"/>
    <w:rsid w:val="00CD6DB2"/>
    <w:rsid w:val="00D56402"/>
    <w:rsid w:val="00D56B74"/>
    <w:rsid w:val="00D6195F"/>
    <w:rsid w:val="00D73400"/>
    <w:rsid w:val="00D74B95"/>
    <w:rsid w:val="00D75DEC"/>
    <w:rsid w:val="00D958A4"/>
    <w:rsid w:val="00DC0F07"/>
    <w:rsid w:val="00E4395D"/>
    <w:rsid w:val="00E81376"/>
    <w:rsid w:val="00E8677E"/>
    <w:rsid w:val="00EC703C"/>
    <w:rsid w:val="00ED20B1"/>
    <w:rsid w:val="00F0060A"/>
    <w:rsid w:val="00F449B5"/>
    <w:rsid w:val="00F60F8E"/>
    <w:rsid w:val="00F65B06"/>
    <w:rsid w:val="00F7383B"/>
    <w:rsid w:val="00FC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FF25"/>
  <w15:chartTrackingRefBased/>
  <w15:docId w15:val="{58D9B77D-D3CF-4D53-93AB-4BEA3B0B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402"/>
    <w:rPr>
      <w:color w:val="0563C1" w:themeColor="hyperlink"/>
      <w:u w:val="single"/>
    </w:rPr>
  </w:style>
  <w:style w:type="character" w:customStyle="1" w:styleId="UnresolvedMention">
    <w:name w:val="Unresolved Mention"/>
    <w:basedOn w:val="DefaultParagraphFont"/>
    <w:uiPriority w:val="99"/>
    <w:semiHidden/>
    <w:unhideWhenUsed/>
    <w:rsid w:val="00D56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455351">
      <w:bodyDiv w:val="1"/>
      <w:marLeft w:val="0"/>
      <w:marRight w:val="0"/>
      <w:marTop w:val="0"/>
      <w:marBottom w:val="0"/>
      <w:divBdr>
        <w:top w:val="none" w:sz="0" w:space="0" w:color="auto"/>
        <w:left w:val="none" w:sz="0" w:space="0" w:color="auto"/>
        <w:bottom w:val="none" w:sz="0" w:space="0" w:color="auto"/>
        <w:right w:val="none" w:sz="0" w:space="0" w:color="auto"/>
      </w:divBdr>
    </w:div>
    <w:div w:id="1761020753">
      <w:bodyDiv w:val="1"/>
      <w:marLeft w:val="0"/>
      <w:marRight w:val="0"/>
      <w:marTop w:val="0"/>
      <w:marBottom w:val="0"/>
      <w:divBdr>
        <w:top w:val="none" w:sz="0" w:space="0" w:color="auto"/>
        <w:left w:val="none" w:sz="0" w:space="0" w:color="auto"/>
        <w:bottom w:val="none" w:sz="0" w:space="0" w:color="auto"/>
        <w:right w:val="none" w:sz="0" w:space="0" w:color="auto"/>
      </w:divBdr>
      <w:divsChild>
        <w:div w:id="1401824063">
          <w:marLeft w:val="0"/>
          <w:marRight w:val="0"/>
          <w:marTop w:val="0"/>
          <w:marBottom w:val="0"/>
          <w:divBdr>
            <w:top w:val="none" w:sz="0" w:space="0" w:color="auto"/>
            <w:left w:val="none" w:sz="0" w:space="0" w:color="auto"/>
            <w:bottom w:val="none" w:sz="0" w:space="0" w:color="auto"/>
            <w:right w:val="none" w:sz="0" w:space="0" w:color="auto"/>
          </w:divBdr>
          <w:divsChild>
            <w:div w:id="357005049">
              <w:marLeft w:val="0"/>
              <w:marRight w:val="0"/>
              <w:marTop w:val="0"/>
              <w:marBottom w:val="0"/>
              <w:divBdr>
                <w:top w:val="none" w:sz="0" w:space="0" w:color="auto"/>
                <w:left w:val="none" w:sz="0" w:space="0" w:color="auto"/>
                <w:bottom w:val="none" w:sz="0" w:space="0" w:color="auto"/>
                <w:right w:val="none" w:sz="0" w:space="0" w:color="auto"/>
              </w:divBdr>
              <w:divsChild>
                <w:div w:id="303386740">
                  <w:marLeft w:val="-225"/>
                  <w:marRight w:val="-225"/>
                  <w:marTop w:val="0"/>
                  <w:marBottom w:val="0"/>
                  <w:divBdr>
                    <w:top w:val="none" w:sz="0" w:space="0" w:color="auto"/>
                    <w:left w:val="none" w:sz="0" w:space="0" w:color="auto"/>
                    <w:bottom w:val="none" w:sz="0" w:space="0" w:color="auto"/>
                    <w:right w:val="none" w:sz="0" w:space="0" w:color="auto"/>
                  </w:divBdr>
                  <w:divsChild>
                    <w:div w:id="1618294477">
                      <w:marLeft w:val="0"/>
                      <w:marRight w:val="0"/>
                      <w:marTop w:val="0"/>
                      <w:marBottom w:val="0"/>
                      <w:divBdr>
                        <w:top w:val="none" w:sz="0" w:space="0" w:color="auto"/>
                        <w:left w:val="none" w:sz="0" w:space="0" w:color="auto"/>
                        <w:bottom w:val="none" w:sz="0" w:space="0" w:color="auto"/>
                        <w:right w:val="none" w:sz="0" w:space="0" w:color="auto"/>
                      </w:divBdr>
                      <w:divsChild>
                        <w:div w:id="196627434">
                          <w:marLeft w:val="0"/>
                          <w:marRight w:val="0"/>
                          <w:marTop w:val="0"/>
                          <w:marBottom w:val="0"/>
                          <w:divBdr>
                            <w:top w:val="none" w:sz="0" w:space="0" w:color="auto"/>
                            <w:left w:val="none" w:sz="0" w:space="0" w:color="auto"/>
                            <w:bottom w:val="none" w:sz="0" w:space="0" w:color="auto"/>
                            <w:right w:val="none" w:sz="0" w:space="0" w:color="auto"/>
                          </w:divBdr>
                          <w:divsChild>
                            <w:div w:id="130440302">
                              <w:marLeft w:val="0"/>
                              <w:marRight w:val="0"/>
                              <w:marTop w:val="0"/>
                              <w:marBottom w:val="0"/>
                              <w:divBdr>
                                <w:top w:val="none" w:sz="0" w:space="0" w:color="auto"/>
                                <w:left w:val="none" w:sz="0" w:space="0" w:color="auto"/>
                                <w:bottom w:val="none" w:sz="0" w:space="0" w:color="auto"/>
                                <w:right w:val="none" w:sz="0" w:space="0" w:color="auto"/>
                              </w:divBdr>
                              <w:divsChild>
                                <w:div w:id="879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1665">
                      <w:marLeft w:val="0"/>
                      <w:marRight w:val="0"/>
                      <w:marTop w:val="0"/>
                      <w:marBottom w:val="0"/>
                      <w:divBdr>
                        <w:top w:val="none" w:sz="0" w:space="0" w:color="auto"/>
                        <w:left w:val="none" w:sz="0" w:space="0" w:color="auto"/>
                        <w:bottom w:val="none" w:sz="0" w:space="0" w:color="auto"/>
                        <w:right w:val="none" w:sz="0" w:space="0" w:color="auto"/>
                      </w:divBdr>
                      <w:divsChild>
                        <w:div w:id="1947426358">
                          <w:marLeft w:val="0"/>
                          <w:marRight w:val="0"/>
                          <w:marTop w:val="0"/>
                          <w:marBottom w:val="0"/>
                          <w:divBdr>
                            <w:top w:val="none" w:sz="0" w:space="0" w:color="auto"/>
                            <w:left w:val="none" w:sz="0" w:space="0" w:color="auto"/>
                            <w:bottom w:val="none" w:sz="0" w:space="0" w:color="auto"/>
                            <w:right w:val="none" w:sz="0" w:space="0" w:color="auto"/>
                          </w:divBdr>
                          <w:divsChild>
                            <w:div w:id="1144080018">
                              <w:marLeft w:val="0"/>
                              <w:marRight w:val="0"/>
                              <w:marTop w:val="0"/>
                              <w:marBottom w:val="0"/>
                              <w:divBdr>
                                <w:top w:val="none" w:sz="0" w:space="0" w:color="auto"/>
                                <w:left w:val="none" w:sz="0" w:space="0" w:color="auto"/>
                                <w:bottom w:val="none" w:sz="0" w:space="0" w:color="auto"/>
                                <w:right w:val="none" w:sz="0" w:space="0" w:color="auto"/>
                              </w:divBdr>
                              <w:divsChild>
                                <w:div w:id="1211917304">
                                  <w:marLeft w:val="0"/>
                                  <w:marRight w:val="0"/>
                                  <w:marTop w:val="0"/>
                                  <w:marBottom w:val="300"/>
                                  <w:divBdr>
                                    <w:top w:val="single" w:sz="18" w:space="0" w:color="C6C6C6"/>
                                    <w:left w:val="none" w:sz="0" w:space="0" w:color="auto"/>
                                    <w:bottom w:val="none" w:sz="0" w:space="0" w:color="auto"/>
                                    <w:right w:val="none" w:sz="0" w:space="0" w:color="auto"/>
                                  </w:divBdr>
                                  <w:divsChild>
                                    <w:div w:id="505556450">
                                      <w:marLeft w:val="0"/>
                                      <w:marRight w:val="0"/>
                                      <w:marTop w:val="0"/>
                                      <w:marBottom w:val="0"/>
                                      <w:divBdr>
                                        <w:top w:val="none" w:sz="0" w:space="0" w:color="auto"/>
                                        <w:left w:val="none" w:sz="0" w:space="0" w:color="auto"/>
                                        <w:bottom w:val="none" w:sz="0" w:space="0" w:color="auto"/>
                                        <w:right w:val="none" w:sz="0" w:space="0" w:color="auto"/>
                                      </w:divBdr>
                                      <w:divsChild>
                                        <w:div w:id="1231967205">
                                          <w:marLeft w:val="0"/>
                                          <w:marRight w:val="0"/>
                                          <w:marTop w:val="0"/>
                                          <w:marBottom w:val="0"/>
                                          <w:divBdr>
                                            <w:top w:val="none" w:sz="0" w:space="0" w:color="auto"/>
                                            <w:left w:val="none" w:sz="0" w:space="0" w:color="auto"/>
                                            <w:bottom w:val="none" w:sz="0" w:space="0" w:color="auto"/>
                                            <w:right w:val="none" w:sz="0" w:space="0" w:color="auto"/>
                                          </w:divBdr>
                                          <w:divsChild>
                                            <w:div w:id="4300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700666">
          <w:marLeft w:val="0"/>
          <w:marRight w:val="0"/>
          <w:marTop w:val="0"/>
          <w:marBottom w:val="0"/>
          <w:divBdr>
            <w:top w:val="none" w:sz="0" w:space="0" w:color="auto"/>
            <w:left w:val="none" w:sz="0" w:space="0" w:color="auto"/>
            <w:bottom w:val="none" w:sz="0" w:space="0" w:color="auto"/>
            <w:right w:val="none" w:sz="0" w:space="0" w:color="auto"/>
          </w:divBdr>
          <w:divsChild>
            <w:div w:id="1830246743">
              <w:marLeft w:val="0"/>
              <w:marRight w:val="0"/>
              <w:marTop w:val="0"/>
              <w:marBottom w:val="0"/>
              <w:divBdr>
                <w:top w:val="none" w:sz="0" w:space="0" w:color="auto"/>
                <w:left w:val="none" w:sz="0" w:space="0" w:color="auto"/>
                <w:bottom w:val="none" w:sz="0" w:space="0" w:color="auto"/>
                <w:right w:val="none" w:sz="0" w:space="0" w:color="auto"/>
              </w:divBdr>
              <w:divsChild>
                <w:div w:id="2027363444">
                  <w:marLeft w:val="0"/>
                  <w:marRight w:val="0"/>
                  <w:marTop w:val="0"/>
                  <w:marBottom w:val="0"/>
                  <w:divBdr>
                    <w:top w:val="none" w:sz="0" w:space="0" w:color="auto"/>
                    <w:left w:val="none" w:sz="0" w:space="0" w:color="auto"/>
                    <w:bottom w:val="none" w:sz="0" w:space="0" w:color="auto"/>
                    <w:right w:val="none" w:sz="0" w:space="0" w:color="auto"/>
                  </w:divBdr>
                </w:div>
                <w:div w:id="276717962">
                  <w:marLeft w:val="0"/>
                  <w:marRight w:val="0"/>
                  <w:marTop w:val="0"/>
                  <w:marBottom w:val="0"/>
                  <w:divBdr>
                    <w:top w:val="none" w:sz="0" w:space="0" w:color="auto"/>
                    <w:left w:val="none" w:sz="0" w:space="0" w:color="auto"/>
                    <w:bottom w:val="none" w:sz="0" w:space="0" w:color="auto"/>
                    <w:right w:val="none" w:sz="0" w:space="0" w:color="auto"/>
                  </w:divBdr>
                </w:div>
                <w:div w:id="1805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updates/iasb/2023/iasb-update-february-2023/" TargetMode="External"/><Relationship Id="rId13" Type="http://schemas.openxmlformats.org/officeDocument/2006/relationships/hyperlink" Target="https://www.ifrs.org/news-and-events/updates/iasb/2023/iasb-update-february-2023/" TargetMode="External"/><Relationship Id="rId18" Type="http://schemas.openxmlformats.org/officeDocument/2006/relationships/hyperlink" Target="https://www.ifrs.org/news-and-events/updates/iasb/2023/iasb-update-february-202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frs.org/news-and-events/updates/iasb/2023/iasb-update-february-2023/" TargetMode="External"/><Relationship Id="rId12" Type="http://schemas.openxmlformats.org/officeDocument/2006/relationships/hyperlink" Target="https://www.ifrs.org/news-and-events/updates/iasb/2023/iasb-update-february-2023/" TargetMode="External"/><Relationship Id="rId17" Type="http://schemas.openxmlformats.org/officeDocument/2006/relationships/hyperlink" Target="https://www.ifrs.org/news-and-events/updates/iasb/2023/iasb-update-february-2023/" TargetMode="External"/><Relationship Id="rId2" Type="http://schemas.openxmlformats.org/officeDocument/2006/relationships/styles" Target="styles.xml"/><Relationship Id="rId16" Type="http://schemas.openxmlformats.org/officeDocument/2006/relationships/hyperlink" Target="https://www.ifrs.org/news-and-events/updates/iasb/2023/iasb-update-february-2023/" TargetMode="External"/><Relationship Id="rId20" Type="http://schemas.openxmlformats.org/officeDocument/2006/relationships/hyperlink" Target="https://www.ifrs.org/news-and-events/updates/iasb/2023/iasb-update-february-2023/" TargetMode="External"/><Relationship Id="rId1" Type="http://schemas.openxmlformats.org/officeDocument/2006/relationships/numbering" Target="numbering.xml"/><Relationship Id="rId6" Type="http://schemas.openxmlformats.org/officeDocument/2006/relationships/hyperlink" Target="https://www.ifrs.org/content/ifrs/home/news-and-events/calendar/2023/february/international-accounting-standards-board.html" TargetMode="External"/><Relationship Id="rId11" Type="http://schemas.openxmlformats.org/officeDocument/2006/relationships/hyperlink" Target="https://www.ifrs.org/news-and-events/updates/iasb/2023/iasb-update-february-2023/" TargetMode="External"/><Relationship Id="rId5" Type="http://schemas.openxmlformats.org/officeDocument/2006/relationships/hyperlink" Target="https://www.ifrs.org/content/ifrs/home/projects/work-plan.html" TargetMode="External"/><Relationship Id="rId15" Type="http://schemas.openxmlformats.org/officeDocument/2006/relationships/hyperlink" Target="https://www.ifrs.org/news-and-events/updates/iasb/2023/iasb-update-february-2023/" TargetMode="External"/><Relationship Id="rId10" Type="http://schemas.openxmlformats.org/officeDocument/2006/relationships/hyperlink" Target="https://www.ifrs.org/news-and-events/updates/iasb/2023/iasb-update-february-2023/" TargetMode="External"/><Relationship Id="rId19" Type="http://schemas.openxmlformats.org/officeDocument/2006/relationships/hyperlink" Target="https://www.ifrs.org/news-and-events/updates/iasb/2023/iasb-update-february-2023/" TargetMode="External"/><Relationship Id="rId4" Type="http://schemas.openxmlformats.org/officeDocument/2006/relationships/webSettings" Target="webSettings.xml"/><Relationship Id="rId9" Type="http://schemas.openxmlformats.org/officeDocument/2006/relationships/hyperlink" Target="https://www.ifrs.org/news-and-events/updates/iasb/2023/iasb-update-february-2023/" TargetMode="External"/><Relationship Id="rId14" Type="http://schemas.openxmlformats.org/officeDocument/2006/relationships/hyperlink" Target="https://www.ifrs.org/news-and-events/updates/iasb/2023/iasb-update-february-20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17</Pages>
  <Words>5236</Words>
  <Characters>29847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Svetoslava Velinova</dc:creator>
  <cp:keywords/>
  <dc:description/>
  <cp:lastModifiedBy>VS</cp:lastModifiedBy>
  <cp:revision>35</cp:revision>
  <dcterms:created xsi:type="dcterms:W3CDTF">2023-04-02T03:13:00Z</dcterms:created>
  <dcterms:modified xsi:type="dcterms:W3CDTF">2023-04-03T15:52:00Z</dcterms:modified>
</cp:coreProperties>
</file>