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23CB" w14:textId="6451B62B" w:rsidR="000E7C87" w:rsidRPr="00E46106" w:rsidRDefault="00A931BF" w:rsidP="000E7C87">
      <w:pPr>
        <w:shd w:val="clear" w:color="auto" w:fill="A41F35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 xml:space="preserve">Информационен бюлетин на Съвета по международни счетоводни стандарти (IASB) и съвместен информационен бюлетин на </w:t>
      </w:r>
      <w:r w:rsidR="000E7C87"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IASB</w:t>
      </w:r>
      <w:r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 xml:space="preserve"> и Съвета по финансово-счетоводни стандарти на САЩ (</w:t>
      </w:r>
      <w:r w:rsidR="000E7C87"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FASB</w:t>
      </w:r>
      <w:r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)</w:t>
      </w:r>
      <w:r w:rsidR="000E7C87"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>септември</w:t>
      </w:r>
      <w:r w:rsidR="000E7C87"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 xml:space="preserve"> 2022</w:t>
      </w:r>
      <w:r w:rsidRPr="00E46106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val="bg-BG"/>
        </w:rPr>
        <w:t xml:space="preserve"> г.</w:t>
      </w:r>
    </w:p>
    <w:p w14:paraId="38760700" w14:textId="170A3BD3" w:rsidR="000E7C87" w:rsidRPr="00E46106" w:rsidRDefault="00A931B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Настоящият бюлетин на Съвета по международни счетоводни стандарти (IASB) представя предварителните решения на Съвета. Проектите, засегнати от тези решения могат да бъдат намерени в </w:t>
      </w:r>
      <w:hyperlink r:id="rId5" w:history="1">
        <w:r w:rsidRPr="00E46106">
          <w:rPr>
            <w:rStyle w:val="Hyperlink"/>
            <w:rFonts w:ascii="Helvetica" w:eastAsia="Times New Roman" w:hAnsi="Helvetica" w:cs="Helvetica"/>
            <w:sz w:val="24"/>
            <w:szCs w:val="24"/>
            <w:lang w:val="bg-BG"/>
          </w:rPr>
          <w:t>работната програма</w:t>
        </w:r>
      </w:hyperlink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 Окончателните решения на Съвета по международни счетоводни стандарти относно МСФО стандарти (МСФО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E46106">
        <w:rPr>
          <w:rFonts w:ascii="Helvetica" w:eastAsia="Times New Roman" w:hAnsi="Helvetica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Фондация МСФО (МСФО Foundation)</w:t>
      </w:r>
    </w:p>
    <w:p w14:paraId="22F76631" w14:textId="4D226CE5" w:rsidR="000E7C87" w:rsidRPr="00E46106" w:rsidRDefault="00A931B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проведе заседание на </w:t>
      </w:r>
      <w:hyperlink r:id="rId6" w:history="1">
        <w:r w:rsidR="000E7C87"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20–22 </w:t>
        </w:r>
        <w:r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септември</w:t>
        </w:r>
        <w:r w:rsidR="000E7C87"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 w:rsidRPr="00E46106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8181B74" w14:textId="54D22C87" w:rsidR="000E7C87" w:rsidRPr="00E46106" w:rsidRDefault="00A931B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допълнение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хибридно съвместно заседание със Съвета по финансово-счетоводни стандарти на САЩ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(FASB)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</w:t>
      </w:r>
      <w:hyperlink r:id="rId7" w:history="1">
        <w:r w:rsidR="000E7C87"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30 </w:t>
        </w:r>
        <w:r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септември</w:t>
        </w:r>
        <w:r w:rsidR="000E7C87"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 w:rsidRPr="00E46106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Запознайте се със съвместния информационен бюлетин по-долу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2C4E85E" w14:textId="34FA4150" w:rsidR="000E7C87" w:rsidRPr="00E46106" w:rsidRDefault="00A931BF" w:rsidP="000E7C8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Съдържание</w:t>
      </w:r>
    </w:p>
    <w:p w14:paraId="77131405" w14:textId="3ECF6AAA" w:rsidR="000E7C87" w:rsidRPr="00E46106" w:rsidRDefault="00A931BF" w:rsidP="000E7C87">
      <w:pPr>
        <w:spacing w:before="45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>Общ преглед на работната програма</w:t>
      </w:r>
    </w:p>
    <w:p w14:paraId="31F3F4A9" w14:textId="240BA20B" w:rsidR="000E7C87" w:rsidRPr="00E46106" w:rsidRDefault="00A931BF" w:rsidP="000E7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CD3333"/>
          <w:sz w:val="24"/>
          <w:szCs w:val="24"/>
          <w:u w:val="single"/>
          <w:lang w:val="bg-BG"/>
        </w:rPr>
        <w:t xml:space="preserve">Актуална информация във връзка с работната програма на </w:t>
      </w:r>
      <w:hyperlink r:id="rId8" w:anchor="1" w:history="1"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IASB (</w:t>
        </w:r>
        <w:r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8)</w:t>
        </w:r>
      </w:hyperlink>
    </w:p>
    <w:p w14:paraId="76FDC026" w14:textId="0DB3BC46" w:rsidR="000E7C87" w:rsidRPr="00E46106" w:rsidRDefault="00A931BF" w:rsidP="000E7C87">
      <w:pPr>
        <w:spacing w:before="45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>Изследователска работа и изготвяне и въвеждане на стандарти</w:t>
      </w:r>
    </w:p>
    <w:p w14:paraId="7FC159F4" w14:textId="54CE4601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9" w:anchor="2" w:history="1"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МСФО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9—</w:t>
        </w:r>
        <w:r w:rsidR="00A931BF" w:rsidRPr="00E46106">
          <w:rPr>
            <w:lang w:val="bg-BG"/>
          </w:rPr>
          <w:t xml:space="preserve"> 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класифициране и оценяване 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3)</w:t>
        </w:r>
      </w:hyperlink>
    </w:p>
    <w:p w14:paraId="37A4D210" w14:textId="2F985ABF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0" w:anchor="3" w:history="1">
        <w:r w:rsidR="00A931BF" w:rsidRPr="00E46106">
          <w:rPr>
            <w:lang w:val="bg-BG"/>
          </w:rPr>
          <w:t xml:space="preserve"> 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Финансови инструменти с характеристики на собствен капитал 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5)</w:t>
        </w:r>
      </w:hyperlink>
    </w:p>
    <w:p w14:paraId="491B835B" w14:textId="7820B8E5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1" w:anchor="4" w:history="1">
        <w:r w:rsidR="006839C4" w:rsidRPr="00E46106">
          <w:rPr>
            <w:lang w:val="bg-BG"/>
          </w:rPr>
          <w:t xml:space="preserve"> </w:t>
        </w:r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Преглед след въвеждане на 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МСФО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15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6)</w:t>
        </w:r>
      </w:hyperlink>
    </w:p>
    <w:p w14:paraId="3F8B2834" w14:textId="41B4CC79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2" w:anchor="5" w:history="1">
        <w:r w:rsidR="006839C4" w:rsidRPr="00E46106">
          <w:rPr>
            <w:lang w:val="bg-BG"/>
          </w:rPr>
          <w:t xml:space="preserve"> </w:t>
        </w:r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Дейности с регулирани цени 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9A)</w:t>
        </w:r>
      </w:hyperlink>
    </w:p>
    <w:p w14:paraId="58922D2E" w14:textId="3445C3C9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3" w:anchor="6" w:history="1">
        <w:r w:rsidR="006839C4" w:rsidRPr="00E46106">
          <w:rPr>
            <w:lang w:val="bg-BG"/>
          </w:rPr>
          <w:t xml:space="preserve"> </w:t>
        </w:r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Метод на собствения капитал 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13)</w:t>
        </w:r>
      </w:hyperlink>
    </w:p>
    <w:p w14:paraId="7ADC12D4" w14:textId="106D72F4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4" w:anchor="7" w:history="1">
        <w:r w:rsidR="006839C4" w:rsidRPr="00E46106">
          <w:rPr>
            <w:lang w:val="bg-BG"/>
          </w:rPr>
          <w:t xml:space="preserve"> </w:t>
        </w:r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Характеристики на договорни парични потоци </w:t>
        </w:r>
        <w:r w:rsidR="00F005BC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на</w:t>
        </w:r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финансови активи (Изменения в МСФО 9)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16)</w:t>
        </w:r>
      </w:hyperlink>
    </w:p>
    <w:p w14:paraId="67CB360A" w14:textId="2619809C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5" w:anchor="8" w:history="1"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Репутация и обезценка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18)</w:t>
        </w:r>
      </w:hyperlink>
    </w:p>
    <w:p w14:paraId="79E5148A" w14:textId="15B7C3B8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6" w:anchor="9" w:history="1"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Добивни дейности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19)</w:t>
        </w:r>
      </w:hyperlink>
    </w:p>
    <w:p w14:paraId="6451FC73" w14:textId="700E869B" w:rsidR="000E7C87" w:rsidRPr="00E46106" w:rsidRDefault="00000000" w:rsidP="000E7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7" w:anchor="10" w:history="1"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21)</w:t>
        </w:r>
      </w:hyperlink>
    </w:p>
    <w:p w14:paraId="384EAD9B" w14:textId="3C4B00B8" w:rsidR="000E7C87" w:rsidRPr="00E46106" w:rsidRDefault="006839C4" w:rsidP="000E7C87">
      <w:pPr>
        <w:spacing w:before="45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</w:pPr>
      <w:bookmarkStart w:id="0" w:name="_Hlk117663110"/>
      <w:r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>Поддържане и последователно прилагане</w:t>
      </w:r>
      <w:bookmarkEnd w:id="0"/>
    </w:p>
    <w:p w14:paraId="3D66E761" w14:textId="2F4C29FE" w:rsidR="000E7C87" w:rsidRPr="00E46106" w:rsidRDefault="00000000" w:rsidP="000E7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8" w:anchor="11" w:history="1">
        <w:r w:rsidR="006839C4" w:rsidRPr="00E46106">
          <w:rPr>
            <w:lang w:val="bg-BG"/>
          </w:rPr>
          <w:t xml:space="preserve"> </w:t>
        </w:r>
        <w:r w:rsidR="006839C4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12)</w:t>
        </w:r>
      </w:hyperlink>
    </w:p>
    <w:p w14:paraId="2FC74670" w14:textId="0A156D22" w:rsidR="000E7C87" w:rsidRPr="00E46106" w:rsidRDefault="00000000" w:rsidP="000E7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19" w:anchor="12" w:history="1"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Парични средства, получени посредством електронен </w:t>
        </w:r>
        <w:r w:rsidR="002C02C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превод</w:t>
        </w:r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като уреждане на финансов актив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МСФО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9)—</w:t>
        </w:r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Следващи етапи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12A)</w:t>
        </w:r>
      </w:hyperlink>
    </w:p>
    <w:p w14:paraId="0AE5F422" w14:textId="1A7D362C" w:rsidR="000E7C87" w:rsidRPr="00E46106" w:rsidRDefault="00000000" w:rsidP="000E7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20" w:anchor="13" w:history="1">
        <w:bookmarkStart w:id="1" w:name="_Hlk117663455"/>
        <w:r w:rsidR="003004CD" w:rsidRPr="00E46106">
          <w:rPr>
            <w:lang w:val="bg-BG"/>
          </w:rPr>
          <w:t xml:space="preserve"> </w:t>
        </w:r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Нетекущи пасиви с договорни клаузи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МСС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1)—</w:t>
        </w:r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Въпрос, нуждаещ се от уточняване</w:t>
        </w:r>
        <w:bookmarkEnd w:id="1"/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931BF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 xml:space="preserve"> 12</w:t>
        </w:r>
        <w:r w:rsidR="003004CD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Б</w:t>
        </w:r>
        <w:r w:rsidR="000E7C87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)</w:t>
        </w:r>
      </w:hyperlink>
    </w:p>
    <w:p w14:paraId="32D36DBB" w14:textId="05221762" w:rsidR="000E7C87" w:rsidRPr="00E46106" w:rsidRDefault="003004CD" w:rsidP="000E7C87">
      <w:pPr>
        <w:spacing w:before="45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>Проекти, обсъждани по време на съвместното заседание на</w:t>
      </w:r>
      <w:r w:rsidR="000E7C87"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 xml:space="preserve"> IASB</w:t>
      </w:r>
      <w:r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 xml:space="preserve"> и</w:t>
      </w:r>
      <w:r w:rsid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 xml:space="preserve"> </w:t>
      </w:r>
      <w:r w:rsidR="000E7C87" w:rsidRPr="00E4610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bg-BG"/>
        </w:rPr>
        <w:t xml:space="preserve">FASB </w:t>
      </w:r>
    </w:p>
    <w:p w14:paraId="74256D4E" w14:textId="0EEF15C0" w:rsidR="000E7C87" w:rsidRPr="00E46106" w:rsidRDefault="00000000" w:rsidP="000E7C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hyperlink r:id="rId21" w:anchor="14" w:history="1">
        <w:r w:rsidR="00E46106" w:rsidRPr="00E46106">
          <w:rPr>
            <w:rFonts w:ascii="Times New Roman" w:eastAsia="Times New Roman" w:hAnsi="Times New Roman" w:cs="Times New Roman"/>
            <w:color w:val="CD3333"/>
            <w:sz w:val="24"/>
            <w:szCs w:val="24"/>
            <w:u w:val="single"/>
            <w:lang w:val="bg-BG"/>
          </w:rPr>
          <w:t>Обсъждани теми</w:t>
        </w:r>
      </w:hyperlink>
    </w:p>
    <w:p w14:paraId="5ADF4963" w14:textId="042C8211" w:rsidR="000E7C87" w:rsidRPr="00E46106" w:rsidRDefault="00A931BF" w:rsidP="000E7C8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Общ преглед на работната програма</w:t>
      </w:r>
    </w:p>
    <w:p w14:paraId="430F4523" w14:textId="73A310C0" w:rsidR="000E7C87" w:rsidRPr="00E46106" w:rsidRDefault="0004643F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Актуална информация във връзка с работната програма на 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IASB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8)</w:t>
      </w:r>
    </w:p>
    <w:p w14:paraId="3BDC3851" w14:textId="1AF61D14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21 септември 2022 г. IASB проведе заседание, за да разгледа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A6944C9" w14:textId="2AB93BB5" w:rsidR="000E7C87" w:rsidRPr="00E46106" w:rsidRDefault="0004643F" w:rsidP="000E7C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актуална информация във връзка с работната си програма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03807FD5" w14:textId="6DA42117" w:rsidR="000E7C87" w:rsidRPr="00E46106" w:rsidRDefault="0004643F" w:rsidP="000E7C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пояснения на описанието на целта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процеса и крайните резултати от прегледа след въвеждане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73B4B351" w14:textId="49B9C12B" w:rsidR="000E7C87" w:rsidRPr="00E46106" w:rsidRDefault="0004643F" w:rsidP="000E7C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времето на </w:t>
      </w:r>
      <w:r w:rsidRPr="00E46106">
        <w:rPr>
          <w:rFonts w:ascii="Times New Roman" w:eastAsia="Times New Roman" w:hAnsi="Times New Roman" w:cs="Times New Roman"/>
          <w:bCs/>
          <w:iCs/>
          <w:color w:val="575757"/>
          <w:sz w:val="24"/>
          <w:szCs w:val="24"/>
          <w:lang w:val="bg-BG"/>
        </w:rPr>
        <w:t>провеждане на прегледите след въвеждане на изискванията по отношение на счетоводното отчитане на хеджирането в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E7C87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FB1408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на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16 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Лизинг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76501951" w14:textId="6942FEFE" w:rsidR="000E7C87" w:rsidRPr="00E46106" w:rsidRDefault="0004643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Актуална информация във връзка с работната програма на IASB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8)</w:t>
      </w:r>
    </w:p>
    <w:p w14:paraId="79E83208" w14:textId="65352AB0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бе запознат с актуална информация във връзка със своята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hyperlink r:id="rId22" w:history="1">
        <w:r w:rsidR="0004643F"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работна програма</w:t>
        </w:r>
      </w:hyperlink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9B6CD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BD4559D" w14:textId="45D6457E" w:rsidR="000E7C87" w:rsidRPr="00E46106" w:rsidRDefault="0004643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Прегледи след въвеждане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—</w:t>
      </w: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цел и процес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 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8A)</w:t>
      </w:r>
    </w:p>
    <w:p w14:paraId="7BE559D9" w14:textId="4C970889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пояснения на описанието на целта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процеса и крайните резултати от преглед след въвеждане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IASB 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възнамерява да използва поясненото описание в бъдещите си прегледи след въвеждане. От </w:t>
      </w:r>
      <w:r w:rsidR="009B6CD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не бе поискано да взема каквито и да е решения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8B4D6AA" w14:textId="76346396" w:rsidR="000E7C87" w:rsidRPr="00E46106" w:rsidRDefault="0004643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>Време на провеждане на прегледите след въвеждане на изискванията по отношение на счетоводното отчитане на хеджирането в МСФО 9 </w:t>
      </w:r>
      <w:r w:rsidRPr="00E46106">
        <w:rPr>
          <w:rFonts w:ascii="Helvetica" w:eastAsia="Times New Roman" w:hAnsi="Helvetica" w:cs="Helvetica"/>
          <w:b/>
          <w:bCs/>
          <w:iCs/>
          <w:color w:val="575757"/>
          <w:sz w:val="24"/>
          <w:szCs w:val="24"/>
          <w:lang w:val="bg-BG"/>
        </w:rPr>
        <w:t>Финансови инструменти</w:t>
      </w: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и </w:t>
      </w:r>
      <w:r w:rsidR="00FB1408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на </w:t>
      </w: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МСФО 16 </w:t>
      </w:r>
      <w:r w:rsidRPr="00E46106">
        <w:rPr>
          <w:rFonts w:ascii="Helvetica" w:eastAsia="Times New Roman" w:hAnsi="Helvetica" w:cs="Helvetica"/>
          <w:b/>
          <w:bCs/>
          <w:iCs/>
          <w:color w:val="575757"/>
          <w:sz w:val="24"/>
          <w:szCs w:val="24"/>
          <w:lang w:val="bg-BG"/>
        </w:rPr>
        <w:t>Лизинг</w:t>
      </w: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8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3C9C02E9" w14:textId="54EA5EFD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времето на провеждане на прегледите си след въвеждане на изискванията по отношение на счетоводното отчитане на хеджирането на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16.</w:t>
      </w:r>
    </w:p>
    <w:p w14:paraId="4828859A" w14:textId="7B8F9A60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4643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59A406F" w14:textId="68683367" w:rsidR="000E7C87" w:rsidRPr="00E46106" w:rsidRDefault="0004643F" w:rsidP="000E7C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разгледа през втората половина на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2023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г. </w:t>
      </w:r>
      <w:r w:rsidR="00877231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въпроса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кога да пристъпи към провеждане на преглед</w:t>
      </w:r>
      <w:r w:rsidR="00FB1408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след въвеждане</w:t>
      </w:r>
      <w:r w:rsidR="00FB1408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на изискванията по отношение на счетоводното отчитане на хеджирането 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9. </w:t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9A6B3D9" w14:textId="783965B6" w:rsidR="000E7C87" w:rsidRPr="00E46106" w:rsidRDefault="00FB1408" w:rsidP="000E7C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да разгледа през втората половина на 2023 г. </w:t>
      </w:r>
      <w:r w:rsidR="00877231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въпроса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кога да пристъпи към провеждане на прегледа след въвеждане на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16. </w:t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B4E5749" w14:textId="265D69D7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77761FC" w14:textId="0407F179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FB140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очаква да бъде запознат със следващата актуална информация относно работната си програма до януари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2023</w:t>
      </w:r>
      <w:r w:rsidR="00FB140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9F6F1EA" w14:textId="18D7BD34" w:rsidR="000E7C87" w:rsidRPr="00E46106" w:rsidRDefault="00FB1408" w:rsidP="000E7C8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Изследователска работа и изготвяне и въвеждане на стандарти</w:t>
      </w:r>
    </w:p>
    <w:p w14:paraId="51AB711A" w14:textId="647C2A97" w:rsidR="000E7C87" w:rsidRPr="00E46106" w:rsidRDefault="00FB1408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Преглед след въвеждане на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9—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класифициране и оценяване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3)</w:t>
      </w:r>
    </w:p>
    <w:p w14:paraId="391EDD25" w14:textId="31161983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20 септември 2022 г. IASB проведе заседание, за да продължи </w:t>
      </w:r>
      <w:r w:rsidR="00FB140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анализа на получените като обратна информация становища относно изискванията за класифициране и оценяване в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016A117" w14:textId="31274343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8E0E4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шест въпроса, повдигнати в обратната информация относно начина, по който предприятията да прилагат изискванията, които не са били изрично обхванати от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hyperlink r:id="rId23" w:history="1">
        <w:r w:rsidR="008E0E4C"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Искането за предоставяне на информация</w:t>
        </w:r>
        <w:r w:rsidRPr="00E46106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 </w:t>
        </w:r>
        <w:r w:rsidR="008E0E4C" w:rsidRPr="00E46106">
          <w:rPr>
            <w:rFonts w:ascii="Helvetica" w:eastAsia="Times New Roman" w:hAnsi="Helvetica" w:cs="Helvetica"/>
            <w:i/>
            <w:iCs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Pr="00E46106">
          <w:rPr>
            <w:rFonts w:ascii="Helvetica" w:eastAsia="Times New Roman" w:hAnsi="Helvetica" w:cs="Helvetica"/>
            <w:i/>
            <w:iCs/>
            <w:color w:val="CD3333"/>
            <w:sz w:val="24"/>
            <w:szCs w:val="24"/>
            <w:u w:val="single"/>
            <w:lang w:val="bg-BG"/>
          </w:rPr>
          <w:t xml:space="preserve"> </w:t>
        </w:r>
        <w:r w:rsidR="00A931BF" w:rsidRPr="00E46106">
          <w:rPr>
            <w:rFonts w:ascii="Helvetica" w:eastAsia="Times New Roman" w:hAnsi="Helvetica" w:cs="Helvetica"/>
            <w:i/>
            <w:iCs/>
            <w:color w:val="CD3333"/>
            <w:sz w:val="24"/>
            <w:szCs w:val="24"/>
            <w:u w:val="single"/>
            <w:lang w:val="bg-BG"/>
          </w:rPr>
          <w:t>МСФО</w:t>
        </w:r>
        <w:r w:rsidRPr="00E46106">
          <w:rPr>
            <w:rFonts w:ascii="Helvetica" w:eastAsia="Times New Roman" w:hAnsi="Helvetica" w:cs="Helvetica"/>
            <w:i/>
            <w:iCs/>
            <w:color w:val="CD3333"/>
            <w:sz w:val="24"/>
            <w:szCs w:val="24"/>
            <w:u w:val="single"/>
            <w:lang w:val="bg-BG"/>
          </w:rPr>
          <w:t xml:space="preserve"> 9—</w:t>
        </w:r>
        <w:r w:rsidR="008E0E4C" w:rsidRPr="00E46106">
          <w:rPr>
            <w:lang w:val="bg-BG"/>
          </w:rPr>
          <w:t xml:space="preserve"> </w:t>
        </w:r>
        <w:r w:rsidR="008E0E4C" w:rsidRPr="00E46106">
          <w:rPr>
            <w:rFonts w:ascii="Helvetica" w:eastAsia="Times New Roman" w:hAnsi="Helvetica" w:cs="Helvetica"/>
            <w:i/>
            <w:iCs/>
            <w:color w:val="CD3333"/>
            <w:sz w:val="24"/>
            <w:szCs w:val="24"/>
            <w:u w:val="single"/>
            <w:lang w:val="bg-BG"/>
          </w:rPr>
          <w:t>класифициране и оценяване</w:t>
        </w:r>
      </w:hyperlink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F2EE897" w14:textId="1A94071F" w:rsidR="000E7C87" w:rsidRPr="00E46106" w:rsidRDefault="00813929" w:rsidP="000E7C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прилагане на изискванията за отписване по отношение на финансови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359DBECD" w14:textId="172B96C8" w:rsidR="000E7C87" w:rsidRPr="00E46106" w:rsidRDefault="00813929" w:rsidP="000E7C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парични средства, получени </w:t>
      </w:r>
      <w:r w:rsidR="00877231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посредством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електронен превод като уреждане на финансов актив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7FAD7F0F" w14:textId="41E3FE78" w:rsidR="000E7C87" w:rsidRPr="00E46106" w:rsidRDefault="00813929" w:rsidP="000E7C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договори за покупка или продажба на нефинансови обекти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3DF05251" w14:textId="42EE1916" w:rsidR="000E7C87" w:rsidRPr="00E46106" w:rsidRDefault="00813929" w:rsidP="000E7C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счетоводно отчитане на разходите по сделката при инвестиции в капиталови инструменти, за които предприятието е избрало да представя промените в справедливата стойност в друг всеобхватен доход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4792CE9C" w14:textId="57B73895" w:rsidR="000E7C87" w:rsidRPr="00E46106" w:rsidRDefault="00813929" w:rsidP="000E7C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lastRenderedPageBreak/>
        <w:t>финансови активи и финансови пасиви, държани за търгуване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660D00B3" w14:textId="0C98B175" w:rsidR="000E7C87" w:rsidRPr="00E46106" w:rsidRDefault="00813929" w:rsidP="000E7C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закупени или първоначално създадени финансови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 кредитна обезценка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BE0BE8D" w14:textId="308FB662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52340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също така и получените като обратна информация становища от Консултативния форум по счетоводни стандарти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(ASAF) </w:t>
      </w:r>
      <w:r w:rsidR="0052340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два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="0052340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свързани с прилагането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="0052340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въпроса относно изискванията 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 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за оценяване на характеристиките на договорните парични потоци </w:t>
      </w:r>
      <w:r w:rsidR="00F005B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финансов актив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7FAF3CD" w14:textId="3FDD1A4B" w:rsidR="000E7C87" w:rsidRPr="00E46106" w:rsidRDefault="0052340C" w:rsidP="000E7C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Въпрос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1—</w:t>
      </w:r>
      <w:r w:rsidR="0057469E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дали лихвените проценти, които се коригират договорно с оглед инфлацията въвеждат ливъридж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="0057469E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167CB61" w14:textId="2FC9B948" w:rsidR="000E7C87" w:rsidRPr="00E46106" w:rsidRDefault="0052340C" w:rsidP="000E7C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Въпрос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2—</w:t>
      </w:r>
      <w:r w:rsidR="0057469E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дали лихвените проценти, които включват наложен от държавата фактор за ливъридж, представляват регулирани лихвени проценти, съгласно описаното 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9.</w:t>
      </w:r>
    </w:p>
    <w:p w14:paraId="55F1FBCA" w14:textId="12B88E95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разгледа въпроса, описан в алинея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когато анализира обратната информация във връзка с предстоящия преглед след въвеждане на изискванията за обезценка 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9; 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да не предприема допълнителни действия във връзка с другите изброени въпроси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двата въпроса, касаещи прилагането, разгледани от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7469E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Консултативния форум по счетоводни стандарти (ASAF)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F554D06" w14:textId="6F52D63C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678B473" w14:textId="149CFA00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FAF6E61" w14:textId="653E3CA4" w:rsidR="000E7C87" w:rsidRPr="00E46106" w:rsidRDefault="002B4CD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анализира обратната информация по оставащите теми, които са обект на разглеждане в този преглед след въвеждане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82A4779" w14:textId="3C45B5F0" w:rsidR="000E7C87" w:rsidRPr="00E46106" w:rsidRDefault="002B4CD9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Финансови инструменти с характеристики на собствен капитал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5)</w:t>
      </w:r>
    </w:p>
    <w:p w14:paraId="7904A453" w14:textId="7CF48276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20 септември 2022 г. IASB проведе заседание, за да продължи обсъжданията </w:t>
      </w:r>
      <w:r w:rsidR="002B4CD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счетоводното отчитане на финансови инструменти, съдържащи задължения предприятието да изкупи обратно свои инструменти на собствения капитал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2B4CD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включително издадени пут опции за неконтролиращи участия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2210D45" w14:textId="2E4EAF30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2B4CD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предложи изменения в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32 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</w:t>
      </w:r>
      <w:r w:rsidR="002B4CD9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2B4CD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поясни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906F97F" w14:textId="22C23AB2" w:rsidR="000E7C87" w:rsidRPr="00E46106" w:rsidRDefault="002B4CD9" w:rsidP="000E7C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че 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23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е приложим също и по отношение на задължение за обратно изкупуване на инструменти на собствения капитал на предприятието, което се изисква да бъде уредено в променлив брой различен вид инструменти на собствения капитал на предприятието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B9E200D" w14:textId="68808BD9" w:rsidR="000E7C87" w:rsidRPr="00E46106" w:rsidRDefault="002B4CD9" w:rsidP="000E7C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счетоводното отчитане при първоначално признаване на задължението за обратно изкупуване на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инструменти на собствения капитал на предприятието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ако предприятието няма вече достъп до възвръщаемостта, свързана 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дяловото участие в собствеността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Ако задължението включва неконтролиращи участия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дебитният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lastRenderedPageBreak/>
        <w:t>запис се признава срещу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компонент от собствения капитал, различен от неконтролиращите участия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 случай на други задължения на предприятието да закупи собствени акции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="0098593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дебитният запис се признава срещу компонент от собствения капитал, различен 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98593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емитирания основен капитал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C40854A" w14:textId="77DF7112" w:rsidR="000E7C87" w:rsidRPr="00E46106" w:rsidRDefault="00985937" w:rsidP="000E7C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че при изтичане на издадена пут опция по инструменти на собствения капитал на предприятието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</w:t>
      </w:r>
    </w:p>
    <w:p w14:paraId="42463762" w14:textId="277DE408" w:rsidR="000E7C87" w:rsidRPr="00E46106" w:rsidRDefault="00985937" w:rsidP="000E7C8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финансовият пасив се прекласифицира 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същия компонент на собствения капитал като този, от който е бил прекласифициран при първоначално признаване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 пут опцията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AC779BA" w14:textId="14CBEF85" w:rsidR="000E7C87" w:rsidRPr="00E46106" w:rsidRDefault="00985937" w:rsidP="000E7C8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кумулативната сума в неразпределената печалба, свързана с преоценяване на финансовия пасив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може да бъде прекласифицирана в друг компонент на собствения капитал, но не се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възстановява обратно в печалбата или загубата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7195A737" w14:textId="695D74AB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98593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в порядък на работна хипотеза да поясни, че издадени пут опции и форуърдни договори за покупка на инструменти на собствения капитал на предприятието се изисква да бъдат представяни брутно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98593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 не нетно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98593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53CD03C" w14:textId="032DE460" w:rsidR="000E7C87" w:rsidRPr="00E46106" w:rsidRDefault="00985937" w:rsidP="000E7C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се приведе счетоводното отчитане на тези инструменти в съответствие със счетоводното отчитане на други задължения, които са в зависимост от събития или избори, извън контрола на предприятието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590D4CF6" w14:textId="1D6FD2C8" w:rsidR="000E7C87" w:rsidRPr="00E46106" w:rsidRDefault="00985937" w:rsidP="000E7C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се подпомогнат потребителите на финансови отчети при оценяване изложеността на предприятието на ликвиден риск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E4E57ED" w14:textId="2F5DF23A" w:rsidR="000E7C87" w:rsidRPr="00E46106" w:rsidRDefault="0024381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тези решения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  <w:t> </w:t>
      </w:r>
    </w:p>
    <w:p w14:paraId="4E9001C7" w14:textId="6A82521A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5A111AD" w14:textId="70F78901" w:rsidR="000E7C87" w:rsidRPr="00E46106" w:rsidRDefault="0098593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бъдещи свои заседания 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други теми, изложени в плана на проекта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F2FE049" w14:textId="08135935" w:rsidR="000E7C87" w:rsidRPr="00E46106" w:rsidRDefault="00985937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Преглед след въвеждане на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15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6)</w:t>
      </w:r>
    </w:p>
    <w:p w14:paraId="3ABBFA1B" w14:textId="0E52FD1B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21 септември 2022 г. IASB проведе заседание, за да обсъди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целта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дейностите и предвидените срокове за първата фаза на Прегледа след въвеждане на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15 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Приходи от договори с клиенти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876B061" w14:textId="34503FDE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C595985" w14:textId="768AEBD4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6ACC2CD0" w14:textId="754B7B09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планира да проведе срещи със заинтересованите страни в периода октомври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 - март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2023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г. и очаква да публикува искане за предоставяне на информация през първата половина на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2023.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</w:p>
    <w:p w14:paraId="35E01E2D" w14:textId="250E7931" w:rsidR="000E7C87" w:rsidRPr="00E46106" w:rsidRDefault="003E07B7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Дейности с регулирани цени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9A)</w:t>
      </w:r>
    </w:p>
    <w:p w14:paraId="71F26C80" w14:textId="0122C82E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На 22 септември 2022 г. IASB проведе заседание, за да разисква повторно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взаимодействието между предложенията в Проекта за обсъждане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3E07B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Регулаторни активи и регулаторни пасиви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 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и </w:t>
      </w:r>
      <w:r w:rsidR="00540DC2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КРМСФО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12 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Споразумения за концесия на услуги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C3967A0" w14:textId="3861A7AA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стандартът следва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1497284" w14:textId="637BD813" w:rsidR="000E7C87" w:rsidRPr="00E46106" w:rsidRDefault="003E07B7" w:rsidP="000E7C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изясни предвиденото взаимодействие между стандарта 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540DC2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КРМСФО 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12.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Това означава, че предприятието ще прилага първо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540DC2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КРМСФО 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12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 след което ще прилага изискванията на стандарта по отношение на оставащи права и задължения, за да се определи дали предприятието има регулаторни активи или регулаторни пасиви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39BB0280" w14:textId="351C625F" w:rsidR="000E7C87" w:rsidRPr="00E46106" w:rsidRDefault="003E07B7" w:rsidP="000E7C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включи примери, за да илюстрира това взаимодействие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65BCC74" w14:textId="6B201349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ABF63D2" w14:textId="1553BF19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3B65356C" w14:textId="36DCB638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разисква предложенията по този проект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4BF4AAD" w14:textId="66FA8C0A" w:rsidR="000E7C87" w:rsidRPr="00E46106" w:rsidRDefault="003E07B7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Метод на собствения капитал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13)</w:t>
      </w:r>
    </w:p>
    <w:p w14:paraId="29A08B8B" w14:textId="5E1FB542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22 септември 2022 г. IASB проведе заседание, за да продължи обсъжданията си </w:t>
      </w:r>
      <w:r w:rsidR="003E07B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следните два въпроса, свързани с прилагането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F160BEC" w14:textId="35D39DF2" w:rsidR="000E7C87" w:rsidRPr="00E46106" w:rsidRDefault="003E07B7" w:rsidP="000E7C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как да се оцени частта от инвестицията, която трябва да бъде отписана, при освобождаване от дялово участие в асоциирано предприятие, като същевременно се запазва значително влияние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5BD40798" w14:textId="7CD6779D" w:rsidR="000E7C87" w:rsidRPr="00E46106" w:rsidRDefault="003E07B7" w:rsidP="000E7C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как методът на собствения капитал да се прилага по отношение на промени в нетните активи на асоциирано предприятие</w:t>
      </w:r>
      <w:r w:rsidR="000A777C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 които променят дяловото участие на инвеститора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70342829" w14:textId="7B69B0FC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пристъпи и към обсъждане на свързания с прилагането въпрос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„как инвеститорът следва да признава печалби и загуби, които произтичат от продажбата на дъщерно предприятие на асоциирано предприятие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прилагайки изискванията 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10 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Консолидирани финансови отчети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28</w:t>
      </w:r>
      <w:r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Инвестиции в асоциирани и съвместни предприятия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?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“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BF593D9" w14:textId="016157ED" w:rsidR="000E7C87" w:rsidRPr="00E46106" w:rsidRDefault="000A777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Частично освобождаване от активи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—</w:t>
      </w: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как да се оцени частта, която трябва да бъде отписана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 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13A)</w:t>
      </w:r>
    </w:p>
    <w:p w14:paraId="3735B57D" w14:textId="43CB26BB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поиска екипът допълнително да разгледа въпроса как предпочитаният подход за прилагане на метода на собствения капитал по отношение на придобивания и освобождавания от активи при запазване на значително влияние би бил прилаган при първоначално признаване и при последващо оценяване на инвестицията в асоциираното предприятие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2804518" w14:textId="2A3C9373" w:rsidR="000E7C87" w:rsidRPr="00E46106" w:rsidRDefault="000A777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>Промени в нетните активи на асоциирано предприятие, които променят дяловото участие на инвеститора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 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13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2DE7648A" w14:textId="053390ED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въпроса как да се прилага методът на собствения капитал по отношение на промени в нетните активи на асоциирано предприятие, които променят дяловото участие на инвеститора от емитиране на капиталови инструменти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108CC2A" w14:textId="51B74305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когато дяловото участие на инвеститора се увеличава и инвеститорът запазва значително влияние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инвеститор, прилагащ предпочитания подход, ще признае това увеличение като покупка на допълнително дялово участие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98D2C6A" w14:textId="4609F2B9" w:rsidR="000E7C87" w:rsidRPr="00E46106" w:rsidRDefault="0024381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7EDD172" w14:textId="726BAF3C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0A777C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когато дяловото участие на инвеститора се намалява и инвеститорът запазва значително влияние, инвеститор, прилагащ предпочитания подход, ще признае това намаление като частично освобождаване от активи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988F4AE" w14:textId="1A1D5852" w:rsidR="000E7C87" w:rsidRPr="00E46106" w:rsidRDefault="0024381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61F9121" w14:textId="28C20C11" w:rsidR="000E7C87" w:rsidRPr="00E46106" w:rsidRDefault="000A777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Сделки и операции между инвеститор и асоциирано предприятие – </w:t>
      </w:r>
      <w:r w:rsidR="00914CA0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отчетено несъответствие между изискванията в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10 </w:t>
      </w:r>
      <w:r w:rsidR="00540DC2" w:rsidRPr="00E46106">
        <w:rPr>
          <w:rFonts w:ascii="Helvetica" w:eastAsia="Times New Roman" w:hAnsi="Helvetica" w:cs="Helvetica"/>
          <w:b/>
          <w:bCs/>
          <w:iCs/>
          <w:color w:val="575757"/>
          <w:sz w:val="24"/>
          <w:szCs w:val="24"/>
          <w:lang w:val="bg-BG"/>
        </w:rPr>
        <w:t>Консолидирани финансови отчети</w:t>
      </w:r>
      <w:r w:rsidR="00540DC2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 </w:t>
      </w:r>
      <w:r w:rsidR="00540DC2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и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28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 </w:t>
      </w:r>
      <w:r w:rsidR="00540DC2" w:rsidRPr="00E46106">
        <w:rPr>
          <w:rFonts w:ascii="Helvetica" w:eastAsia="Times New Roman" w:hAnsi="Helvetica" w:cs="Helvetica"/>
          <w:b/>
          <w:bCs/>
          <w:iCs/>
          <w:color w:val="575757"/>
          <w:sz w:val="24"/>
          <w:szCs w:val="24"/>
          <w:lang w:val="bg-BG"/>
        </w:rPr>
        <w:t>Инвестиции в асоциирани и съвместни предприятия</w:t>
      </w:r>
      <w:r w:rsidR="00540DC2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13</w:t>
      </w:r>
      <w:r w:rsidR="00914CA0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В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040F5145" w14:textId="7BF760F6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914CA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четири алтернативи за начина, по който инвеститорът признава печалби и загуби, произтичащи от продажбата на дъщерно предприятие на асоциирано предприятие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9B6CD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AAD72F8" w14:textId="388C4EF9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914CA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поиска екипът да продължи да проучва четирите алтернативи и да изготви документ за вземане на решение, който да бъде обсъден на бъдещо заседание на Съвета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B20890E" w14:textId="77A89FA4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3A36CCAE" w14:textId="02B3B4F0" w:rsidR="000E7C87" w:rsidRPr="00E46106" w:rsidRDefault="00914CA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бъдещи свои заседания 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насоката на развитие на проекта и други, свързани с прилагането, въпроси, попадащи в обхвата на проекта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3570CF2" w14:textId="5A79DA51" w:rsidR="000E7C87" w:rsidRPr="00E46106" w:rsidRDefault="00914CA0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Характеристики на договорни парични потоци </w:t>
      </w:r>
      <w:r w:rsidR="00F005BC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на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финансови активи 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изменения в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9)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16)</w:t>
      </w:r>
    </w:p>
    <w:p w14:paraId="1D9882AC" w14:textId="0FB7CEE2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На 21 септември 2022 г. IASB проведе заседание, за да обсъди </w:t>
      </w:r>
      <w:r w:rsidR="008F411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как да поясни изискванията в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8F411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оценяване характеристиките на договорни парични потоци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ED9C364" w14:textId="23B4EB03" w:rsidR="000E7C87" w:rsidRPr="00E46106" w:rsidRDefault="008F411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Общи изисквания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 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16A)</w:t>
      </w:r>
    </w:p>
    <w:p w14:paraId="0329DB67" w14:textId="516B55E1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F411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</w:t>
      </w:r>
      <w:r w:rsidR="008F411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така че да поясни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7D2AC7F" w14:textId="3DA68BE7" w:rsidR="000E7C87" w:rsidRPr="00E46106" w:rsidRDefault="00F005BC" w:rsidP="000E7C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за да бъдат договорните парични потоци на финансов актив „единствено плащания по главница и лихва върху непогасената сума на главницата“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основното споразумение за кредитиране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не </w:t>
      </w:r>
      <w:r w:rsidR="00C17E42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трябва да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предизвиква променливост на паричните потоци, произтичаща рискове или фактори, които не са свързани със заемополучателя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дори такива условия да са често срещани на конкретния пазар, на който предприятието осъществява дейността си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6830792D" w14:textId="1EF3F8D6" w:rsidR="000E7C87" w:rsidRPr="00E46106" w:rsidRDefault="00C17E42" w:rsidP="000E7C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финансов актив, който включва договорни условия, които променят времето и сумата на договорните парични потоци ще съответства на „основно споразумение за кредитиране“, ако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</w:t>
      </w:r>
    </w:p>
    <w:p w14:paraId="26A599A0" w14:textId="3CA7D4AD" w:rsidR="000E7C87" w:rsidRPr="00E46106" w:rsidRDefault="00C17E42" w:rsidP="000E7C8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договорните парични потоци, които биха могли да възникнат от непредвидими събития,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единствено плащания по главница и лихва при всички обстоятелства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т.е.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вероятността от възникването на </w:t>
      </w:r>
      <w:bookmarkStart w:id="2" w:name="_Hlk117491298"/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непредвидимо </w:t>
      </w:r>
      <w:bookmarkEnd w:id="2"/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събитие не се взема под внимание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);</w:t>
      </w:r>
    </w:p>
    <w:p w14:paraId="3A0366A4" w14:textId="0950D21F" w:rsidR="000E7C87" w:rsidRPr="00E46106" w:rsidRDefault="00C17E42" w:rsidP="000E7C8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непредвидимото събитие е специфично за заемополучателя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2F85816A" w14:textId="5DC81821" w:rsidR="000E7C87" w:rsidRPr="00E46106" w:rsidRDefault="00C17E42" w:rsidP="000E7C8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времето и сумата на променливост в договорните парични потоци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могат да бъдат определени и са посочени в договора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2FC27F33" w14:textId="14B5D4A5" w:rsidR="000E7C87" w:rsidRPr="00E46106" w:rsidRDefault="00C17E42" w:rsidP="000E7C8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договорните парични потоци, възникващи от непредвидимото събитие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не представляват инвестиция в заемополучателя или изложеност на резултатите 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представянето на основните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3968A23" w14:textId="228F36FF" w:rsidR="000E7C87" w:rsidRPr="00E46106" w:rsidRDefault="00BF572B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реши също така в порядък на работна хипотеза 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добави примери, за да илюстрира прилагането на оценяването на характеристиките на договорните парични потоци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 конкретни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фактически обстановки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13E4CE9" w14:textId="7131E03E" w:rsidR="000E7C87" w:rsidRPr="00E46106" w:rsidRDefault="0024381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тези решения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E196B92" w14:textId="5C552769" w:rsidR="000E7C87" w:rsidRPr="00E46106" w:rsidRDefault="00E6674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Финансови активи без право на регресен иск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и договорно свързани инструменти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16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1040B395" w14:textId="0E131172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за да поясни, че финансов актив без право на регресен иск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D36120E" w14:textId="5285FF83" w:rsidR="000E7C87" w:rsidRPr="00E46106" w:rsidRDefault="00E66740" w:rsidP="000E7C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излага заемодателя на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риск от резултатността на основните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 време на целия срок на инструмента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както при извършване на договорните плащания, така и при неизпълнение на задълженията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3E5F5C08" w14:textId="398FF8EF" w:rsidR="000E7C87" w:rsidRPr="00E46106" w:rsidRDefault="00E66740" w:rsidP="000E7C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ограничава договорното право на заемодателя да получава договорните плащания в течение на срока на инструмента до паричните потоци, генерирани от основните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B5A7A8B" w14:textId="55C01271" w:rsidR="000E7C87" w:rsidRPr="00E46106" w:rsidRDefault="00BF572B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реши също така в порядък на работна хипотеза 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включи примери за уместните фактори, които предприятието би могло да вземе под внимание, когато оценява характеристиките на договорните парични потоци на финансов актив без право на регресен иск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E6674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например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91C05F5" w14:textId="79755594" w:rsidR="000E7C87" w:rsidRPr="00E46106" w:rsidRDefault="00E66740" w:rsidP="000E7C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юридическата или </w:t>
      </w:r>
      <w:r w:rsidR="005660F5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капиталова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структура на заемополучателя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131D4B5E" w14:textId="72997BC6" w:rsidR="000E7C87" w:rsidRPr="00E46106" w:rsidRDefault="005660F5" w:rsidP="000E7C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степента, в която очакваните парични потоци от основните активи надвишават договорните парични потоци от финансовия актив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или</w:t>
      </w:r>
    </w:p>
    <w:p w14:paraId="65E113F0" w14:textId="24B55589" w:rsidR="000E7C87" w:rsidRPr="00E46106" w:rsidRDefault="005660F5" w:rsidP="000E7C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дали са налице други източници на финансиране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т.е., кредити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 които да са подчинени спрямо кредита от заемодателя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6C6C046" w14:textId="75A29D8B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1CAE7FE" w14:textId="780366FA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660F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поясни, че уникалните характеристики на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660F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структура от договорно свързани инструменти са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032B558" w14:textId="4C5D42F4" w:rsidR="000E7C87" w:rsidRPr="00E46106" w:rsidRDefault="005660F5" w:rsidP="000E7C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използването на множество договорно свързани инструменти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2463C20B" w14:textId="29947CD2" w:rsidR="000E7C87" w:rsidRPr="00E46106" w:rsidRDefault="005660F5" w:rsidP="000E7C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наличие на характеристики „без право на регресен иск“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2217E801" w14:textId="671D906E" w:rsidR="000E7C87" w:rsidRPr="00E46106" w:rsidRDefault="005660F5" w:rsidP="000E7C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приоритизиране на плащанията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чрез каскадна структура на плащанията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0A2C3732" w14:textId="5AE22AAC" w:rsidR="000E7C87" w:rsidRPr="00E46106" w:rsidRDefault="005660F5" w:rsidP="000E7C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концентрации на кредитен риск, които намаляват непропорционално договорни права в случай на недостиг на парични потоци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D4E41EB" w14:textId="2E819FD6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5660F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в порядък на работна хипотеза да поясни, че препратката към „инструменти“ в параграф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660F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4.1.23 </w:t>
      </w:r>
      <w:r w:rsidR="005660F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 </w:t>
      </w:r>
      <w:r w:rsidR="00630F1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включва финансови инструменти, които не попадат изцяло в обхвата на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9, </w:t>
      </w:r>
      <w:r w:rsidR="00630F1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например вземания по лизинг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E43BC86" w14:textId="0777A543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7A42697" w14:textId="1B18031A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F693463" w14:textId="37D1B1FE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630F1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с обсъжданията на допълнителни потенциални пояснения на изискванията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20BA962" w14:textId="36BBEFDC" w:rsidR="000E7C87" w:rsidRPr="00E46106" w:rsidRDefault="00920D30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Репутация и обезценка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18)</w:t>
      </w:r>
    </w:p>
    <w:p w14:paraId="746DF242" w14:textId="45EE25CD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20 септември 2022 г. IASB проведе заседание, за да обсъди </w:t>
      </w:r>
      <w:r w:rsidR="00920D3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някои от предварителните виждания, свързани с оповестяванията относно бизнес комбинации, които бяха изразени в Документа за обсъждане </w:t>
      </w:r>
      <w:r w:rsidR="00920D30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Бизнес комбинации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—</w:t>
      </w:r>
      <w:r w:rsidR="00920D30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оповестявания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920D30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репутация и обезценка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.</w:t>
      </w:r>
    </w:p>
    <w:p w14:paraId="38F3D021" w14:textId="1C3F6C59" w:rsidR="000E7C87" w:rsidRPr="00E46106" w:rsidRDefault="00920D3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Цели на оповестяването</w:t>
      </w:r>
    </w:p>
    <w:p w14:paraId="7C844918" w14:textId="1080B2F5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20D3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предложи добавяне на две нови цели на оповестяването към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Бизнес комбинации</w:t>
      </w:r>
      <w:r w:rsidR="00920D30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920D3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които биха изисквали </w:t>
      </w:r>
      <w:r w:rsidR="00920D3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предприятието да оповестява информация, която да помогне на потребителите на финансови отчети да разберат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9F50604" w14:textId="6A8164A6" w:rsidR="000E7C87" w:rsidRPr="00E46106" w:rsidRDefault="00920D30" w:rsidP="000E7C8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ползите, които предприятието е очаквало от дадена бизнес комбинация, когато договаря цената за придобиване на бизнеса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47F4C1A9" w14:textId="177FD5F9" w:rsidR="000E7C87" w:rsidRPr="00E46106" w:rsidRDefault="00920D30" w:rsidP="000E7C8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степента, в която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целите на предприятието във връзка с бизнес комбинацията са изпълнени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3B65421" w14:textId="1E13670D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4C62066" w14:textId="79BFEF5B" w:rsidR="000E7C87" w:rsidRPr="00E46106" w:rsidRDefault="00920D3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Информация относно бизнес комбинациите</w:t>
      </w:r>
    </w:p>
    <w:p w14:paraId="4FD5BB8D" w14:textId="39530E95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920D30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588E989" w14:textId="473AA687" w:rsidR="000E7C87" w:rsidRPr="00E46106" w:rsidRDefault="00FA4326" w:rsidP="000E7C8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замяна на изискването предприятието да оповестява „основните причини за бизнес комбинацията“ в параграф Б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64(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г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3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 изискване да се оповестява „стратегическата обосновка за предприемане на бизнес комбинацията“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00741A65" w14:textId="1E727A50" w:rsidR="000E7C87" w:rsidRPr="00E46106" w:rsidRDefault="00FA4326" w:rsidP="000E7C8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добавяне към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3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 изискване предприятието да оповестява в годината на бизнес комбинацията количествена информация относно очакваната синергия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1253E35" w14:textId="663D5898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CD01C7F" w14:textId="0B982A7C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предложи добавяне към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 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изискване предприятието да оповестява - по отношение на „стратегически важни“ бизнес комбинации - информация относно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6E1FDAE" w14:textId="104D43CF" w:rsidR="000E7C87" w:rsidRPr="00E46106" w:rsidRDefault="00FA4326" w:rsidP="000E7C8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целите на ръководството </w:t>
      </w:r>
      <w:r w:rsidR="00361CA4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при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46CDB6A0" w14:textId="3ACB6443" w:rsidR="000E7C87" w:rsidRPr="00E46106" w:rsidRDefault="00FA4326" w:rsidP="000E7C8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показателите и целите, които ръководството ще използва, за да наблюдава текущо дали тези цели са постигнати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5CE4049F" w14:textId="0365BA1C" w:rsidR="000E7C87" w:rsidRPr="00E46106" w:rsidRDefault="00FA4326" w:rsidP="000E7C8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 последващи периоди, степента на постигане на целите на ръководството, като се използват тези показатели, докато ръководството наблюдава текущо бизнес комбинацията спрямо нейните цели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32922234" w14:textId="7A111A38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B36E196" w14:textId="4B6FC2B1" w:rsidR="000E7C87" w:rsidRPr="00E46106" w:rsidRDefault="00FA4326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„Стратегически важни“ бизнес комбинации</w:t>
      </w:r>
    </w:p>
    <w:p w14:paraId="7378EFE9" w14:textId="30093EBD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че „стратегически важна“ бизнес комбинация ще </w:t>
      </w:r>
      <w:r w:rsidR="0059672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бъде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бизнес комбинация, при която непостигането на целите би поставило под сериозен риск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постигането на </w:t>
      </w:r>
      <w:r w:rsidR="0059672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цялостната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бизнес стратегия от страна на предприятието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бъдат идентифицирани такива бизнес комбинации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BF572B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реши в порядък на работна хипотеза </w:t>
      </w:r>
      <w:r w:rsidR="00FA4326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използването на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9672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окончателен списък с прагове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59672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бизнес комбинация, която отговаря на който и да е от тези прагове би била „стратегически важна“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59672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Праговете ще са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198B53C" w14:textId="25AF2A05" w:rsidR="000E7C87" w:rsidRPr="00E46106" w:rsidRDefault="00596728" w:rsidP="000E7C8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количествени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—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т.е., бизнес комбинация, при която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</w:t>
      </w:r>
    </w:p>
    <w:p w14:paraId="5A6D6E60" w14:textId="2F9CD514" w:rsidR="000E7C87" w:rsidRPr="00E46106" w:rsidRDefault="00596728" w:rsidP="000E7C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lastRenderedPageBreak/>
        <w:t>оперативната печалба на придобиваното предприятие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която ще бъде дефинирана в рамките на проекта на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IASB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 посветен на основните финансови отчети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надвишава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10%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оперативната печалба на придобиващото предприятие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за последния годишен отчетен период на придобиващото предприятие, завършващ преди приключване на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33303FD4" w14:textId="5685C7AE" w:rsidR="000E7C87" w:rsidRPr="00E46106" w:rsidRDefault="00596728" w:rsidP="000E7C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приходите на придобиваното предприятие надвишават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10%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приходите на придобиващото предприятие за последния годишен отчетен период на придобиващото предприятие, завършващ преди приключване на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или</w:t>
      </w:r>
    </w:p>
    <w:p w14:paraId="5D0D7CFC" w14:textId="3136B944" w:rsidR="000E7C87" w:rsidRPr="00E46106" w:rsidRDefault="00596728" w:rsidP="000E7C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сумите, признати към датата на придобиване за всички придобити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включително репутацията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надвишават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10%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балансовите стойности на активите, признати в баланса на придобиващото предприятие към датата на последния отчетен период на придобиващото предприятие преди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980A8A2" w14:textId="3969FB79" w:rsidR="000E7C87" w:rsidRPr="00E46106" w:rsidRDefault="00596728" w:rsidP="000E7C8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качествени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—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т.е., бизнес комбинация, която води до това предприятието да навлезе в нова географска област на оперативна дейност или ново основно направление в бизнеса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7D24DEF" w14:textId="7C72FB18" w:rsidR="000E7C87" w:rsidRPr="00E46106" w:rsidRDefault="0024381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Десет от единадесетте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A047FB3" w14:textId="22750E05" w:rsidR="000E7C87" w:rsidRPr="00E46106" w:rsidRDefault="00A74175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Изключение от изискването за оповестяване на информация</w:t>
      </w:r>
    </w:p>
    <w:p w14:paraId="09A3C082" w14:textId="2C808834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предложи изключение от изискванията при конкретни обстоятелства, което би разрешило на предприятието да не оповестява информация относно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A1D03D4" w14:textId="63D73DE2" w:rsidR="000E7C87" w:rsidRPr="00E46106" w:rsidRDefault="00361CA4" w:rsidP="000E7C8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целите на ръководството при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7628DC97" w14:textId="0D4CAEC4" w:rsidR="000E7C87" w:rsidRPr="00E46106" w:rsidRDefault="00361CA4" w:rsidP="000E7C8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показателите и целите, които ръководството ще използва, за да наблюдава текущо дали тези цели са постигнати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8A3815F" w14:textId="355B5905" w:rsidR="000E7C87" w:rsidRPr="00E46106" w:rsidRDefault="00361CA4" w:rsidP="000E7C8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количествената информация относно синергията, която се очаква да възникне от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3A6DE5F" w14:textId="7CF9C39F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3ADB994" w14:textId="6292BCE6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предлага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изключение от изискванията за оповестяване на информация относно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AB53F26" w14:textId="35564CC1" w:rsidR="000E7C87" w:rsidRPr="00E46106" w:rsidRDefault="00361CA4" w:rsidP="000E7C8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стратегическата обосновка за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6449396" w14:textId="34263BFF" w:rsidR="000E7C87" w:rsidRPr="00E46106" w:rsidRDefault="00361CA4" w:rsidP="000E7C8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действителната резултатност в последващи периоди, използвайки показателите, които ръководството използва, за да наблюдава текущо дали целите на бизнес комбинацията са постигнати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FDEA1DB" w14:textId="6D58011E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AF42985" w14:textId="3F9E196F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даде указания относно разработването на изключенията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частност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IASB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даде указания на екипа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: (a)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позволи изключението в ситуации, при които може да се очаква оповестяването на дадена информация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навреди сериозно на някоя от целите на предприятието при бизнес комбинацията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361CA4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допълни изключението с насоки за прилагане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3E9C0CA" w14:textId="38069F54" w:rsidR="000E7C87" w:rsidRPr="00E46106" w:rsidRDefault="0024381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995C765" w14:textId="53EA6A63" w:rsidR="000E7C87" w:rsidRPr="00E46106" w:rsidRDefault="00361CA4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Алтернативи, които не бяха обект на по-нататъшно разглеждане</w:t>
      </w:r>
    </w:p>
    <w:p w14:paraId="420F4881" w14:textId="716A53B6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F5D5C65" w14:textId="027F95A6" w:rsidR="000E7C87" w:rsidRPr="00E46106" w:rsidRDefault="00361CA4" w:rsidP="000E7C8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да не изисква предприятието да оповестява </w:t>
      </w:r>
      <w:r w:rsidR="00D62E65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единствено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качествена информация в годината </w:t>
      </w:r>
      <w:r w:rsidR="00D62E65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бизнес комбинацията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BAE7F3C" w14:textId="25EA9B20" w:rsidR="000E7C87" w:rsidRPr="00E46106" w:rsidRDefault="00D62E65" w:rsidP="000E7C8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не посочва показатели, за които да се изисква всички предприятия да оповестяват информация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053F3E5" w14:textId="19BA1307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FC05C86" w14:textId="25235389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1AA73B3" w14:textId="7C0E4C8A" w:rsidR="000E7C87" w:rsidRPr="00E46106" w:rsidRDefault="00D62E65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През последното тримесечие на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реши дали да продължи работа по предварителното си виждане, че следва да запази модела „само обезценка“ за счетоводното отчитане на репутацията или да проучи повторното въвеждане на амортизирането на репутацията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325469C" w14:textId="6E8C2890" w:rsidR="000E7C87" w:rsidRPr="00E46106" w:rsidRDefault="00D62E65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вземе решения относно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812AB6F" w14:textId="39E7AF19" w:rsidR="000E7C87" w:rsidRPr="00E46106" w:rsidRDefault="00D62E65" w:rsidP="000E7C8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други аспекти на оповестяванията относно бизнес комбинациите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5F479637" w14:textId="14874637" w:rsidR="000E7C87" w:rsidRPr="00E46106" w:rsidRDefault="00D62E65" w:rsidP="000E7C8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дали да премести проекта от фазата на изследователските проекти във фазата на изготвяне и въвеждане на стандарти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585AB477" w14:textId="2AF0EAB6" w:rsidR="000E7C87" w:rsidRPr="00E46106" w:rsidRDefault="00D62E65" w:rsidP="000E7C8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други теми, попадащи в обхвата на проекта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ACA1611" w14:textId="14F46D64" w:rsidR="000E7C87" w:rsidRPr="00E46106" w:rsidRDefault="00D62E65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Добивни дейности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19)</w:t>
      </w:r>
    </w:p>
    <w:p w14:paraId="25BD660A" w14:textId="24B0D2F7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22 септември 2022 г. IASB проведе заседание, за да обсъди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изследователския си проект, посветен на добивните дейности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Обхватът и целта на проекта са да </w:t>
      </w:r>
      <w:r w:rsidR="007D7294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се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проучи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E005BA1" w14:textId="12AAD286" w:rsidR="000E7C87" w:rsidRPr="00E46106" w:rsidRDefault="00D62E65" w:rsidP="000E7C8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разработване на изисквания или насоки за подобряване оповестяванията на предприятието относно неговите разходи и дейности по проучване и оценяване, за да се предостави по-полезна информация на потребителите на финансови отчети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EC83311" w14:textId="653E9B3B" w:rsidR="000E7C87" w:rsidRPr="00E46106" w:rsidRDefault="00D62E65" w:rsidP="000E7C8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отстраняване на временния статут на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6 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Проучване и оценяване на минерални ресурси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15BC528" w14:textId="6AAE8953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: (a)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констатациите от първата фаза на проекта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 (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предложения за оповестявания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плана за допълнителна изследователска работа по разработване на изисквания или насоки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D62E65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подобряване на целите и изискванията по отношение на оповестяванията 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6.</w:t>
      </w:r>
    </w:p>
    <w:p w14:paraId="38A748ED" w14:textId="1BA0D117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4A58B30" w14:textId="12942989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5DD95C45" w14:textId="6AE299A7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47566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планира да взаимодейства с ограничен кръг заинтересовани лица, включително потребители, съставители на финансови отчети, регулаторни органи и одитори, за да проучи допълнително предложенията, направени на това заседание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6B5A6DE" w14:textId="346A196B" w:rsidR="000E7C87" w:rsidRPr="00E46106" w:rsidRDefault="00475667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Основни финансови отчети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21)</w:t>
      </w:r>
    </w:p>
    <w:p w14:paraId="31CF90C1" w14:textId="5EBA3B01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20 и 21 септември 2022 г. IASB проведе заседание, за да разисква повторно </w:t>
      </w:r>
      <w:r w:rsidR="00E0381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предложенията в Проекта за обсъждане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E03819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Общо представяне и оповестявания,</w:t>
      </w:r>
      <w:r w:rsidR="000E7C87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E0381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отнасящи се до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2F10A91" w14:textId="424110C8" w:rsidR="000E7C87" w:rsidRPr="00E46106" w:rsidRDefault="00E03819" w:rsidP="000E7C8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необичайни приходи и разходи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21A);</w:t>
      </w:r>
    </w:p>
    <w:p w14:paraId="742F16F8" w14:textId="6D025ABE" w:rsidR="000E7C87" w:rsidRPr="00E46106" w:rsidRDefault="00E03819" w:rsidP="000E7C8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предприятия с конкретно посочена основна стопанска дейност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—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асоциирани и съвместни предприятия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);</w:t>
      </w:r>
    </w:p>
    <w:p w14:paraId="4D910E13" w14:textId="09938401" w:rsidR="000E7C87" w:rsidRPr="00E46106" w:rsidRDefault="00E03819" w:rsidP="000E7C8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инвестиции в дъщерни предприятия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асоциирани и съвместни предприятия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);</w:t>
      </w:r>
    </w:p>
    <w:p w14:paraId="50D5C18C" w14:textId="67B9F1BC" w:rsidR="000E7C87" w:rsidRPr="00E46106" w:rsidRDefault="00E03819" w:rsidP="000E7C8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класифициране на допълнителни разходи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Г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);</w:t>
      </w:r>
    </w:p>
    <w:p w14:paraId="336EFF1D" w14:textId="505F0C05" w:rsidR="000E7C87" w:rsidRPr="00E46106" w:rsidRDefault="00E03819" w:rsidP="000E7C8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конкретно посочени междинни сборове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443DBA8D" w14:textId="5E360F37" w:rsidR="000E7C87" w:rsidRPr="00E46106" w:rsidRDefault="00E03819" w:rsidP="000E7C8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представяне на оперативни разходи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</w:p>
    <w:p w14:paraId="0F2A83D9" w14:textId="0BD79DA8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Необичайни приходи и разходи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21A)</w:t>
      </w:r>
    </w:p>
    <w:p w14:paraId="6D10E064" w14:textId="06A2B383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E0381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няма да продължава работата по конкретни изисквания по отношение на необичайните приходи и разходи като част от този проект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462FA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B7D3DE3" w14:textId="7A459A2F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Предприятия с конкретно посочена основна стопанска дейност—асоциирани и съвместни предприятия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4EBBF41F" w14:textId="2078C4E8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0381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изисква предприятие с конкретно посочена основна стопанска дейност да класифицира в инвестиционната категория приходи и разходи от асоциирани и съвместни предприятия, отчитани счетоводно с помощта на метода на собствения капитал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24381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единадесетте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B912E1E" w14:textId="07392EC0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 xml:space="preserve">Инвестиции в дъщерни предприятия, асоциирани и съвместни предприятия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В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2BA2FB1C" w14:textId="3F0347D6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26881C38" w14:textId="42CA7BA8" w:rsidR="000E7C87" w:rsidRPr="00E46106" w:rsidRDefault="00E03819" w:rsidP="000E7C8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поясни, че приходи</w:t>
      </w:r>
      <w:r w:rsidR="00806350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те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и разходи</w:t>
      </w:r>
      <w:r w:rsidR="00806350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те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от асоциирани и съвместни предприятия</w:t>
      </w:r>
      <w:r w:rsidR="00806350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, които не се отчитат счетоводно с помощта на метода на собствения капитал, включват приходите и разходите от асоциирани и съвместни предприятия, отчитани счетоводно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 </w:t>
      </w:r>
    </w:p>
    <w:p w14:paraId="4EAF48EA" w14:textId="550C91EE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 цена на придобиване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10(a)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27 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Самостоятелни финансови отчети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);</w:t>
      </w:r>
    </w:p>
    <w:p w14:paraId="358D182B" w14:textId="05AAC6FE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 съответствие 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 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27);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и4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  </w:t>
      </w:r>
    </w:p>
    <w:p w14:paraId="00E4F753" w14:textId="4A1D284E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по справедлива стойност през печалбата или загубата в съответствие 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18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28</w:t>
      </w:r>
      <w:r w:rsidR="000E7C87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Инвестиции в асоциирани и съвместни предприятия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br/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AF0EC7D" w14:textId="4EEF6A7E" w:rsidR="000E7C87" w:rsidRPr="00E46106" w:rsidRDefault="00806350" w:rsidP="000E7C8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приходите и разходите от инвестиции в дъщерни предприятия,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които не се отчитат счетоводно с помощта на метода на собствения капитал, да бъдат класифицирани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</w:t>
      </w:r>
    </w:p>
    <w:p w14:paraId="37AD603D" w14:textId="2A85AEEB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 инвестиционната категория, ако инвестирането в дъщерни предприятия не е основна стопанска дейност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1151C7AC" w14:textId="6F31A010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 оперативната категория, ако инвестирането в дъщерни предприятия е основна стопанска дейност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br/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965DE37" w14:textId="4BA0F288" w:rsidR="000E7C87" w:rsidRPr="00E46106" w:rsidRDefault="00806350" w:rsidP="000E7C8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поясни, че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приходите и разходите от инвестиции в дъщерни предприятия, които не се отчитат счетоводно с помощта на метода на собствения капитал, включват приходите и разходите от всички дъщерни предприятия, отчитани счетоводно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 </w:t>
      </w:r>
    </w:p>
    <w:p w14:paraId="240A9775" w14:textId="1A114173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по цена на придобиване 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10(a)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27);</w:t>
      </w:r>
    </w:p>
    <w:p w14:paraId="4561352D" w14:textId="632C03B9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в съответствие с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27);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3D41D8BD" w14:textId="30E2498F" w:rsidR="000E7C87" w:rsidRPr="00E46106" w:rsidRDefault="00806350" w:rsidP="000E7C8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по справедлива стойност през печалбата или загубата в съответствие с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9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31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</w:t>
      </w:r>
      <w:r w:rsidR="000E7C87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 </w:t>
      </w:r>
      <w:r w:rsidR="00540DC2" w:rsidRPr="00E46106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val="bg-BG"/>
        </w:rPr>
        <w:t>Консолидирани финансови отчети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).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br/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22498E3" w14:textId="28C18C40" w:rsidR="000E7C87" w:rsidRPr="00E46106" w:rsidRDefault="00806350" w:rsidP="000E7C8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предприятието да класифицира приходите и разходите от дъщерни предприятия, отчитани счетоводно с помощта на метода на собствения капитал, в инвестиционната категория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710A0837" w14:textId="5FD7BF81" w:rsidR="000E7C87" w:rsidRPr="00E46106" w:rsidRDefault="00806350" w:rsidP="000E7C8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поясни, че начинът, по който предприятието категоризира дъщерните си предприятия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асоциираните и съвместни предприятия, за да оцени дали инвестирането в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дъщерни предприятия, асоциирани и съвместни предприятия е основна стопанска дейност следва да е в съответствие с начина, по който предприятието категоризира инвестициите си, за да определи базата за оценяване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27).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br/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8EA1853" w14:textId="5C28A284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Класифициране на допълнителни разходи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Г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37B3E2D2" w14:textId="09F3486C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4E7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оттегли предложеното изискване в Проекта за обсъждане предприятието да класифицира допълнителните разходи в инвестиционната категория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462FA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B1174C0" w14:textId="6E98C793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E4E7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поиска екипът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E4E7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поясни, като редакционно съображение, видовете приходи и разходи, класифицирани в инвестиционната категория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7B890CA" w14:textId="51632A09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Конкретно посочени междинни сборове 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3E976136" w14:textId="0066058F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0792790" w14:textId="27D996A0" w:rsidR="000E7C87" w:rsidRPr="00E46106" w:rsidRDefault="007E4E78" w:rsidP="000E7C8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потвърди предложението, че конкретно посочените междинни сборове, изброени в 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104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Проекта за обсъждане не представляват оценки на ръководството за резултатите от дейността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52EF9C13" w14:textId="289FF612" w:rsidR="000E7C87" w:rsidRPr="00E46106" w:rsidRDefault="007E4E78" w:rsidP="000E7C8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добави „оперативна печалба или загуба и приходи и разходи от инвестиции, отчитани счетоводно с помощта на метода на собствения капитал“ към списъка от конкретно посочени междинни сборове в 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104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Проекта за обсъждане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4D4359CC" w14:textId="4C5F0AB4" w:rsidR="000E7C87" w:rsidRPr="00E46106" w:rsidRDefault="007E4E78" w:rsidP="000E7C8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потвърди примерите за междинни сборове, сходни с брутната печалба, изброени в параграф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Б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78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Проекта за обсъждане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="008462FA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BD8B93B" w14:textId="28095DC0" w:rsidR="000E7C87" w:rsidRPr="00E46106" w:rsidRDefault="007E4E78" w:rsidP="000E7C8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посочи в насоките за приложение, че ако оценка на ръководството за резултатите от дейността е равнена с конкретно посочен междинен сбор, който не е представен в отчета за печалбата или загубата, от предприятието се изисква да равни този конкретно посочен междинен сбор с междинен сбор, представен в отчета или отчетите за финансовите резултати от дейността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.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предприятието няма да се изисква да оповестява друга информация, свързана с конкретно посочения междинен сбор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  </w:t>
      </w:r>
    </w:p>
    <w:p w14:paraId="3446E945" w14:textId="5D416DD3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F6FD7EE" w14:textId="3C4AB0B5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7E4E78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поиска също така от екипа да проучи общо изискване за равняване по отношение на междинните сборове, които са оповестени в пояснителните приложения, но не са представени в отчета или отчетите за финансовите резултати от дейността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0BB9377" w14:textId="76B8C4D0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Представяне на оперативни разходи</w:t>
      </w:r>
      <w:r w:rsidR="000E7C87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> 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 xml:space="preserve"> 21</w:t>
      </w:r>
      <w:r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Е</w:t>
      </w:r>
      <w:r w:rsidR="000E7C87" w:rsidRPr="00E46106">
        <w:rPr>
          <w:rFonts w:ascii="Helvetica" w:eastAsia="Times New Roman" w:hAnsi="Helvetica" w:cs="Helvetica"/>
          <w:b/>
          <w:bCs/>
          <w:color w:val="575757"/>
          <w:sz w:val="24"/>
          <w:szCs w:val="24"/>
          <w:lang w:val="bg-BG"/>
        </w:rPr>
        <w:t>)</w:t>
      </w:r>
    </w:p>
    <w:p w14:paraId="5714F314" w14:textId="645C4F75" w:rsidR="000E7C87" w:rsidRPr="00E46106" w:rsidRDefault="0035078F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9BE1E9B" w14:textId="6F5F2099" w:rsidR="000E7C87" w:rsidRPr="00E46106" w:rsidRDefault="007E4E78" w:rsidP="000E7C8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разшири пояснението в описанието</w:t>
      </w:r>
      <w:r w:rsidR="000C3BF2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на метода на представяне на разходите по тяхната функция, за да поясни как този метод включва разпределяне и агрегиране на оперативни разходи според дейността, до която се отнасят потребените икономически ресурси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6DA90011" w14:textId="421061CB" w:rsidR="000E7C87" w:rsidRPr="00E46106" w:rsidRDefault="000C3BF2" w:rsidP="000E7C8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lastRenderedPageBreak/>
        <w:t>да предостави насоки за приложение, за да поясни ролята на основните финансови отчети и принципите за агрегиране и дезагрегиране при прилагане не метода на представяне на разходите според тяхната функция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7746B43" w14:textId="08AE4BD8" w:rsidR="000E7C87" w:rsidRPr="00E46106" w:rsidRDefault="000C3BF2" w:rsidP="000E7C8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предприятието да включи в себестойността на продажбите балансовата стойност на материални запаси, признати като разход през периода, в който се представя себестойността на продажбите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843B026" w14:textId="68185FC0" w:rsidR="000E7C87" w:rsidRPr="00E46106" w:rsidRDefault="000C3BF2" w:rsidP="000E7C8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да изисква предприятие, което представя функционални позиции на отделен ред да оповестява текстово описание какъв вид разходи 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(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на базата на тяхното естество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)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са включени във всяка функционална позиция на отделен ред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77C96E3A" w14:textId="7152CDE0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596B1C4" w14:textId="33AB7C12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0C3BF2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в порядък на работна хипотеза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12E6813" w14:textId="752D6F28" w:rsidR="000E7C87" w:rsidRPr="00E46106" w:rsidRDefault="002C02CF" w:rsidP="000E7C8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потвърди предложенията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 </w:t>
      </w:r>
    </w:p>
    <w:p w14:paraId="6C5B5965" w14:textId="5715EF13" w:rsidR="000E7C87" w:rsidRPr="00E46106" w:rsidRDefault="002C02CF" w:rsidP="000E7C8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оперативните разходи да бъдат представяни в отчета за печалбата или загубата, използвайки класификация, базирана или на тяхното естество, или на тяхната функция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07817640" w14:textId="5C869018" w:rsidR="000E7C87" w:rsidRPr="00E46106" w:rsidRDefault="002C02CF" w:rsidP="000E7C8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включи насоки за приложение относно вземането на решение кой метод за представяне на оперативните разходи предоставя най-полезна информация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включително факторите, изложени в параграф Б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45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от Проекта за обсъждане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0CA22C53" w14:textId="445BDF04" w:rsidR="000E7C87" w:rsidRPr="00E46106" w:rsidRDefault="002C02CF" w:rsidP="000E7C8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оттегли предложената забрана за смесено представяне на оперативните разходи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 </w:t>
      </w:r>
    </w:p>
    <w:p w14:paraId="448B3309" w14:textId="2D9DB507" w:rsidR="000E7C87" w:rsidRPr="00E46106" w:rsidRDefault="002C02CF" w:rsidP="000E7C8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изисква предприятието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когато преценява кой метод да използва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вземе под внимание ролята на основните финансови отчети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2B31B3AB" w14:textId="1C669783" w:rsidR="000E7C87" w:rsidRPr="00E46106" w:rsidRDefault="002C02CF" w:rsidP="000E7C8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предостави примери за случаите, когато смесеното представяне може да осигури най-полезна информация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CC660F8" w14:textId="0D564924" w:rsidR="000E7C87" w:rsidRPr="00E46106" w:rsidRDefault="002C02CF" w:rsidP="000E7C8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да предостави насоки за приложение, за да поясни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:</w:t>
      </w:r>
    </w:p>
    <w:p w14:paraId="5182C643" w14:textId="087C752D" w:rsidR="000E7C87" w:rsidRPr="00E46106" w:rsidRDefault="002C02CF" w:rsidP="000E7C8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изискването за последователно представяне на оперативните разходи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 различните отчетни периоди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20FCCCB6" w14:textId="395CB591" w:rsidR="000E7C87" w:rsidRPr="00E46106" w:rsidRDefault="002C02CF" w:rsidP="000E7C8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как да бъдат наречени позициите на отделен ред според естеството на разходите, когато се използва смесено представяне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1D4629D3" w14:textId="17EABD08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03819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 условие, че бъдат взети под внимание някои съображения във връзка с редакцията на насоките за прилагане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7BF56F9" w14:textId="73982D29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27867B2" w14:textId="6BEAC88B" w:rsidR="000E7C87" w:rsidRPr="00E46106" w:rsidRDefault="00E03819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разискванията на предложенията по проекта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02EFE52" w14:textId="3F51C0D8" w:rsidR="000E7C87" w:rsidRPr="00E46106" w:rsidRDefault="002C02CF" w:rsidP="000E7C8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Поддържане и последователно прилагане</w:t>
      </w:r>
    </w:p>
    <w:p w14:paraId="75DF3D91" w14:textId="59180F0E" w:rsidR="000E7C87" w:rsidRPr="00E46106" w:rsidRDefault="002C02CF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lastRenderedPageBreak/>
        <w:t>Поддържане и последователно прилагане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12)</w:t>
      </w:r>
    </w:p>
    <w:p w14:paraId="1049E335" w14:textId="380ACD59" w:rsidR="000E7C87" w:rsidRPr="00E46106" w:rsidRDefault="002F7F4C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22 септември 2022 г. IASB проведе заседание, за да разгледа </w:t>
      </w:r>
      <w:r w:rsidR="002C02C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документ, обсъден на проведеното през юни 2022 г. заседание на Комитета по разясненията на 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2C02C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„Комитетът“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); </w:t>
      </w:r>
      <w:r w:rsidR="002C02C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нуждаещ се от уточняване въпрос във връзка с проекта, посветен на нетекущите пасиви с договорни клаузи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2C02C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изменение на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1).</w:t>
      </w:r>
    </w:p>
    <w:p w14:paraId="7D9E21B8" w14:textId="2B4188D1" w:rsidR="000E7C87" w:rsidRPr="00E46106" w:rsidRDefault="002C02CF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Парични средства, получени посредством електронен превод като уреждане на финансов актив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МСФО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9)—</w:t>
      </w:r>
      <w:r w:rsidR="002F7F4C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Следващи етапи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12A)</w:t>
      </w:r>
    </w:p>
    <w:p w14:paraId="36809C43" w14:textId="5264D656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обсъжданията на Комитета и коментарите на предоставилите становище лица във връзка с документа</w:t>
      </w:r>
      <w:r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891ECD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Парични средства, получени посредством електронен превод като уреждане на финансов актив</w:t>
      </w:r>
      <w:r w:rsidR="00891ECD" w:rsidRPr="00E46106">
        <w:rPr>
          <w:rFonts w:ascii="Helvetica" w:eastAsia="Times New Roman" w:hAnsi="Helvetica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9 </w:t>
      </w:r>
      <w:r w:rsidR="00891ECD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7EF77919" w14:textId="66C3EA69" w:rsidR="000E7C87" w:rsidRPr="00E46106" w:rsidRDefault="00891ECD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След като взе под внимание тези обсъждания и коментари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реши да проучи </w:t>
      </w:r>
      <w:r w:rsidR="007D7294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процес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с тесен обхват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D7294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по изготвяне и въвеждане на стандарти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част от прегледа след въвеждане на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31BF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9.</w:t>
      </w:r>
    </w:p>
    <w:p w14:paraId="76EDAE36" w14:textId="0ACBDF3A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74150D2" w14:textId="760C6447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3FC63DDD" w14:textId="211880A4" w:rsidR="000E7C87" w:rsidRPr="00E46106" w:rsidRDefault="00891ECD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заседание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проучи </w:t>
      </w:r>
      <w:r w:rsidR="007D7294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възможния </w:t>
      </w:r>
      <w:r w:rsidR="007D7294" w:rsidRPr="007D7294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процес с тесен обхват по изготвяне и въвеждане на стандарти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3401C41" w14:textId="7A952D52" w:rsidR="000E7C87" w:rsidRPr="00E46106" w:rsidRDefault="00891ECD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Нетекущи пасиви с договорни клаузи (МСС 1)—Въпрос, нуждаещ се от уточняване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(</w:t>
      </w:r>
      <w:r w:rsidR="00A931BF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 xml:space="preserve"> 12</w:t>
      </w: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Б</w:t>
      </w:r>
      <w:r w:rsidR="000E7C87"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)</w:t>
      </w:r>
    </w:p>
    <w:p w14:paraId="3D88C2B4" w14:textId="5108C87B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разгледа нуждаещ се от уточняване въпрос, идентифициран по време на гласуване на измененията в </w:t>
      </w:r>
      <w:r w:rsidR="003004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1</w:t>
      </w:r>
      <w:r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540DC2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891ECD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направи като част от проекта си, посветен на нетекущите пасиви с договорни клаузи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изменения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2022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).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По-конкретно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IASB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изискванията за по-ранно прилагане на измененията, направени в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004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МСС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през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2020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 в</w:t>
      </w:r>
      <w:r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891ECD"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Класифициране на пасивите като текущи или нетекущи</w:t>
      </w:r>
      <w:r w:rsidRPr="00E46106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изменения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2020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42A24C1B" w14:textId="09B03075" w:rsidR="000E7C87" w:rsidRPr="00E46106" w:rsidRDefault="009B6CD0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 да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74E840B" w14:textId="028E4714" w:rsidR="000E7C87" w:rsidRPr="00E46106" w:rsidRDefault="00891ECD" w:rsidP="000E7C8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разреши по-ранното прилагане на изменения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2020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г.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но</w:t>
      </w:r>
    </w:p>
    <w:p w14:paraId="4A2C8AD6" w14:textId="7D01732C" w:rsidR="000E7C87" w:rsidRPr="00E46106" w:rsidRDefault="00891ECD" w:rsidP="000E7C8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след издаване на измененията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2022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г. да изисква предприятие, което прилага измененията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2020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г. по-рано да прилага също и изменения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 2022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г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29D722B6" w14:textId="7B606F74" w:rsidR="000E7C87" w:rsidRPr="00E46106" w:rsidRDefault="008462FA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единадесет членове на IASB изразиха съгласие с това решение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D5B7A55" w14:textId="62C10F0A" w:rsidR="000E7C87" w:rsidRPr="00E46106" w:rsidRDefault="002F7F4C" w:rsidP="000E7C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970DD07" w14:textId="526B6531" w:rsidR="000E7C87" w:rsidRPr="00E46106" w:rsidRDefault="000E7C87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очаква да издаде изменения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 през четвъртото тримесечие на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</w:t>
      </w:r>
      <w:r w:rsidR="00891ECD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9DC40B0" w14:textId="4B178E70" w:rsidR="000E7C87" w:rsidRPr="00E46106" w:rsidRDefault="00891ECD" w:rsidP="000E7C87">
      <w:pPr>
        <w:spacing w:before="45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Проекти, обсъждани по време на съвместното заседание на IASB и</w:t>
      </w:r>
      <w:r w:rsid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 xml:space="preserve"> </w:t>
      </w:r>
      <w:r w:rsidRPr="00E4610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bg-BG"/>
        </w:rPr>
        <w:t>FASB</w:t>
      </w:r>
    </w:p>
    <w:p w14:paraId="11AA968D" w14:textId="7AA4BEA3" w:rsidR="000E7C87" w:rsidRPr="00E46106" w:rsidRDefault="00E46106" w:rsidP="000E7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</w:pPr>
      <w:r w:rsidRPr="00E46106">
        <w:rPr>
          <w:rFonts w:ascii="Times New Roman" w:eastAsia="Times New Roman" w:hAnsi="Times New Roman" w:cs="Times New Roman"/>
          <w:b/>
          <w:bCs/>
          <w:color w:val="CD3333"/>
          <w:sz w:val="26"/>
          <w:szCs w:val="26"/>
          <w:lang w:val="bg-BG"/>
        </w:rPr>
        <w:t>Обсъждани теми</w:t>
      </w:r>
    </w:p>
    <w:p w14:paraId="585E6761" w14:textId="77A877EA" w:rsidR="000E7C87" w:rsidRPr="00E46106" w:rsidRDefault="00891ECD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30 септември 2022 г. 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проведе образователно заседание със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40DC2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Съвета по финансово-счетоводни стандарти на САЩ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(FASB). </w:t>
      </w: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Двата съвета обсъдиха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8B0CB02" w14:textId="4BF8F424" w:rsidR="000E7C87" w:rsidRPr="00E46106" w:rsidRDefault="00891ECD" w:rsidP="000E7C8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дигитални активи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7168CC3D" w14:textId="4F3469C8" w:rsidR="000E7C87" w:rsidRPr="00E46106" w:rsidRDefault="00891ECD" w:rsidP="000E7C8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репутация и обезценка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;</w:t>
      </w:r>
    </w:p>
    <w:p w14:paraId="5C70290F" w14:textId="3F49F954" w:rsidR="000E7C87" w:rsidRPr="00E46106" w:rsidRDefault="00E46106" w:rsidP="000E7C8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теми, свързани с дезагрегиране на информацията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включително основни финансови отчети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разходи в отчета за доходите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,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оповестяване на данъци по доходите и сегменти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 xml:space="preserve">; </w:t>
      </w: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и</w:t>
      </w:r>
    </w:p>
    <w:p w14:paraId="55E409AD" w14:textId="0F325C15" w:rsidR="000E7C87" w:rsidRPr="00E46106" w:rsidRDefault="00E46106" w:rsidP="000E7C8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</w:pPr>
      <w:r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неотдавнашните консултации по програмите на двата съвета</w:t>
      </w:r>
      <w:r w:rsidR="000E7C87" w:rsidRPr="00E46106">
        <w:rPr>
          <w:rFonts w:ascii="Times New Roman" w:eastAsia="Times New Roman" w:hAnsi="Times New Roman" w:cs="Times New Roman"/>
          <w:color w:val="575757"/>
          <w:sz w:val="24"/>
          <w:szCs w:val="24"/>
          <w:lang w:val="bg-BG"/>
        </w:rPr>
        <w:t>.</w:t>
      </w:r>
    </w:p>
    <w:p w14:paraId="37E8202E" w14:textId="735C2428" w:rsidR="000E7C87" w:rsidRPr="00E46106" w:rsidRDefault="00E46106" w:rsidP="000E7C8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двата съвета не бе поискано да вземат каквито и да е решения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  <w:r w:rsidR="000E7C87" w:rsidRPr="00E46106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br/>
      </w:r>
    </w:p>
    <w:p w14:paraId="74396DA6" w14:textId="77777777" w:rsidR="006F5411" w:rsidRPr="00E46106" w:rsidRDefault="006F5411">
      <w:pPr>
        <w:rPr>
          <w:lang w:val="bg-BG"/>
        </w:rPr>
      </w:pPr>
    </w:p>
    <w:sectPr w:rsidR="006F5411" w:rsidRPr="00E4610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96F"/>
    <w:multiLevelType w:val="multilevel"/>
    <w:tmpl w:val="4940898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C1478"/>
    <w:multiLevelType w:val="multilevel"/>
    <w:tmpl w:val="4E6E61E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9184B"/>
    <w:multiLevelType w:val="multilevel"/>
    <w:tmpl w:val="F2FEBCC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D62"/>
    <w:multiLevelType w:val="multilevel"/>
    <w:tmpl w:val="61BE24D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67C1A"/>
    <w:multiLevelType w:val="multilevel"/>
    <w:tmpl w:val="3736833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60332"/>
    <w:multiLevelType w:val="multilevel"/>
    <w:tmpl w:val="7D4C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3395D"/>
    <w:multiLevelType w:val="multilevel"/>
    <w:tmpl w:val="CD84E0C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22A30"/>
    <w:multiLevelType w:val="multilevel"/>
    <w:tmpl w:val="01EAD316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8027A"/>
    <w:multiLevelType w:val="multilevel"/>
    <w:tmpl w:val="F4027AD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A707F"/>
    <w:multiLevelType w:val="multilevel"/>
    <w:tmpl w:val="29A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64ADE"/>
    <w:multiLevelType w:val="multilevel"/>
    <w:tmpl w:val="BFA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A3F73"/>
    <w:multiLevelType w:val="multilevel"/>
    <w:tmpl w:val="D6C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20B2E"/>
    <w:multiLevelType w:val="multilevel"/>
    <w:tmpl w:val="262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8362B"/>
    <w:multiLevelType w:val="multilevel"/>
    <w:tmpl w:val="AD2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B69E4"/>
    <w:multiLevelType w:val="multilevel"/>
    <w:tmpl w:val="A2B6C148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80BC0"/>
    <w:multiLevelType w:val="multilevel"/>
    <w:tmpl w:val="DE72537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41448"/>
    <w:multiLevelType w:val="multilevel"/>
    <w:tmpl w:val="6A80307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E7908"/>
    <w:multiLevelType w:val="multilevel"/>
    <w:tmpl w:val="D6B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A5528"/>
    <w:multiLevelType w:val="multilevel"/>
    <w:tmpl w:val="6B82C0F8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2104B"/>
    <w:multiLevelType w:val="multilevel"/>
    <w:tmpl w:val="812C1DA4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65637"/>
    <w:multiLevelType w:val="multilevel"/>
    <w:tmpl w:val="94EA646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11B39"/>
    <w:multiLevelType w:val="multilevel"/>
    <w:tmpl w:val="3BF8F916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C51EC"/>
    <w:multiLevelType w:val="multilevel"/>
    <w:tmpl w:val="465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0397B"/>
    <w:multiLevelType w:val="multilevel"/>
    <w:tmpl w:val="C700BE00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C300A"/>
    <w:multiLevelType w:val="multilevel"/>
    <w:tmpl w:val="4E8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1CBC"/>
    <w:multiLevelType w:val="multilevel"/>
    <w:tmpl w:val="C464D2E6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27C88"/>
    <w:multiLevelType w:val="multilevel"/>
    <w:tmpl w:val="7F40564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16683"/>
    <w:multiLevelType w:val="multilevel"/>
    <w:tmpl w:val="2444BEA8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09B7"/>
    <w:multiLevelType w:val="multilevel"/>
    <w:tmpl w:val="F7924E5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C4C74"/>
    <w:multiLevelType w:val="multilevel"/>
    <w:tmpl w:val="73E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E3842"/>
    <w:multiLevelType w:val="multilevel"/>
    <w:tmpl w:val="013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93E05"/>
    <w:multiLevelType w:val="multilevel"/>
    <w:tmpl w:val="A0FC882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F577C"/>
    <w:multiLevelType w:val="multilevel"/>
    <w:tmpl w:val="7E0E61B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82551"/>
    <w:multiLevelType w:val="multilevel"/>
    <w:tmpl w:val="89EED51A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567705">
    <w:abstractNumId w:val="5"/>
  </w:num>
  <w:num w:numId="2" w16cid:durableId="1471824440">
    <w:abstractNumId w:val="24"/>
  </w:num>
  <w:num w:numId="3" w16cid:durableId="49425757">
    <w:abstractNumId w:val="12"/>
  </w:num>
  <w:num w:numId="4" w16cid:durableId="2137215960">
    <w:abstractNumId w:val="22"/>
  </w:num>
  <w:num w:numId="5" w16cid:durableId="1689016514">
    <w:abstractNumId w:val="13"/>
  </w:num>
  <w:num w:numId="6" w16cid:durableId="542058646">
    <w:abstractNumId w:val="10"/>
  </w:num>
  <w:num w:numId="7" w16cid:durableId="2063556358">
    <w:abstractNumId w:val="29"/>
  </w:num>
  <w:num w:numId="8" w16cid:durableId="36398280">
    <w:abstractNumId w:val="32"/>
  </w:num>
  <w:num w:numId="9" w16cid:durableId="402531097">
    <w:abstractNumId w:val="8"/>
  </w:num>
  <w:num w:numId="10" w16cid:durableId="1033117996">
    <w:abstractNumId w:val="20"/>
  </w:num>
  <w:num w:numId="11" w16cid:durableId="409079137">
    <w:abstractNumId w:val="18"/>
  </w:num>
  <w:num w:numId="12" w16cid:durableId="121122986">
    <w:abstractNumId w:val="0"/>
  </w:num>
  <w:num w:numId="13" w16cid:durableId="1568956821">
    <w:abstractNumId w:val="15"/>
  </w:num>
  <w:num w:numId="14" w16cid:durableId="1904757080">
    <w:abstractNumId w:val="28"/>
  </w:num>
  <w:num w:numId="15" w16cid:durableId="432361607">
    <w:abstractNumId w:val="4"/>
  </w:num>
  <w:num w:numId="16" w16cid:durableId="1589344233">
    <w:abstractNumId w:val="16"/>
  </w:num>
  <w:num w:numId="17" w16cid:durableId="1411200196">
    <w:abstractNumId w:val="19"/>
  </w:num>
  <w:num w:numId="18" w16cid:durableId="400106459">
    <w:abstractNumId w:val="3"/>
  </w:num>
  <w:num w:numId="19" w16cid:durableId="1978954279">
    <w:abstractNumId w:val="2"/>
  </w:num>
  <w:num w:numId="20" w16cid:durableId="1094210670">
    <w:abstractNumId w:val="23"/>
  </w:num>
  <w:num w:numId="21" w16cid:durableId="1929148243">
    <w:abstractNumId w:val="7"/>
  </w:num>
  <w:num w:numId="22" w16cid:durableId="1024594018">
    <w:abstractNumId w:val="14"/>
  </w:num>
  <w:num w:numId="23" w16cid:durableId="1793399644">
    <w:abstractNumId w:val="33"/>
  </w:num>
  <w:num w:numId="24" w16cid:durableId="905726269">
    <w:abstractNumId w:val="1"/>
  </w:num>
  <w:num w:numId="25" w16cid:durableId="1132210193">
    <w:abstractNumId w:val="6"/>
  </w:num>
  <w:num w:numId="26" w16cid:durableId="608388315">
    <w:abstractNumId w:val="11"/>
  </w:num>
  <w:num w:numId="27" w16cid:durableId="101149077">
    <w:abstractNumId w:val="17"/>
  </w:num>
  <w:num w:numId="28" w16cid:durableId="894125591">
    <w:abstractNumId w:val="21"/>
  </w:num>
  <w:num w:numId="29" w16cid:durableId="1460802629">
    <w:abstractNumId w:val="26"/>
  </w:num>
  <w:num w:numId="30" w16cid:durableId="1474101795">
    <w:abstractNumId w:val="27"/>
  </w:num>
  <w:num w:numId="31" w16cid:durableId="153228782">
    <w:abstractNumId w:val="25"/>
  </w:num>
  <w:num w:numId="32" w16cid:durableId="1870339136">
    <w:abstractNumId w:val="31"/>
  </w:num>
  <w:num w:numId="33" w16cid:durableId="1938756315">
    <w:abstractNumId w:val="9"/>
  </w:num>
  <w:num w:numId="34" w16cid:durableId="8907272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87"/>
    <w:rsid w:val="0004643F"/>
    <w:rsid w:val="000A777C"/>
    <w:rsid w:val="000C3BF2"/>
    <w:rsid w:val="000E7C87"/>
    <w:rsid w:val="00176112"/>
    <w:rsid w:val="0024381F"/>
    <w:rsid w:val="002B4CD9"/>
    <w:rsid w:val="002C02CF"/>
    <w:rsid w:val="002F7F4C"/>
    <w:rsid w:val="003004CD"/>
    <w:rsid w:val="0031125A"/>
    <w:rsid w:val="0035078F"/>
    <w:rsid w:val="00361CA4"/>
    <w:rsid w:val="003E07B7"/>
    <w:rsid w:val="00475667"/>
    <w:rsid w:val="0052340C"/>
    <w:rsid w:val="0053674D"/>
    <w:rsid w:val="00540DC2"/>
    <w:rsid w:val="005660F5"/>
    <w:rsid w:val="0057469E"/>
    <w:rsid w:val="00596728"/>
    <w:rsid w:val="00630F18"/>
    <w:rsid w:val="006839C4"/>
    <w:rsid w:val="006F5411"/>
    <w:rsid w:val="007D7294"/>
    <w:rsid w:val="007E4E78"/>
    <w:rsid w:val="007F237C"/>
    <w:rsid w:val="00806350"/>
    <w:rsid w:val="00813929"/>
    <w:rsid w:val="008462FA"/>
    <w:rsid w:val="00877231"/>
    <w:rsid w:val="00891ECD"/>
    <w:rsid w:val="008E0E4C"/>
    <w:rsid w:val="008E6984"/>
    <w:rsid w:val="008F3295"/>
    <w:rsid w:val="008F4117"/>
    <w:rsid w:val="00914CA0"/>
    <w:rsid w:val="00920D30"/>
    <w:rsid w:val="0098308A"/>
    <w:rsid w:val="00985937"/>
    <w:rsid w:val="009B6CD0"/>
    <w:rsid w:val="009E5859"/>
    <w:rsid w:val="00A74175"/>
    <w:rsid w:val="00A931BF"/>
    <w:rsid w:val="00BF572B"/>
    <w:rsid w:val="00C17E42"/>
    <w:rsid w:val="00D62E65"/>
    <w:rsid w:val="00E03819"/>
    <w:rsid w:val="00E215B4"/>
    <w:rsid w:val="00E46106"/>
    <w:rsid w:val="00E66740"/>
    <w:rsid w:val="00F005BC"/>
    <w:rsid w:val="00FA4326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D627"/>
  <w15:chartTrackingRefBased/>
  <w15:docId w15:val="{C2406FD3-5775-45F6-829B-CAAB806E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1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804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4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07198">
                                                              <w:marLeft w:val="0"/>
                                                              <w:marRight w:val="0"/>
                                                              <w:marTop w:val="46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3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7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694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8" w:space="0" w:color="C6C6C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7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9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9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7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0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005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/2022/iasb-update-september-2022/" TargetMode="External"/><Relationship Id="rId13" Type="http://schemas.openxmlformats.org/officeDocument/2006/relationships/hyperlink" Target="https://www.ifrs.org/news-and-events/updates/iasb/2022/iasb-update-september-2022/" TargetMode="External"/><Relationship Id="rId18" Type="http://schemas.openxmlformats.org/officeDocument/2006/relationships/hyperlink" Target="https://www.ifrs.org/news-and-events/updates/iasb/2022/iasb-update-september-20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frs.org/news-and-events/updates/iasb/2022/iasb-update-september-2022/" TargetMode="External"/><Relationship Id="rId7" Type="http://schemas.openxmlformats.org/officeDocument/2006/relationships/hyperlink" Target="https://www.ifrs.org/content/ifrs/home/news-and-events/calendar/2022/september/joint-fasb-iasb-education-meeting.html" TargetMode="External"/><Relationship Id="rId12" Type="http://schemas.openxmlformats.org/officeDocument/2006/relationships/hyperlink" Target="https://www.ifrs.org/news-and-events/updates/iasb/2022/iasb-update-september-2022/" TargetMode="External"/><Relationship Id="rId17" Type="http://schemas.openxmlformats.org/officeDocument/2006/relationships/hyperlink" Target="https://www.ifrs.org/news-and-events/updates/iasb/2022/iasb-update-september-202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frs.org/news-and-events/updates/iasb/2022/iasb-update-september-2022/" TargetMode="External"/><Relationship Id="rId20" Type="http://schemas.openxmlformats.org/officeDocument/2006/relationships/hyperlink" Target="https://www.ifrs.org/news-and-events/updates/iasb/2022/iasb-update-september-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frs.org/content/ifrs/home/news-and-events/calendar/2022/september/international-accounting-standards-board.html" TargetMode="External"/><Relationship Id="rId11" Type="http://schemas.openxmlformats.org/officeDocument/2006/relationships/hyperlink" Target="https://www.ifrs.org/news-and-events/updates/iasb/2022/iasb-update-september-2022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frs.org/content/ifrs/home/projects/work-plan.html" TargetMode="External"/><Relationship Id="rId15" Type="http://schemas.openxmlformats.org/officeDocument/2006/relationships/hyperlink" Target="https://www.ifrs.org/news-and-events/updates/iasb/2022/iasb-update-september-2022/" TargetMode="External"/><Relationship Id="rId23" Type="http://schemas.openxmlformats.org/officeDocument/2006/relationships/hyperlink" Target="https://www.ifrs.org/content/dam/ifrs/project/pir-ifrs-9/rfi2021-2-pir-ifrs9.pdf" TargetMode="External"/><Relationship Id="rId10" Type="http://schemas.openxmlformats.org/officeDocument/2006/relationships/hyperlink" Target="https://www.ifrs.org/news-and-events/updates/iasb/2022/iasb-update-september-2022/" TargetMode="External"/><Relationship Id="rId19" Type="http://schemas.openxmlformats.org/officeDocument/2006/relationships/hyperlink" Target="https://www.ifrs.org/news-and-events/updates/iasb/2022/iasb-update-september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/2022/iasb-update-september-2022/" TargetMode="External"/><Relationship Id="rId14" Type="http://schemas.openxmlformats.org/officeDocument/2006/relationships/hyperlink" Target="https://www.ifrs.org/news-and-events/updates/iasb/2022/iasb-update-september-2022/" TargetMode="External"/><Relationship Id="rId22" Type="http://schemas.openxmlformats.org/officeDocument/2006/relationships/hyperlink" Target="https://www.ifrs.org/content/ifrs/home/projects/work-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5386</Words>
  <Characters>31998</Characters>
  <Application>Microsoft Office Word</Application>
  <DocSecurity>0</DocSecurity>
  <Lines>639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User</cp:lastModifiedBy>
  <cp:revision>3</cp:revision>
  <dcterms:created xsi:type="dcterms:W3CDTF">2022-10-26T05:08:00Z</dcterms:created>
  <dcterms:modified xsi:type="dcterms:W3CDTF">2022-10-26T05:31:00Z</dcterms:modified>
</cp:coreProperties>
</file>