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BEA0" w14:textId="294DF557" w:rsidR="00FD42B7" w:rsidRPr="00FD42B7" w:rsidRDefault="003A3ABC" w:rsidP="00FD42B7">
      <w:pPr>
        <w:shd w:val="clear" w:color="auto" w:fill="A41F35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</w:pPr>
      <w:r w:rsidRPr="003A3ABC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Информационен бюлетин на Съвета по международни счетоводни стандарти (IASB) – ю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л</w:t>
      </w:r>
      <w:r w:rsidRPr="003A3ABC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и 2022 г.</w:t>
      </w:r>
    </w:p>
    <w:p w14:paraId="71F8DEFB" w14:textId="724EE626" w:rsidR="00FD42B7" w:rsidRPr="003A3ABC" w:rsidRDefault="003A3AB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Настоящият бюлетин на Съвета по международни счетоводни стандарти (IASB) представя предварителните решения на Съвета. Проектите, засегнати от тези решения могат да бъдат намерени в </w:t>
      </w:r>
      <w:hyperlink r:id="rId5" w:history="1">
        <w:r w:rsidRPr="003A3ABC">
          <w:rPr>
            <w:rStyle w:val="Hyperlink"/>
            <w:rFonts w:ascii="Helvetica" w:eastAsia="Times New Roman" w:hAnsi="Helvetica" w:cs="Helvetica"/>
            <w:sz w:val="24"/>
            <w:szCs w:val="24"/>
            <w:lang w:val="bg-BG"/>
          </w:rPr>
          <w:t>работната програма</w:t>
        </w:r>
      </w:hyperlink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 Окончателните решения на Съвета по международни счетоводни стандарти относно МСФО стандарти (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3A3ABC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proofErr w:type="spellStart"/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Standards</w:t>
      </w:r>
      <w:proofErr w:type="spellEnd"/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), Изменения и Разяснения (IFRIC</w:t>
      </w:r>
      <w:r w:rsidRPr="003A3ABC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proofErr w:type="spellStart"/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Interpretations</w:t>
      </w:r>
      <w:proofErr w:type="spellEnd"/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се подлагат на официално гласуване, съгласно предвиденото в </w:t>
      </w:r>
      <w:r w:rsidRPr="003A3ABC">
        <w:rPr>
          <w:rFonts w:ascii="Helvetica" w:eastAsia="Times New Roman" w:hAnsi="Helvetica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Фондация МСФО (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proofErr w:type="spellStart"/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Foundation</w:t>
      </w:r>
      <w:proofErr w:type="spellEnd"/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</w:t>
      </w:r>
    </w:p>
    <w:p w14:paraId="738F41BC" w14:textId="6A1079A6" w:rsidR="00FD42B7" w:rsidRPr="003A3ABC" w:rsidRDefault="003A3AB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проведе заседание на </w:t>
      </w:r>
      <w:hyperlink r:id="rId6" w:history="1">
        <w:r w:rsidR="00FD42B7" w:rsidRPr="003A3AB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18–21 </w:t>
        </w:r>
        <w:r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юли</w:t>
        </w:r>
        <w:r w:rsidR="00FD42B7" w:rsidRPr="003A3AB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="00FD42B7" w:rsidRPr="003A3AB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2075F7F" w14:textId="3CEF823B" w:rsidR="00FD42B7" w:rsidRPr="003A3ABC" w:rsidRDefault="003A3ABC" w:rsidP="00FD42B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Съдържание</w:t>
      </w:r>
    </w:p>
    <w:p w14:paraId="4FE77349" w14:textId="0FD35BB9" w:rsidR="00FD42B7" w:rsidRPr="003A3ABC" w:rsidRDefault="003A3ABC" w:rsidP="00FD42B7">
      <w:pPr>
        <w:spacing w:before="45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</w:pPr>
      <w:r w:rsidRPr="003A3AB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>Изследователска работа и изготвяне и въвеждане на стандарти</w:t>
      </w:r>
    </w:p>
    <w:p w14:paraId="7D3EA3CA" w14:textId="0758D013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7" w:anchor="1" w:history="1">
        <w:r w:rsidR="003A3ABC" w:rsidRPr="0096682C">
          <w:rPr>
            <w:lang w:val="bg-BG"/>
          </w:rPr>
          <w:t xml:space="preserve"> 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Преглед след въвеждане на МСФО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9—</w:t>
        </w:r>
        <w:r w:rsidR="003A3ABC" w:rsidRPr="0096682C">
          <w:rPr>
            <w:lang w:val="bg-BG"/>
          </w:rPr>
          <w:t xml:space="preserve"> </w:t>
        </w:r>
        <w:bookmarkStart w:id="0" w:name="_Hlk117228792"/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класифициране и оценяване </w:t>
        </w:r>
        <w:bookmarkEnd w:id="0"/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3)</w:t>
        </w:r>
      </w:hyperlink>
    </w:p>
    <w:p w14:paraId="671E6847" w14:textId="1E560D15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8" w:anchor="2" w:history="1"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Динамично управление на риска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4)</w:t>
        </w:r>
      </w:hyperlink>
    </w:p>
    <w:p w14:paraId="14935B37" w14:textId="7EE0178A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9" w:anchor="3" w:history="1">
        <w:r w:rsidR="003A3ABC" w:rsidRPr="0096682C">
          <w:rPr>
            <w:lang w:val="bg-BG"/>
          </w:rPr>
          <w:t xml:space="preserve"> 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Финансови инструменти с характеристики на собствен капитал 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5)</w:t>
        </w:r>
      </w:hyperlink>
    </w:p>
    <w:p w14:paraId="741F0446" w14:textId="32C95E8B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0" w:anchor="4" w:history="1">
        <w:bookmarkStart w:id="1" w:name="_Hlk117140930"/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Дейности с регулирани цени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</w:t>
        </w:r>
        <w:bookmarkEnd w:id="1"/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9)</w:t>
        </w:r>
      </w:hyperlink>
    </w:p>
    <w:p w14:paraId="64F3F394" w14:textId="5790E15A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1" w:anchor="5" w:history="1"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—</w:t>
        </w:r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целеви преглед на ниво стандарт на оповестяванията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11)</w:t>
        </w:r>
      </w:hyperlink>
    </w:p>
    <w:p w14:paraId="7DD4623B" w14:textId="07F63B21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2" w:anchor="6" w:history="1"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Коментар на ръководството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15)</w:t>
        </w:r>
      </w:hyperlink>
    </w:p>
    <w:p w14:paraId="57C98019" w14:textId="4D70ECD4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3" w:anchor="7" w:history="1">
        <w:bookmarkStart w:id="2" w:name="_Hlk117141189"/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Характеристики на договорни парични потоци </w:t>
        </w:r>
        <w:r w:rsidR="00977922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на</w:t>
        </w:r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финансови активи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Изменения в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МСФО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9)</w:t>
        </w:r>
        <w:bookmarkEnd w:id="2"/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16)</w:t>
        </w:r>
      </w:hyperlink>
    </w:p>
    <w:p w14:paraId="684412ED" w14:textId="320B4AA7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4" w:anchor="8" w:history="1"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Репутация и обезценка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18)</w:t>
        </w:r>
      </w:hyperlink>
    </w:p>
    <w:p w14:paraId="1696F1C1" w14:textId="747A8FA9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5" w:anchor="9" w:history="1"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21)</w:t>
        </w:r>
      </w:hyperlink>
    </w:p>
    <w:p w14:paraId="37C542EB" w14:textId="41377578" w:rsidR="00FD42B7" w:rsidRPr="0096682C" w:rsidRDefault="00000000" w:rsidP="00FD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6" w:anchor="10" w:history="1">
        <w:r w:rsidR="0096682C" w:rsidRPr="0096682C">
          <w:rPr>
            <w:lang w:val="bg-BG"/>
          </w:rPr>
          <w:t xml:space="preserve"> </w:t>
        </w:r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Преглед след въвеждане на МСФО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9—</w:t>
        </w:r>
        <w:r w:rsidR="0096682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Обезценка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6682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27)</w:t>
        </w:r>
      </w:hyperlink>
    </w:p>
    <w:p w14:paraId="25A507FD" w14:textId="44F9987A" w:rsidR="00FD42B7" w:rsidRPr="00FD42B7" w:rsidRDefault="0096682C" w:rsidP="00FD42B7">
      <w:pPr>
        <w:spacing w:before="45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6682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>Поддържане и последователно прилагане</w:t>
      </w:r>
    </w:p>
    <w:p w14:paraId="47304DDA" w14:textId="08253D7B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7" w:anchor="11" w:history="1">
        <w:r w:rsidR="0096682C" w:rsidRPr="009022AC">
          <w:rPr>
            <w:lang w:val="bg-BG"/>
          </w:rPr>
          <w:t xml:space="preserve"> </w:t>
        </w:r>
        <w:r w:rsidR="0096682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12)</w:t>
        </w:r>
      </w:hyperlink>
    </w:p>
    <w:p w14:paraId="23276EFA" w14:textId="0C061E42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8" w:anchor="12" w:history="1">
        <w:r w:rsidR="0010453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Споразумения за финансиране на доставчици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Документи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12A–12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3AD92AF0" w14:textId="6191A35E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9" w:anchor="13" w:history="1">
        <w:bookmarkStart w:id="3" w:name="_Hlk117144836"/>
        <w:bookmarkStart w:id="4" w:name="_Hlk117149656"/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Нетекущи пасиви с договорни клаузи</w:t>
        </w:r>
        <w:bookmarkEnd w:id="3"/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МСС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1): 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Дата на влизане в сила и надлежна процедура</w:t>
        </w:r>
        <w:bookmarkEnd w:id="4"/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Е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385102EB" w14:textId="568D1EA6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20" w:anchor="14" w:history="1">
        <w:r w:rsidR="002B7871" w:rsidRPr="009022AC">
          <w:rPr>
            <w:lang w:val="bg-BG"/>
          </w:rPr>
          <w:t xml:space="preserve"> </w:t>
        </w:r>
        <w:r w:rsidR="002B7871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Отрицателни кредити за превозни средства с ниски емисии 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МСС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37): 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Финализиране на решение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Ж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16E9C106" w14:textId="3016873C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21" w:anchor="15" w:history="1">
        <w:r w:rsidR="0010453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Дружества за придобиване със специална цел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(SPAC): </w:t>
        </w:r>
        <w:r w:rsidR="0010453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класифициране на публични акции като финансови пасиви или собствен капитал 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МСС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32): 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Финализиране на решение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“З“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209EB9E1" w14:textId="518B2A56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22" w:anchor="16" w:history="1">
        <w:r w:rsidR="00104537" w:rsidRPr="009022AC">
          <w:rPr>
            <w:lang w:val="bg-BG"/>
          </w:rPr>
          <w:t xml:space="preserve"> </w:t>
        </w:r>
        <w:r w:rsidR="0010453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Прехвърляне на застрахователно покритие по група анюитетни договори 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МСФО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17): 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Финализиране на решение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И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044DB725" w14:textId="448C6964" w:rsidR="00FD42B7" w:rsidRPr="009022AC" w:rsidRDefault="00000000" w:rsidP="00FD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23" w:anchor="17" w:history="1">
        <w:bookmarkStart w:id="5" w:name="_Hlk117150137"/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Бюлетин с актуална информация от КРМСФО - юни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2022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г.</w:t>
        </w:r>
        <w:bookmarkEnd w:id="5"/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A3ABC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897EA8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Й</w:t>
        </w:r>
        <w:r w:rsidR="00FD42B7" w:rsidRPr="009022AC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3477C814" w14:textId="521BAD02" w:rsidR="00FD42B7" w:rsidRPr="009022AC" w:rsidRDefault="009022AC" w:rsidP="00FD42B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9022A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Изследователска работа и изготвяне и въвеждане на стандарти</w:t>
      </w:r>
    </w:p>
    <w:p w14:paraId="72438599" w14:textId="73B48454" w:rsidR="00FD42B7" w:rsidRPr="009022AC" w:rsidRDefault="009022AC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Преглед след въвеждане на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3A3ABC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9—</w:t>
      </w:r>
      <w:r w:rsidRPr="009022AC">
        <w:rPr>
          <w:lang w:val="bg-BG"/>
        </w:rPr>
        <w:t xml:space="preserve"> </w:t>
      </w:r>
      <w:r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класифициране и оценяване 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3)</w:t>
      </w:r>
    </w:p>
    <w:p w14:paraId="236932B9" w14:textId="2659F875" w:rsidR="00FD42B7" w:rsidRPr="009022AC" w:rsidRDefault="00897EA8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19 юли 2022 г.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заседание, за да обсъди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получените като обратна информация становища във връзка с изискванията в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A3ABC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3B1EF2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5CBABAA" w14:textId="1B30DD65" w:rsidR="00FD42B7" w:rsidRPr="009022AC" w:rsidRDefault="009022AC" w:rsidP="00FD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модификации на финансови активи и пасиви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3A3ABC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3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A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);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41856509" w14:textId="1ED3A296" w:rsidR="00FD42B7" w:rsidRPr="009022AC" w:rsidRDefault="009022AC" w:rsidP="00FD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оценяване на амортизираната стойност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 методът на ефективната лихва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3A3ABC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3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Б</w:t>
      </w:r>
      <w:r w:rsidR="00FD42B7" w:rsidRPr="009022AC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</w:p>
    <w:p w14:paraId="3581E0AA" w14:textId="3F4E4B91" w:rsidR="00FD42B7" w:rsidRPr="009022AC" w:rsidRDefault="009022A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базата на анализа си и оценката на приоритетите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A3ABC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),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добави към поредицата изследователски проекти проект за изготвяне и въвеждане на стандарти, който да пояснява изискванията в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A3ABC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 модификациите на финансови активи и пасиви и прилагането на метода на ефективната лихва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Предстоящият проект за изготвяне и въвеждане на стандарти ще вземе под внимание и констатациите от </w:t>
      </w:r>
      <w:bookmarkStart w:id="6" w:name="_Hlk117229122"/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Прегледа след въвеждане на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bookmarkEnd w:id="6"/>
      <w:r w:rsidR="003A3ABC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9—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Обезценка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2949DCB" w14:textId="0CD8CD03" w:rsidR="00FD42B7" w:rsidRPr="009022AC" w:rsidRDefault="00F700D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A764BE4" w14:textId="56608B07" w:rsidR="00FD42B7" w:rsidRPr="009022AC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9022AC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74A26D3" w14:textId="39B45E0E" w:rsidR="00FD42B7" w:rsidRPr="009022AC" w:rsidRDefault="009022A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заседание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обсъждането на обратната информация, получена във връзка с Прегледа след въвеждане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 </w:t>
      </w:r>
    </w:p>
    <w:p w14:paraId="12C01A96" w14:textId="06000472" w:rsidR="00FD42B7" w:rsidRPr="009022AC" w:rsidRDefault="009022AC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Динамично управление на риска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4)</w:t>
      </w:r>
    </w:p>
    <w:p w14:paraId="6EC8AD3A" w14:textId="694F99D8" w:rsidR="00FD42B7" w:rsidRPr="009022AC" w:rsidRDefault="00897EA8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897EA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20</w:t>
      </w:r>
      <w:r w:rsidRPr="00897EA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юли 2022 г.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897EA8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897EA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заседание, за да обсъди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предложения план на проекта във връзка с динамичното управление на риска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3AA87E1" w14:textId="319DF500" w:rsidR="00FD42B7" w:rsidRPr="009022AC" w:rsidRDefault="009022A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В частност,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темите, които да бъдат допълнително разгледани като част от разработването на модела на динамично управление на риска и реда, по който да бъдат разгледани тези теми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02B7550" w14:textId="157FFE1C" w:rsidR="00FD42B7" w:rsidRPr="009022AC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E406F33" w14:textId="50196B58" w:rsidR="00FD42B7" w:rsidRPr="009022AC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9022AC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8F70260" w14:textId="5976262A" w:rsidR="00FD42B7" w:rsidRPr="009022AC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9022AC"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пристъпи към разискване на темите, идентифицирани в плана на проекта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722C052" w14:textId="519E1766" w:rsidR="00FD42B7" w:rsidRPr="009022AC" w:rsidRDefault="009022AC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Финансови инструменти с характеристики на собствен капитал 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9022A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5)</w:t>
      </w:r>
    </w:p>
    <w:p w14:paraId="5B38BA0B" w14:textId="293DAEEF" w:rsidR="00FD42B7" w:rsidRPr="007E6F05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1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8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юли 2022 г.</w:t>
      </w: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заседание, за да обсъди</w:t>
      </w: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счетоводното отчитане на финансови инструменти, съдържащи задължения предприятието да изкупи обратно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собствените си капиталови инструменти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включително издадени пут опции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779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неконтролиращи участия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A3ABC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5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A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).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проблемите, които възникват когато предприятието прилага параграф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23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97EA8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32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3B1EF2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FD42B7" w:rsidRPr="007E6F05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3B1EF2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и възможни пояснения, които Съветът би могъл да разработи, за да помогне за разрешаването на тези проблеми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A4610F0" w14:textId="53A1B89B" w:rsidR="00FD42B7" w:rsidRPr="007E6F05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D0491F7" w14:textId="51AE138C" w:rsidR="00FD42B7" w:rsidRPr="007E6F05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7E6F05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3609536" w14:textId="2A35F959" w:rsidR="00FD42B7" w:rsidRPr="007E6F05" w:rsidRDefault="002F36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свое заседание IASB ще продължи да обсъжда тази тема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B490258" w14:textId="215EA6E8" w:rsidR="00FD42B7" w:rsidRPr="007E6F05" w:rsidRDefault="007E6F05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Дейности с регулирани цени</w:t>
      </w:r>
      <w:r w:rsidR="00FD42B7" w:rsidRPr="007E6F05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7E6F05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7E6F05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9)</w:t>
      </w:r>
    </w:p>
    <w:p w14:paraId="3AEBDFFB" w14:textId="595D861A" w:rsidR="00FD42B7" w:rsidRPr="007E6F05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1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8 и 21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юли 2022 г.</w:t>
      </w: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проведе заседание, за да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разисква повторно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предложенията, съдържащи се в Проекта за обсъждане </w:t>
      </w:r>
      <w:r w:rsidR="003B1EF2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Регулаторни активи и регулаторни пасиви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общата сума на допустимата компенсация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4D6F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частност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4D6F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="00FD42B7" w:rsidRPr="007E6F0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5FC7D53" w14:textId="4947863B" w:rsidR="00FD42B7" w:rsidRPr="004D6F22" w:rsidRDefault="004D6F22" w:rsidP="00FD42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компонентите на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общата сума на допустимата компенсация 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(</w:t>
      </w:r>
      <w:r w:rsidR="003A3ABC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A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);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42608429" w14:textId="0CA614DF" w:rsidR="00FD42B7" w:rsidRPr="004D6F22" w:rsidRDefault="00773F19" w:rsidP="00FD42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bookmarkStart w:id="7" w:name="_Hlk117230540"/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регулаторна доходност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 актив, който все още не е на разположение за използване</w:t>
      </w:r>
      <w:bookmarkEnd w:id="7"/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3A3ABC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Документи по програмата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</w:t>
      </w:r>
      <w:r w:rsid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Б и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</w:t>
      </w:r>
      <w:r w:rsid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</w:p>
    <w:p w14:paraId="0BBAFCC7" w14:textId="4202EB09" w:rsidR="00FD42B7" w:rsidRPr="004D6F22" w:rsidRDefault="004D6F22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Компоненти</w:t>
      </w:r>
      <w:r w:rsidRPr="004D6F22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на общата сума на допустимата компенсация </w:t>
      </w:r>
      <w:r w:rsidR="00FD42B7" w:rsidRPr="004D6F22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3A3ABC" w:rsidRPr="004D6F22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FD42B7" w:rsidRPr="004D6F22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9</w:t>
      </w:r>
      <w:r w:rsidR="00FD42B7" w:rsidRPr="00FD42B7">
        <w:rPr>
          <w:rFonts w:ascii="Helvetica" w:eastAsia="Times New Roman" w:hAnsi="Helvetica" w:cs="Helvetica"/>
          <w:b/>
          <w:bCs/>
          <w:color w:val="575757"/>
          <w:sz w:val="24"/>
          <w:szCs w:val="24"/>
        </w:rPr>
        <w:t>A</w:t>
      </w:r>
      <w:r w:rsidR="00FD42B7" w:rsidRPr="004D6F22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1F8016A4" w14:textId="74945E1D" w:rsidR="00FD42B7" w:rsidRPr="004D6F22" w:rsidRDefault="007E52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4D6F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реши в порядък на работна хипотеза</w:t>
      </w:r>
      <w:r w:rsidR="004D6F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в стандарта насоките за прилагане се фокусират върху</w:t>
      </w:r>
      <w:r w:rsidR="00FD42B7" w:rsidRPr="004D6F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FF15BD6" w14:textId="76A265E0" w:rsidR="00FD42B7" w:rsidRPr="004D6F22" w:rsidRDefault="004D6F22" w:rsidP="00FD4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lastRenderedPageBreak/>
        <w:t>съдействие на предприятията да идентифицират разликите във времето вместо да конкретизират компонентите на общата сума на допустимата компенсация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395CD472" w14:textId="2EA3BD6F" w:rsidR="00FD42B7" w:rsidRPr="004D6F22" w:rsidRDefault="004D6F22" w:rsidP="00FD4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най-често срещаните разлики във времето, които биха могли да възникнат в резултат на различните видове регулаторни схеми</w:t>
      </w:r>
      <w:r w:rsidR="00FD42B7" w:rsidRPr="004D6F2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394ED9A1" w14:textId="79353565" w:rsidR="00FD42B7" w:rsidRPr="00773F19" w:rsidRDefault="00F700D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0FFC284" w14:textId="32CB094C" w:rsidR="00FD42B7" w:rsidRPr="00773F19" w:rsidRDefault="004D6F22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Регулаторни възстановявания по актив, който все още не е на разположение за използване </w:t>
      </w:r>
      <w:r w:rsidR="00FD42B7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3A3ABC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Документи по програмата</w:t>
      </w:r>
      <w:r w:rsidR="00FD42B7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9</w:t>
      </w:r>
      <w:r w:rsidR="00773F19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Б и</w:t>
      </w:r>
      <w:r w:rsidR="00FD42B7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9</w:t>
      </w:r>
      <w:r w:rsidR="00773F19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В</w:t>
      </w:r>
      <w:r w:rsidR="00FD42B7" w:rsidRPr="00773F1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0ED6114E" w14:textId="1A11EFAD" w:rsidR="00FD42B7" w:rsidRPr="00773F19" w:rsidRDefault="007E52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стандартът да посочва, че когато предприятието има подлежащо на принудително изпълнение настоящо право на регулаторна доходност по актив, който все още не е на разположение за използване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тази доходност ще формира част от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общата сума на допустимата компенсация за стоки или услуги, доставени по време на периода на изграждане на този актив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Стандартът ще предоставя насоки как предприятията да оценяват дали техните права на такава регулаторна доходност представляват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подлежащи на принудително изпълнение права.</w:t>
      </w:r>
    </w:p>
    <w:p w14:paraId="45629E86" w14:textId="508C7301" w:rsidR="00FD42B7" w:rsidRPr="00773F19" w:rsidRDefault="00F700D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Осем от деветте членове на IASB изразиха съгласие с това решение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 от членовете на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отсъстваше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3685591" w14:textId="4EA35371" w:rsidR="00FD42B7" w:rsidRPr="00773F19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773F19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4A7822E" w14:textId="1A49AF0E" w:rsidR="00FD42B7" w:rsidRPr="00773F19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разисква допълнително предложенията па проекта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939E4C5" w14:textId="41FCAD62" w:rsidR="00FD42B7" w:rsidRPr="00773F19" w:rsidRDefault="00773F19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Инициатива за оповестяване—целеви преглед на ниво стандарт на оповестяванията 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11)</w:t>
      </w:r>
    </w:p>
    <w:p w14:paraId="2D0A2D0A" w14:textId="4F71C546" w:rsidR="00FD42B7" w:rsidRPr="00773F19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1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8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юли 2022 г.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проведе заседание, за да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проучи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възможните начини за придвижване на проекта в светлината на получените като обратна информация становища във връзка с Проекта за обсъждане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Изисквания за оповестяване в</w:t>
      </w:r>
      <w:r w:rsidR="00FD42B7" w:rsidRP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3A3ABC" w:rsidRP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FD42B7" w:rsidRP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стандартите</w:t>
      </w:r>
      <w:r w:rsidR="00FD42B7" w:rsidRP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—</w:t>
      </w:r>
      <w:r w:rsidR="00773F1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пилотен подход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A6E9971" w14:textId="2AD749E1" w:rsidR="00FD42B7" w:rsidRPr="00773F19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00188D4" w14:textId="1EE65E81" w:rsidR="00FD42B7" w:rsidRPr="00773F19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773F19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5EADB65" w14:textId="58DFE154" w:rsidR="00FD42B7" w:rsidRPr="00773F19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ще </w:t>
      </w:r>
      <w:r w:rsid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посоката на развитие на проекта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DEF9C3E" w14:textId="757B87BC" w:rsidR="00FD42B7" w:rsidRPr="00773F19" w:rsidRDefault="00773F19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Коментар на ръководството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15)</w:t>
      </w:r>
    </w:p>
    <w:p w14:paraId="5C49C319" w14:textId="6E242C7B" w:rsidR="00FD42B7" w:rsidRPr="00773F19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20 юли 2022 г. IASB проведе заседание, за да бъде запознат с актуална информация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този проект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73F19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4CE885A" w14:textId="31CD7346" w:rsidR="00FD42B7" w:rsidRPr="00773F19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773F19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lastRenderedPageBreak/>
        <w:t>Следващ етап</w:t>
      </w:r>
    </w:p>
    <w:p w14:paraId="5251983F" w14:textId="26DFB24D" w:rsidR="00FD42B7" w:rsidRPr="00773F19" w:rsidRDefault="00773F1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ще обсъди посоката на развитие на проекта</w:t>
      </w:r>
      <w:r w:rsidR="00FD42B7" w:rsidRPr="00773F1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F4A8187" w14:textId="1CCD53D8" w:rsidR="00FD42B7" w:rsidRPr="00773F19" w:rsidRDefault="00773F19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Характеристики на договорни парични потоци </w:t>
      </w:r>
      <w:r w:rsidR="00977922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на</w:t>
      </w:r>
      <w:r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финансови активи 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изменения в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3A3ABC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9) (</w:t>
      </w:r>
      <w:r w:rsidR="003A3ABC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773F19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16)</w:t>
      </w:r>
    </w:p>
    <w:p w14:paraId="0857ED51" w14:textId="470EDFD9" w:rsidR="00FD42B7" w:rsidRPr="00947A96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20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юли 2022 г.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заседание, за да обсъди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как да поясни изискванията в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A3ABC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3B1EF2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оценяването на характеристиките на договорните парични потоци по финансови активи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037E4AA" w14:textId="46D053BF" w:rsidR="00FD42B7" w:rsidRPr="00947A96" w:rsidRDefault="00947A96" w:rsidP="00FD42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обсъди концепцията за </w:t>
      </w:r>
      <w:r w:rsid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основно споразумение за кредитиране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включително договорни условия, които биха могли да променят времето или сумата на договорните парични потоци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3A3ABC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16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A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</w:p>
    <w:p w14:paraId="6B4C15FD" w14:textId="10D0F114" w:rsidR="00FD42B7" w:rsidRPr="00947A96" w:rsidRDefault="00947A96" w:rsidP="00FD42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обсъди характеристиките на финансови активи без право на регресен иск и договорно свързани инструменти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3A3ABC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16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B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</w:p>
    <w:p w14:paraId="60F468A5" w14:textId="6FCBBA13" w:rsidR="00FD42B7" w:rsidRPr="00947A96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B5F64C6" w14:textId="7F13CA56" w:rsidR="00FD42B7" w:rsidRPr="00947A96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947A9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35A9C9CF" w14:textId="03E49FC9" w:rsidR="00FD42B7" w:rsidRPr="00947A96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947A96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обсъжда потенциални пояснения на изискванията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DAFE7C9" w14:textId="3FABD3FE" w:rsidR="00FD42B7" w:rsidRPr="00947A96" w:rsidRDefault="00947A96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947A9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Репутация и обезценка</w:t>
      </w:r>
      <w:r w:rsidR="00FD42B7" w:rsidRPr="00947A9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947A9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947A9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18)</w:t>
      </w:r>
    </w:p>
    <w:p w14:paraId="705BDED6" w14:textId="1EF2C14B" w:rsidR="00FD42B7" w:rsidRPr="00947A96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21 юли 2022 г. IASB проведе заседание, за да обсъди </w:t>
      </w:r>
      <w:r w:rsidR="00947A96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проекта си, посветен на репутацията и обезценката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F80A943" w14:textId="52032791" w:rsidR="00FD42B7" w:rsidRPr="00947A96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продължи обсъжданията във връзка с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5EA2A02" w14:textId="6DC3E374" w:rsidR="00FD42B7" w:rsidRPr="00947A96" w:rsidRDefault="00947A96" w:rsidP="00FD42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предварителните си виждания относно подобряване изискванията за оповестяване по отношение на бизнес комбинациите, съгласно описаното в Документа за обсъждане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 </w:t>
      </w:r>
      <w:r w:rsidR="003B1EF2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Бизнес комбинации</w:t>
      </w:r>
      <w:r w:rsidR="00FD42B7" w:rsidRPr="00947A9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—</w:t>
      </w:r>
      <w:r w:rsidR="003B1EF2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оповестявания</w:t>
      </w:r>
      <w:r w:rsidR="00FD42B7" w:rsidRPr="00947A9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 xml:space="preserve">, </w:t>
      </w:r>
      <w:r w:rsidR="003B1EF2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репутация и обезценка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="003B1EF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35A712F" w14:textId="55EA2931" w:rsidR="00FD42B7" w:rsidRPr="00947A96" w:rsidRDefault="00947A96" w:rsidP="00FD42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възможните начини за подобряване на изискванията за оповестяване по отношение на бизнес комбинациите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FB4E57A" w14:textId="7500497C" w:rsidR="00FD42B7" w:rsidRPr="00947A96" w:rsidRDefault="00947A9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заседанието си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9D44526" w14:textId="3281C62A" w:rsidR="00FD42B7" w:rsidRPr="00947A96" w:rsidRDefault="00947A96" w:rsidP="00FD42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изследователската работа и анализа във връзка с въпросите, разгледани на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 </w:t>
      </w:r>
      <w:hyperlink r:id="rId24" w:history="1">
        <w:r w:rsidRPr="00947A9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заседанието през април 2022 г.</w:t>
        </w:r>
      </w:hyperlink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 </w:t>
      </w:r>
      <w:r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относно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възможните начини за подобряване на изискванията за оповестяване по отношение на бизнес комбинациите след коментарите, направени от членовете на 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IASB </w:t>
      </w:r>
      <w:r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 това заседание</w:t>
      </w:r>
      <w:r w:rsidR="00FD42B7" w:rsidRPr="00947A9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4F6D95C0" w14:textId="3AAF71D7" w:rsidR="00FD42B7" w:rsidRPr="00947A96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947A9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A16C383" w14:textId="65D161EA" w:rsidR="00FD42B7" w:rsidRPr="00947A96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947A9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6574D7D" w14:textId="467B1534" w:rsidR="00FD42B7" w:rsidRPr="00813DB8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D42B7">
        <w:rPr>
          <w:rFonts w:ascii="Helvetica" w:eastAsia="Times New Roman" w:hAnsi="Helvetica" w:cs="Helvetica"/>
          <w:color w:val="575757"/>
          <w:sz w:val="24"/>
          <w:szCs w:val="24"/>
        </w:rPr>
        <w:lastRenderedPageBreak/>
        <w:t>IASB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B5307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вземе решения относно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E44602B" w14:textId="2BA68B45" w:rsidR="00FD42B7" w:rsidRPr="00813DB8" w:rsidRDefault="00B53079" w:rsidP="00FD42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дали да продължи да разработва предложения, които да изискват предприятията да оповестяват информация относно последващите резултати от бизнес комбинациите и да оповестяват количествена информация относно очакваната синергия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102A2E76" w14:textId="1FA45EC9" w:rsidR="00FD42B7" w:rsidRPr="00813DB8" w:rsidRDefault="00B53079" w:rsidP="00FD42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дали да запази модела „само обезценка“ за счетоводно отчитане на репутацията или да проучи въпроса за повторното въвеждане на амортизирането на репутацията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3D451A5E" w14:textId="085F28B4" w:rsidR="00FD42B7" w:rsidRPr="00813DB8" w:rsidRDefault="00B53079" w:rsidP="00FD42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други теми, попадащи в рамките на обхвата на проекта.</w:t>
      </w:r>
    </w:p>
    <w:p w14:paraId="1F115627" w14:textId="05D70BEA" w:rsidR="00FD42B7" w:rsidRPr="00813DB8" w:rsidRDefault="00B53079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Основни финансови отчети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21)</w:t>
      </w:r>
    </w:p>
    <w:p w14:paraId="7722CD03" w14:textId="3DD00781" w:rsidR="00FD42B7" w:rsidRPr="00813DB8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19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- 21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юли 2022 г.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проведе заседание, за да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разисква повторно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B5307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предложенията в Проекта за обсъждане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3B1EF2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Общо представяне и оповестявания</w:t>
      </w:r>
      <w:r w:rsidR="00B53079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B5307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отнасящи се до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D1FEACC" w14:textId="145B4875" w:rsidR="00FD42B7" w:rsidRPr="00813DB8" w:rsidRDefault="00B53079" w:rsidP="00FD42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предприятия с конкретно посочена основна стопанска дейност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1C7F4D95" w14:textId="22CB0B90" w:rsidR="00FD42B7" w:rsidRPr="00813DB8" w:rsidRDefault="00B53079" w:rsidP="00FD42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оповестявания, отнасящи се до оперативни разходи според </w:t>
      </w:r>
      <w:r w:rsid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тяхното естество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5AD00CD1" w14:textId="1332021D" w:rsidR="00FD42B7" w:rsidRPr="00FD42B7" w:rsidRDefault="00B53079" w:rsidP="00FD42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необичайни приходи и разходи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.</w:t>
      </w:r>
    </w:p>
    <w:p w14:paraId="7A8896E6" w14:textId="0CF76BA0" w:rsidR="00FD42B7" w:rsidRPr="00B53079" w:rsidRDefault="00B5307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53079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Предприятия с конкретно посочена основна стопанска дейност </w:t>
      </w:r>
      <w:r w:rsidR="00FD42B7" w:rsidRPr="00B53079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—</w:t>
      </w:r>
      <w:r w:rsidRPr="00B53079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въпроси, специфични за инвестиционната категория</w:t>
      </w:r>
      <w:r w:rsidR="00FD42B7" w:rsidRPr="00B5307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 (</w:t>
      </w:r>
      <w:r w:rsidR="003A3ABC" w:rsidRPr="00B5307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FD42B7" w:rsidRPr="00B53079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21A)</w:t>
      </w:r>
    </w:p>
    <w:p w14:paraId="6511E1C0" w14:textId="47D95BE1" w:rsidR="00FD42B7" w:rsidRPr="00B53079" w:rsidRDefault="007E52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5307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FD42B7" w:rsidRPr="00B53079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A0E67AD" w14:textId="59673C2F" w:rsidR="00FD42B7" w:rsidRPr="00B53079" w:rsidRDefault="00B53079" w:rsidP="00FD42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B53079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предприятие, което инвестира като основна стопанска дейност,</w:t>
      </w:r>
      <w:r w:rsidR="00FD42B7" w:rsidRPr="00B53079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B53079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класифицира в оперативната категория приходи и разходи от активи, които иначе биха били класифицирани в инвестиционната категория</w:t>
      </w:r>
      <w:r w:rsidR="00FD42B7" w:rsidRPr="00B53079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B53079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B53079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5AC4B64" w14:textId="62780FA0" w:rsidR="00FD42B7" w:rsidRPr="00D42E42" w:rsidRDefault="00D42E42" w:rsidP="00FD42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разреши на предприятието да групира активи със споделени характеристики за целите на оценяването дали тези инвестиции са направени в качеството на основна стопанска дейност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Начинът, по който предприятието групира финансови активи за това оценяване следва да е в съответствие с начина по който предприятието групира финансови активи в класове за целите на оповестяванията относно финансовите инструменти в съответствие с </w:t>
      </w:r>
      <w:r w:rsidR="003A3ABC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7</w:t>
      </w:r>
      <w:r w:rsidR="00FD42B7" w:rsidRPr="00FD42B7">
        <w:rPr>
          <w:rFonts w:ascii="Times New Roman" w:eastAsia="Times New Roman" w:hAnsi="Times New Roman" w:cs="Times New Roman"/>
          <w:color w:val="575757"/>
          <w:sz w:val="24"/>
          <w:szCs w:val="24"/>
        </w:rPr>
        <w:t> </w:t>
      </w:r>
      <w:r w:rsidR="003B1EF2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FD42B7" w:rsidRPr="00813DB8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 xml:space="preserve">: </w:t>
      </w:r>
      <w:r w:rsidR="003B1EF2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оповестяване</w:t>
      </w:r>
      <w:r w:rsidR="00FD42B7" w:rsidRPr="00813DB8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DD4F267" w14:textId="2E57D342" w:rsidR="00FD42B7" w:rsidRPr="00D42E42" w:rsidRDefault="00D42E42" w:rsidP="00FD42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добави насоки за приложение, които да поясняват, че приходи и разходи от финансови активи, произтичащи от предоставянето на финансиране на клиенти</w:t>
      </w:r>
      <w:r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</w:t>
      </w:r>
      <w:r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се класифицират в оперативната категория</w:t>
      </w:r>
      <w:r w:rsidR="00FD42B7"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IASB </w:t>
      </w:r>
      <w:r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реши също така да проучи въпроса за съответното изискване за оповестяване</w:t>
      </w:r>
      <w:r w:rsidR="00FD42B7"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D42E42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3D64204D" w14:textId="057C3F55" w:rsidR="00FD42B7" w:rsidRPr="00813DB8" w:rsidRDefault="00D42E42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D42E42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Предприятия с конкретно посочена основна стопанска дейност </w:t>
      </w:r>
      <w:r w:rsidR="00FD42B7" w:rsidRPr="00813DB8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—</w:t>
      </w:r>
      <w:r w:rsidRPr="00D42E42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въпроси, специфични за </w:t>
      </w:r>
      <w:r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финансовата</w:t>
      </w:r>
      <w:r w:rsidRPr="00D42E42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категория </w:t>
      </w:r>
      <w:r w:rsidRPr="00813DB8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3A3ABC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Б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4537FD5E" w14:textId="2E0041B2" w:rsidR="00FD42B7" w:rsidRPr="000E7E7B" w:rsidRDefault="007E52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E7E7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IASB реши в порядък на работна хипотеза</w:t>
      </w:r>
      <w:r w:rsidR="00FD42B7" w:rsidRPr="000E7E7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FFFDF5C" w14:textId="50378112" w:rsidR="00FD42B7" w:rsidRPr="000E7E7B" w:rsidRDefault="000E7E7B" w:rsidP="00FD4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потвърди предложения избор на счетоводна политика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предприятието да класифицира приходите и разходите от пасиви, които възникват от операции, включващи единствено набирането на финанси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6288896" w14:textId="6724D24A" w:rsidR="00FD42B7" w:rsidRPr="000E7E7B" w:rsidRDefault="000E7E7B" w:rsidP="00FD4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потвърди, че предложеният избор на счетоводна политика, описан в точка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(a)</w:t>
      </w: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не се прилага по отношение на посочени приходи и разходи от други пасиви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3C0CDD3A" w14:textId="1A52377F" w:rsidR="00FD42B7" w:rsidRPr="000E7E7B" w:rsidRDefault="000E7E7B" w:rsidP="00FD4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потвърди предложеното изискване предприятия, които инвестират във финансови активи като основна стопанска дейност, да класифицират приходите и разходите от парични средства и парични еквиваленти в оперативната категория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48FC1C7" w14:textId="06927FE1" w:rsidR="00FD42B7" w:rsidRPr="000E7E7B" w:rsidRDefault="000E7E7B" w:rsidP="00FD4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проучи въпроса за оттегляне на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избора на счетоводна политика за класифициране на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приходите и разходите от парични средства и парични еквиваленти, предложен по отношение на предприятия, които предоставят финансиране на клиенти като основна стопанска дейност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0E7E7B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A09C29D" w14:textId="7DE9A010" w:rsidR="00FD42B7" w:rsidRPr="00813DB8" w:rsidRDefault="000E7E7B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Оповестяване на оперативни разходи според </w:t>
      </w:r>
      <w:r w:rsidR="00243D7D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тяхното естество</w:t>
      </w:r>
      <w:r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в пояснителните приложения</w:t>
      </w:r>
      <w:r w:rsidR="00FD42B7" w:rsidRPr="00FD42B7">
        <w:rPr>
          <w:rFonts w:ascii="Helvetica" w:eastAsia="Times New Roman" w:hAnsi="Helvetica" w:cs="Helvetica"/>
          <w:b/>
          <w:bCs/>
          <w:color w:val="575757"/>
          <w:sz w:val="24"/>
          <w:szCs w:val="24"/>
        </w:rPr>
        <w:t> 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3A3ABC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В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537BDA46" w14:textId="0CB7B076" w:rsidR="00FD42B7" w:rsidRPr="00243D7D" w:rsidRDefault="007E52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43D7D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в порядък на работна хипотеза</w:t>
      </w:r>
      <w:r w:rsidR="00FD42B7" w:rsidRPr="00243D7D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1719615" w14:textId="151C2243" w:rsidR="00FD42B7" w:rsidRPr="00243D7D" w:rsidRDefault="00243D7D" w:rsidP="00FD42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предприятието да оповестява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сумите на амортизацията и доходите на наети лица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включени във всяка позиция на отделен ред в отчета за печалбата или загубата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D9777A0" w14:textId="5756BEAF" w:rsidR="00FD42B7" w:rsidRPr="00243D7D" w:rsidRDefault="00243D7D" w:rsidP="00FD42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проучи подход, който би изисквал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предприятието да оповестява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за всички оперативни разходи, оповестени в пояснителните приложения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сумите, включени във всяка позиция на отделен ред в отчета за печалбата или загубата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F700D6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Девет от десетте членове на IASB изразиха съгласие с това решение</w:t>
      </w:r>
      <w:r w:rsidR="00FD42B7" w:rsidRPr="00243D7D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6D5005B" w14:textId="672CCA60" w:rsidR="00FD42B7" w:rsidRPr="00813DB8" w:rsidRDefault="002E7F4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Необичайни приходи и разходи</w:t>
      </w:r>
      <w:r w:rsidR="00FD42B7" w:rsidRPr="00FD42B7">
        <w:rPr>
          <w:rFonts w:ascii="Helvetica" w:eastAsia="Times New Roman" w:hAnsi="Helvetica" w:cs="Helvetica"/>
          <w:b/>
          <w:bCs/>
          <w:color w:val="575757"/>
          <w:sz w:val="24"/>
          <w:szCs w:val="24"/>
        </w:rPr>
        <w:t> 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3A3ABC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</w:t>
      </w:r>
      <w:r w:rsidR="00FD42B7" w:rsidRPr="00813DB8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347B649F" w14:textId="0FA9249D" w:rsidR="00FD42B7" w:rsidRPr="007A3B5B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A3B5B"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получените като обратна информация становища</w:t>
      </w:r>
      <w:r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3B5B"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обсъждането на необичайните приходи и разходи по време на съвместното заседание на Консултативния комитет по капиталовите пазари и Глобалния форум на съставителите на финансови отчети през юни 2022 г. и Консултативния комитет по счетоводни стандарти през юли 2022 г.</w:t>
      </w:r>
      <w:r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7A3B5B"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въпросите, които ще трябва да разреши, за да изготви дефиниция на необичайните приходи и разходи и областите, които ще трябва да проучи в целево изследване на терен</w:t>
      </w:r>
      <w:r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CCFFF20" w14:textId="10FBA15A" w:rsidR="00FD42B7" w:rsidRPr="007A3B5B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27B66E2" w14:textId="014FF399" w:rsidR="00FD42B7" w:rsidRPr="007A3B5B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7A3B5B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6326DA78" w14:textId="33D5336F" w:rsidR="00FD42B7" w:rsidRPr="00813DB8" w:rsidRDefault="007A3B5B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На бъдещи свои заседания 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разисква предложенията по проекта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4981CC9" w14:textId="139099E0" w:rsidR="00FD42B7" w:rsidRPr="00813DB8" w:rsidRDefault="007A3B5B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Преглед след въвеждане на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3A3ABC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9—</w:t>
      </w:r>
      <w:r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Обезценка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27)</w:t>
      </w:r>
    </w:p>
    <w:p w14:paraId="3A953A24" w14:textId="3A5ADCB3" w:rsidR="00FD42B7" w:rsidRPr="00813DB8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19 юли 2022 г.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13D75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заседание, за да обсъди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целите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дейностите и </w:t>
      </w:r>
      <w:r w:rsidR="009779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предвидените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срокове за първата фаза на Прегледа след въвеждане на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A3ABC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="00FD42B7" w:rsidRPr="00FD42B7">
        <w:rPr>
          <w:rFonts w:ascii="Helvetica" w:eastAsia="Times New Roman" w:hAnsi="Helvetica" w:cs="Helvetica"/>
          <w:color w:val="575757"/>
          <w:sz w:val="24"/>
          <w:szCs w:val="24"/>
        </w:rPr>
        <w:t> </w:t>
      </w:r>
      <w:r w:rsidR="007A3B5B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Финансови инструменти – 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изисквания по отношение на обезценката</w:t>
      </w:r>
      <w:r w:rsidR="00FD42B7"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9E438DE" w14:textId="13362ADD" w:rsidR="00FD42B7" w:rsidRPr="007A3B5B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366628F" w14:textId="1B3BC2D3" w:rsidR="00FD42B7" w:rsidRPr="007A3B5B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7A3B5B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9DFCD7B" w14:textId="652776B9" w:rsidR="00FD42B7" w:rsidRPr="00813DB8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D42B7">
        <w:rPr>
          <w:rFonts w:ascii="Helvetica" w:eastAsia="Times New Roman" w:hAnsi="Helvetica" w:cs="Helvetica"/>
          <w:color w:val="575757"/>
          <w:sz w:val="24"/>
          <w:szCs w:val="24"/>
        </w:rPr>
        <w:t>IASB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планира да проведе срещи със заинтересованите страни в периода септември 2022 г. </w:t>
      </w:r>
      <w:r w:rsidR="009779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-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февруари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2023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г. и очаква да публикува искане за предоставяне на информация през първата половина на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2023</w:t>
      </w:r>
      <w:r w:rsidR="007A3B5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813DB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9DAD719" w14:textId="78B7FC8A" w:rsidR="00FD42B7" w:rsidRPr="00813DB8" w:rsidRDefault="007A3B5B" w:rsidP="00FD42B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7A3B5B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Поддържане и последователно прилагане</w:t>
      </w:r>
    </w:p>
    <w:p w14:paraId="5B7ADE1B" w14:textId="2D14E7B5" w:rsidR="00FD42B7" w:rsidRPr="00813DB8" w:rsidRDefault="007A3B5B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7A3B5B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Поддържане и последователно прилагане</w:t>
      </w:r>
      <w:r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813DB8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12)</w:t>
      </w:r>
    </w:p>
    <w:p w14:paraId="13A78DC0" w14:textId="184CEDE0" w:rsidR="00FD42B7" w:rsidRPr="008F3178" w:rsidRDefault="00213D75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20 юли 2022 г. IASB проведе заседание, за да обсъди 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проектите си, посветени на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Споразумения за финансиране на доставчици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Нетекущи пасиви с договорни клаузи 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изменения в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97EA8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1), 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както и решения по програмата и други въпроси, обсъдени на заседанието през юни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7A3B5B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г. </w:t>
      </w:r>
      <w:r w:rsidR="008F3178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Комитета по </w:t>
      </w:r>
      <w:r w:rsid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разясненията</w:t>
      </w:r>
      <w:r w:rsidR="008F3178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МСФО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8F3178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„Комитетът“</w:t>
      </w:r>
      <w:r w:rsidR="00FD42B7" w:rsidRPr="008F317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1DF5AD5C" w14:textId="3349D1B2" w:rsidR="00FD42B7" w:rsidRPr="000B762C" w:rsidRDefault="00104537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Споразумения за финансиране на доставчици </w:t>
      </w:r>
      <w:r w:rsidR="00FD42B7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Документи по програмата</w:t>
      </w:r>
      <w:r w:rsidR="00FD42B7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12A–12</w:t>
      </w:r>
      <w:r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</w:t>
      </w:r>
      <w:r w:rsidR="00FD42B7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)</w:t>
      </w:r>
    </w:p>
    <w:p w14:paraId="75085525" w14:textId="29C88DBE" w:rsidR="00FD42B7" w:rsidRPr="000B762C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10453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получените като обратна информация становища във връзка с Проекта си за обсъждане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104537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Споразумения за финансиране на доставчици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453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Проектът за обсъждане предлага изменения в изискванията за оповестяване в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97EA8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7 </w:t>
      </w:r>
      <w:r w:rsidR="00104537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Отчет за паричните потоци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10453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A3ABC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7 </w:t>
      </w:r>
      <w:r w:rsidR="003B1EF2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3B1EF2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оповестяване</w:t>
      </w:r>
      <w:r w:rsidR="00104537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10453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 да дадат възможност на потребителите на финансови отчети да оценят ефекта от такива с споразумения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BB76B85" w14:textId="1D544BE3" w:rsidR="00FD42B7" w:rsidRPr="000B762C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6A4A98E" w14:textId="4E7C88A4" w:rsidR="00FD42B7" w:rsidRPr="000B762C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0B762C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6097711" w14:textId="01AC66C5" w:rsidR="00FD42B7" w:rsidRPr="000B762C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ще разгледа </w:t>
      </w:r>
      <w:r w:rsidR="00977922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посоката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развитие на проекта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4298FC9" w14:textId="7D1C591E" w:rsidR="00FD42B7" w:rsidRPr="000B762C" w:rsidRDefault="00686F7A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bookmarkStart w:id="8" w:name="_Hlk117149728"/>
      <w:r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Нетекущи пасиви с договорни клаузи </w:t>
      </w:r>
      <w:bookmarkEnd w:id="8"/>
      <w:r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(МСС 1): Дата на влизане в сила и надлежна процедура </w:t>
      </w:r>
      <w:r w:rsidR="00FD42B7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</w:t>
      </w:r>
      <w:r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Е</w:t>
      </w:r>
      <w:r w:rsidR="00FD42B7" w:rsidRPr="000B762C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)</w:t>
      </w:r>
    </w:p>
    <w:p w14:paraId="497DC5DF" w14:textId="4CBEF2E5" w:rsidR="00FD42B7" w:rsidRPr="000B762C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измененията в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97EA8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1 </w:t>
      </w:r>
      <w:r w:rsidR="003B1EF2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686F7A" w:rsidRPr="000B762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 Съветът реши да направи в порядък на работна хипотеза, като част от проекта си, посветен на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нетекущите пасиви с договорни клаузи</w:t>
      </w:r>
      <w:r w:rsidR="00686F7A" w:rsidRPr="000B762C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изменения в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97EA8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1).</w:t>
      </w:r>
    </w:p>
    <w:p w14:paraId="791CCA29" w14:textId="47F688D2" w:rsidR="00FD42B7" w:rsidRPr="000B762C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изисква предприятията да прилагат измененията за годишни отчетни периоди, започващи на или след 1 януари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2024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084720A" w14:textId="150D4FE6" w:rsidR="00FD42B7" w:rsidRPr="000B762C" w:rsidRDefault="00F700D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417E03E" w14:textId="01D7A9F5" w:rsidR="00FD42B7" w:rsidRPr="000B762C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686F7A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измененията не изискват повторни разисквания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30298F8" w14:textId="49F94C51" w:rsidR="00FD42B7" w:rsidRPr="000B762C" w:rsidRDefault="00F700D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5B331E5" w14:textId="7B896029" w:rsidR="00FD42B7" w:rsidRPr="000B762C" w:rsidRDefault="00686F7A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Нито един от членовете на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даде индикации, че ще изрази несъгласие с издаването на измененията.</w:t>
      </w:r>
    </w:p>
    <w:p w14:paraId="468DE2D3" w14:textId="40D17448" w:rsidR="00FD42B7" w:rsidRPr="000B762C" w:rsidRDefault="00686F7A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0B762C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потвърдиха, че са се уверили, че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0B762C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 изпълнил приложимите изисквания на регламентираната процедура и е предприел достатъчно консултации и анализи, за да се пристъпи към процеса по подлагане на измененията на гласуване</w:t>
      </w:r>
      <w:r w:rsidR="00FD42B7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C43A12D" w14:textId="0D4EC457" w:rsidR="00FD42B7" w:rsidRPr="000B762C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0B762C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98B2419" w14:textId="6295881B" w:rsidR="00FD42B7" w:rsidRPr="009022AC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B762C" w:rsidRP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очаква да издаде измененията през четвъртото тримесечие</w:t>
      </w:r>
      <w:r w:rsid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</w:t>
      </w:r>
      <w:r w:rsidR="000B762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9022A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9F4AA60" w14:textId="6E0F51CB" w:rsidR="00FD42B7" w:rsidRPr="002B7871" w:rsidRDefault="002B7871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Отрицателни кредити за превозни средства с ниски емисии 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897EA8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МСС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37): </w:t>
      </w:r>
      <w:r w:rsidR="0010453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Финализиране на решение по програмата 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</w:t>
      </w:r>
      <w:r w:rsidR="0010453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Ж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)</w:t>
      </w:r>
    </w:p>
    <w:p w14:paraId="4A38EFCE" w14:textId="7448FC86" w:rsidR="00FD42B7" w:rsidRPr="002B7871" w:rsidRDefault="000B762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бе поставен въпросът дали възразява срещу решението по програмата </w:t>
      </w:r>
      <w:r w:rsidR="002B7871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Отрицателни кредити за превозни средства с ниски емисии 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897EA8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37</w:t>
      </w:r>
      <w:r w:rsidR="00FD42B7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3B1EF2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Провизии, условни пасиви и условни активи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05547DE4" w14:textId="7DB7257F" w:rsidR="00FD42B7" w:rsidRPr="002B7871" w:rsidRDefault="002F36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Нито един от членовете на IASB не възрази срещу решението по програмата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56E5552" w14:textId="1CB2B0E8" w:rsidR="00FD42B7" w:rsidRPr="002B7871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2B7871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44CBD4D3" w14:textId="35B1FD7A" w:rsidR="00FD42B7" w:rsidRPr="002B7871" w:rsidRDefault="000B762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bookmarkStart w:id="9" w:name="_Hlk117150288"/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Решението по програмата ще бъде публикувано през юли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допълнение към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Бюлетина с актуална информация от КРМСФО - юни 2022 г</w:t>
      </w:r>
      <w:r w:rsidRPr="002B7871">
        <w:rPr>
          <w:lang w:val="bg-BG"/>
        </w:rPr>
        <w:t>.</w:t>
      </w:r>
      <w:bookmarkEnd w:id="9"/>
    </w:p>
    <w:p w14:paraId="5AB078AB" w14:textId="07DE092A" w:rsidR="00FD42B7" w:rsidRPr="002B7871" w:rsidRDefault="00104537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Дружества за придобиване със специална цел (SPAC): класифициране на публични акции като финансови пасиви или собствен капитал 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897EA8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МСС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32): 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Финализиране на решение по програмата 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„З“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)</w:t>
      </w:r>
    </w:p>
    <w:p w14:paraId="3F12260B" w14:textId="0B81D4C4" w:rsidR="00FD42B7" w:rsidRPr="002B7871" w:rsidRDefault="000B762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IASB бе поставен въпросът дали възразява срещу решението по програмата </w:t>
      </w:r>
      <w:r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Дружества за придобиване със специална цел (SPAC): класифициране на </w:t>
      </w:r>
      <w:r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lastRenderedPageBreak/>
        <w:t>публични акции като финансови пасиви или собствен капитал</w:t>
      </w:r>
      <w:r w:rsidRPr="002B7871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897EA8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32</w:t>
      </w:r>
      <w:r w:rsidR="00FD42B7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3B1EF2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FD42B7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3B1EF2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364A3961" w14:textId="3BB0DFDF" w:rsidR="00FD42B7" w:rsidRPr="002B7871" w:rsidRDefault="002F36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Нито един от членовете на IASB не възрази срещу решението по програмата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8881FB8" w14:textId="4A96576D" w:rsidR="00FD42B7" w:rsidRPr="002B7871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2B7871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935BBBE" w14:textId="3E00D79B" w:rsidR="00FD42B7" w:rsidRPr="002B7871" w:rsidRDefault="000B762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Решението по програмата ще бъде публикувано през юли 2022 в допълнение към 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Бюлетина с актуална информация от КРМСФО - юни 2022 г.</w:t>
      </w:r>
    </w:p>
    <w:p w14:paraId="1D70696D" w14:textId="45A36A7C" w:rsidR="00FD42B7" w:rsidRPr="002B7871" w:rsidRDefault="00104537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bookmarkStart w:id="10" w:name="_Hlk117148727"/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Прехвърляне на застрахователно покритие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по група анюитетни договори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bookmarkEnd w:id="10"/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3A3ABC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17): 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Финализиране на решение по програмата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3A3ABC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И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)</w:t>
      </w:r>
    </w:p>
    <w:p w14:paraId="7C8948BF" w14:textId="0ABDEEFA" w:rsidR="00FD42B7" w:rsidRPr="002B7871" w:rsidRDefault="000B762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IASB бе поставен въпросът дали възразява срещу решението по програмата </w:t>
      </w:r>
      <w:r w:rsidR="00104537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Прехвърляне на застрахователно покритие по група анюитетни договори</w:t>
      </w:r>
      <w:r w:rsidR="00104537" w:rsidRPr="002B7871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3A3ABC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17</w:t>
      </w:r>
      <w:r w:rsidR="00FD42B7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3B1EF2" w:rsidRPr="002B7871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Застрахователни договори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39B8B289" w14:textId="43E2DFDE" w:rsidR="00FD42B7" w:rsidRPr="002B7871" w:rsidRDefault="002F3626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Нито един от членовете на IASB не възрази срещу решението по програмата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DA60204" w14:textId="402DC56A" w:rsidR="00FD42B7" w:rsidRPr="002B7871" w:rsidRDefault="00897EA8" w:rsidP="00FD42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2B7871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64A841E5" w14:textId="7662F173" w:rsidR="00FD42B7" w:rsidRPr="002B7871" w:rsidRDefault="000B762C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Решението по програмата ще бъде публикувано през юли 2022 в допълнение към </w:t>
      </w:r>
      <w:bookmarkStart w:id="11" w:name="_Hlk117150770"/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Бюлетина с актуална информация от КРМСФО - юни 2022 г.</w:t>
      </w:r>
      <w:bookmarkEnd w:id="11"/>
    </w:p>
    <w:p w14:paraId="25F4E481" w14:textId="02204915" w:rsidR="00FD42B7" w:rsidRPr="002B7871" w:rsidRDefault="000B762C" w:rsidP="00FD42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</w:pP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  <w:t xml:space="preserve">Бюлетин с актуална информация от КРМСФО - юни 2022 г. 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  <w:t>(</w:t>
      </w:r>
      <w:r w:rsidR="003A3ABC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  <w:t>Документ по програмата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  <w:t xml:space="preserve"> 12</w:t>
      </w:r>
      <w:r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  <w:t xml:space="preserve"> Й</w:t>
      </w:r>
      <w:r w:rsidR="00FD42B7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u w:val="single"/>
          <w:lang w:val="bg-BG"/>
        </w:rPr>
        <w:t>)</w:t>
      </w:r>
    </w:p>
    <w:p w14:paraId="3EEEFB6F" w14:textId="75FB8B79" w:rsidR="00FD42B7" w:rsidRPr="002B7871" w:rsidRDefault="00FD42B7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2B7871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 запознат с актуална информация от заседанието на Комитета през юни 2022 г.</w:t>
      </w: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2B7871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Подробности за това заседание са публикувани в</w:t>
      </w: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2B7871" w:rsidRPr="002B7871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Бюлетина с актуална информация от КРМСФО - юни 2022 г.</w:t>
      </w:r>
    </w:p>
    <w:p w14:paraId="7130B19B" w14:textId="26BDF53A" w:rsidR="00FD42B7" w:rsidRPr="002B7871" w:rsidRDefault="00984FD9" w:rsidP="00FD42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FD42B7" w:rsidRPr="002B787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B351878" w14:textId="5EA3C50F" w:rsidR="00100C34" w:rsidRDefault="00000000" w:rsidP="00FD42B7">
      <w:hyperlink r:id="rId25" w:history="1">
        <w:r w:rsidR="00FD42B7" w:rsidRPr="009022AC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bdr w:val="single" w:sz="6" w:space="0" w:color="CD3333" w:frame="1"/>
            <w:shd w:val="clear" w:color="auto" w:fill="CD3333"/>
            <w:lang w:val="bg-BG"/>
          </w:rPr>
          <w:br/>
        </w:r>
      </w:hyperlink>
    </w:p>
    <w:sectPr w:rsidR="00100C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4CB"/>
    <w:multiLevelType w:val="multilevel"/>
    <w:tmpl w:val="2EE2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905F8"/>
    <w:multiLevelType w:val="multilevel"/>
    <w:tmpl w:val="620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6607B"/>
    <w:multiLevelType w:val="multilevel"/>
    <w:tmpl w:val="2C8E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84789"/>
    <w:multiLevelType w:val="multilevel"/>
    <w:tmpl w:val="2B0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35A81"/>
    <w:multiLevelType w:val="multilevel"/>
    <w:tmpl w:val="96E07FF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B4FD7"/>
    <w:multiLevelType w:val="multilevel"/>
    <w:tmpl w:val="39DAB758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673C4"/>
    <w:multiLevelType w:val="multilevel"/>
    <w:tmpl w:val="DC6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82A49"/>
    <w:multiLevelType w:val="multilevel"/>
    <w:tmpl w:val="DAE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96046"/>
    <w:multiLevelType w:val="multilevel"/>
    <w:tmpl w:val="FDD0A67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B06A8"/>
    <w:multiLevelType w:val="multilevel"/>
    <w:tmpl w:val="2E5AA5F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32E46"/>
    <w:multiLevelType w:val="multilevel"/>
    <w:tmpl w:val="F8C8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05C47"/>
    <w:multiLevelType w:val="multilevel"/>
    <w:tmpl w:val="D11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24D03"/>
    <w:multiLevelType w:val="multilevel"/>
    <w:tmpl w:val="3D0C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5442D"/>
    <w:multiLevelType w:val="multilevel"/>
    <w:tmpl w:val="60A2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81A85"/>
    <w:multiLevelType w:val="multilevel"/>
    <w:tmpl w:val="4FA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719B2"/>
    <w:multiLevelType w:val="multilevel"/>
    <w:tmpl w:val="DF78C31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980219">
    <w:abstractNumId w:val="14"/>
  </w:num>
  <w:num w:numId="2" w16cid:durableId="1938826897">
    <w:abstractNumId w:val="7"/>
  </w:num>
  <w:num w:numId="3" w16cid:durableId="877474192">
    <w:abstractNumId w:val="10"/>
  </w:num>
  <w:num w:numId="4" w16cid:durableId="1357847511">
    <w:abstractNumId w:val="1"/>
  </w:num>
  <w:num w:numId="5" w16cid:durableId="1039088097">
    <w:abstractNumId w:val="13"/>
  </w:num>
  <w:num w:numId="6" w16cid:durableId="675153814">
    <w:abstractNumId w:val="4"/>
  </w:num>
  <w:num w:numId="7" w16cid:durableId="529343039">
    <w:abstractNumId w:val="3"/>
  </w:num>
  <w:num w:numId="8" w16cid:durableId="1358894863">
    <w:abstractNumId w:val="12"/>
  </w:num>
  <w:num w:numId="9" w16cid:durableId="1586265040">
    <w:abstractNumId w:val="6"/>
  </w:num>
  <w:num w:numId="10" w16cid:durableId="246886546">
    <w:abstractNumId w:val="15"/>
  </w:num>
  <w:num w:numId="11" w16cid:durableId="1549487842">
    <w:abstractNumId w:val="2"/>
  </w:num>
  <w:num w:numId="12" w16cid:durableId="74010974">
    <w:abstractNumId w:val="9"/>
  </w:num>
  <w:num w:numId="13" w16cid:durableId="712123571">
    <w:abstractNumId w:val="8"/>
  </w:num>
  <w:num w:numId="14" w16cid:durableId="788088988">
    <w:abstractNumId w:val="5"/>
  </w:num>
  <w:num w:numId="15" w16cid:durableId="1237663834">
    <w:abstractNumId w:val="0"/>
  </w:num>
  <w:num w:numId="16" w16cid:durableId="1653680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B7"/>
    <w:rsid w:val="000B762C"/>
    <w:rsid w:val="000E7E7B"/>
    <w:rsid w:val="00100C34"/>
    <w:rsid w:val="00101A09"/>
    <w:rsid w:val="00104537"/>
    <w:rsid w:val="00213D75"/>
    <w:rsid w:val="00243D7D"/>
    <w:rsid w:val="002977CE"/>
    <w:rsid w:val="002B7871"/>
    <w:rsid w:val="002E7F47"/>
    <w:rsid w:val="002F3626"/>
    <w:rsid w:val="003A3ABC"/>
    <w:rsid w:val="003B1EF2"/>
    <w:rsid w:val="004D6F22"/>
    <w:rsid w:val="00686F7A"/>
    <w:rsid w:val="00773F19"/>
    <w:rsid w:val="007A3B5B"/>
    <w:rsid w:val="007E5226"/>
    <w:rsid w:val="007E6F05"/>
    <w:rsid w:val="00813DB8"/>
    <w:rsid w:val="00897EA8"/>
    <w:rsid w:val="008F3178"/>
    <w:rsid w:val="009022AC"/>
    <w:rsid w:val="00947A96"/>
    <w:rsid w:val="0096682C"/>
    <w:rsid w:val="00977922"/>
    <w:rsid w:val="00984FD9"/>
    <w:rsid w:val="00A06FA8"/>
    <w:rsid w:val="00A267B7"/>
    <w:rsid w:val="00A54718"/>
    <w:rsid w:val="00AD5179"/>
    <w:rsid w:val="00B53079"/>
    <w:rsid w:val="00D42E42"/>
    <w:rsid w:val="00DC441F"/>
    <w:rsid w:val="00F700D6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688A"/>
  <w15:chartTrackingRefBased/>
  <w15:docId w15:val="{7931F040-DFA0-4F23-98CD-39D34CB3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A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33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8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33558">
                                                              <w:marLeft w:val="0"/>
                                                              <w:marRight w:val="0"/>
                                                              <w:marTop w:val="46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7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6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7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73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8" w:space="0" w:color="C6C6C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6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9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2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30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8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0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/2022/iasb-update-july-2022/" TargetMode="External"/><Relationship Id="rId13" Type="http://schemas.openxmlformats.org/officeDocument/2006/relationships/hyperlink" Target="https://www.ifrs.org/news-and-events/updates/iasb/2022/iasb-update-july-2022/" TargetMode="External"/><Relationship Id="rId18" Type="http://schemas.openxmlformats.org/officeDocument/2006/relationships/hyperlink" Target="https://www.ifrs.org/news-and-events/updates/iasb/2022/iasb-update-july-202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frs.org/news-and-events/updates/iasb/2022/iasb-update-july-2022/" TargetMode="External"/><Relationship Id="rId7" Type="http://schemas.openxmlformats.org/officeDocument/2006/relationships/hyperlink" Target="https://www.ifrs.org/news-and-events/updates/iasb/2022/iasb-update-july-2022/" TargetMode="External"/><Relationship Id="rId12" Type="http://schemas.openxmlformats.org/officeDocument/2006/relationships/hyperlink" Target="https://www.ifrs.org/news-and-events/updates/iasb/2022/iasb-update-july-2022/" TargetMode="External"/><Relationship Id="rId17" Type="http://schemas.openxmlformats.org/officeDocument/2006/relationships/hyperlink" Target="https://www.ifrs.org/news-and-events/updates/iasb/2022/iasb-update-july-2022/" TargetMode="External"/><Relationship Id="rId25" Type="http://schemas.openxmlformats.org/officeDocument/2006/relationships/hyperlink" Target="https://www.ifrs.org/dashboa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rs.org/news-and-events/updates/iasb/2022/iasb-update-july-2022/" TargetMode="External"/><Relationship Id="rId20" Type="http://schemas.openxmlformats.org/officeDocument/2006/relationships/hyperlink" Target="https://www.ifrs.org/news-and-events/updates/iasb/2022/iasb-update-july-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frs.org/content/ifrs/home/news-and-events/calendar/2022/july/international-accounting-standards-board.html" TargetMode="External"/><Relationship Id="rId11" Type="http://schemas.openxmlformats.org/officeDocument/2006/relationships/hyperlink" Target="https://www.ifrs.org/news-and-events/updates/iasb/2022/iasb-update-july-2022/" TargetMode="External"/><Relationship Id="rId24" Type="http://schemas.openxmlformats.org/officeDocument/2006/relationships/hyperlink" Target="https://www.ifrs.org/content/ifrs/home/news-and-events/calendar/2022/april/international-accounting-standards-board.html" TargetMode="External"/><Relationship Id="rId5" Type="http://schemas.openxmlformats.org/officeDocument/2006/relationships/hyperlink" Target="https://www.ifrs.org/content/ifrs/home/projects/work-plan.html" TargetMode="External"/><Relationship Id="rId15" Type="http://schemas.openxmlformats.org/officeDocument/2006/relationships/hyperlink" Target="https://www.ifrs.org/news-and-events/updates/iasb/2022/iasb-update-july-2022/" TargetMode="External"/><Relationship Id="rId23" Type="http://schemas.openxmlformats.org/officeDocument/2006/relationships/hyperlink" Target="https://www.ifrs.org/news-and-events/updates/iasb/2022/iasb-update-july-2022/" TargetMode="External"/><Relationship Id="rId10" Type="http://schemas.openxmlformats.org/officeDocument/2006/relationships/hyperlink" Target="https://www.ifrs.org/news-and-events/updates/iasb/2022/iasb-update-july-2022/" TargetMode="External"/><Relationship Id="rId19" Type="http://schemas.openxmlformats.org/officeDocument/2006/relationships/hyperlink" Target="https://www.ifrs.org/news-and-events/updates/iasb/2022/iasb-update-july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/2022/iasb-update-july-2022/" TargetMode="External"/><Relationship Id="rId14" Type="http://schemas.openxmlformats.org/officeDocument/2006/relationships/hyperlink" Target="https://www.ifrs.org/news-and-events/updates/iasb/2022/iasb-update-july-2022/" TargetMode="External"/><Relationship Id="rId22" Type="http://schemas.openxmlformats.org/officeDocument/2006/relationships/hyperlink" Target="https://www.ifrs.org/news-and-events/updates/iasb/2022/iasb-update-july-202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2763</Words>
  <Characters>15948</Characters>
  <Application>Microsoft Office Word</Application>
  <DocSecurity>0</DocSecurity>
  <Lines>320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User</cp:lastModifiedBy>
  <cp:revision>2</cp:revision>
  <dcterms:created xsi:type="dcterms:W3CDTF">2022-10-26T05:41:00Z</dcterms:created>
  <dcterms:modified xsi:type="dcterms:W3CDTF">2022-10-26T05:41:00Z</dcterms:modified>
</cp:coreProperties>
</file>