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B4D4" w14:textId="7D2F9EB2" w:rsidR="009D57FF" w:rsidRPr="00BA6F8C" w:rsidRDefault="0073227C" w:rsidP="009D57FF">
      <w:pPr>
        <w:shd w:val="clear" w:color="auto" w:fill="A41F35"/>
        <w:spacing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FFFFFF"/>
          <w:kern w:val="36"/>
          <w:sz w:val="48"/>
          <w:szCs w:val="48"/>
          <w:lang w:val="bg-BG"/>
        </w:rPr>
      </w:pPr>
      <w:r w:rsidRPr="00BA6F8C">
        <w:rPr>
          <w:rFonts w:ascii="Helvetica" w:eastAsia="Times New Roman" w:hAnsi="Helvetica" w:cs="Helvetica"/>
          <w:b/>
          <w:bCs/>
          <w:color w:val="FFFFFF"/>
          <w:kern w:val="36"/>
          <w:sz w:val="48"/>
          <w:szCs w:val="48"/>
          <w:lang w:val="bg-BG"/>
        </w:rPr>
        <w:t>Информационен бюлетин на Съвета по международни счетоводни стандарти (IASB) – юни 2022 г.</w:t>
      </w:r>
    </w:p>
    <w:p w14:paraId="043A2C72" w14:textId="30CD00B7" w:rsidR="009D57FF" w:rsidRPr="00BA6F8C" w:rsidRDefault="0073227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Настоящият бюлетин на Съвета по международни счетоводни стандарти (IASB) представя предварителните решения на Съвета. Проектите, засегнати от тези решения могат да бъдат намерени в </w:t>
      </w:r>
      <w:hyperlink r:id="rId5" w:history="1">
        <w:r w:rsidRPr="00BA6F8C">
          <w:rPr>
            <w:rStyle w:val="Hyperlink"/>
            <w:rFonts w:ascii="Helvetica" w:eastAsia="Times New Roman" w:hAnsi="Helvetica" w:cs="Helvetica"/>
            <w:sz w:val="24"/>
            <w:szCs w:val="24"/>
            <w:lang w:val="bg-BG"/>
          </w:rPr>
          <w:t>работната програма</w:t>
        </w:r>
      </w:hyperlink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 Окончателните решения на Съвета по международни счетоводни стандарти относно МСФО стандарти (IFRS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vertAlign w:val="superscript"/>
          <w:lang w:val="bg-BG"/>
        </w:rPr>
        <w:t>®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proofErr w:type="spellStart"/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Standards</w:t>
      </w:r>
      <w:proofErr w:type="spellEnd"/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), Изменения и Разяснения (IFRIC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vertAlign w:val="superscript"/>
          <w:lang w:val="bg-BG"/>
        </w:rPr>
        <w:t>®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proofErr w:type="spellStart"/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Interpretations</w:t>
      </w:r>
      <w:proofErr w:type="spellEnd"/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) се подлагат на официално гласуване, съгласно предвиденото в </w:t>
      </w:r>
      <w:r w:rsidRPr="00BA6F8C">
        <w:rPr>
          <w:rFonts w:ascii="Helvetica" w:eastAsia="Times New Roman" w:hAnsi="Helvetica" w:cs="Helvetica"/>
          <w:i/>
          <w:color w:val="575757"/>
          <w:sz w:val="24"/>
          <w:szCs w:val="24"/>
          <w:lang w:val="bg-BG"/>
        </w:rPr>
        <w:t>Ръководството по регламентираната процедура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на Фондация МСФО (IFRS </w:t>
      </w:r>
      <w:proofErr w:type="spellStart"/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Foundation</w:t>
      </w:r>
      <w:proofErr w:type="spellEnd"/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).</w:t>
      </w:r>
    </w:p>
    <w:p w14:paraId="46C7B59B" w14:textId="66A1C74E" w:rsidR="009D57FF" w:rsidRPr="00BA6F8C" w:rsidRDefault="0073227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проведе заседание на </w:t>
      </w:r>
      <w:hyperlink r:id="rId6" w:history="1"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20-22 </w:t>
        </w:r>
        <w:r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юни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2022</w:t>
        </w:r>
      </w:hyperlink>
      <w:r w:rsidRPr="00BA6F8C">
        <w:rPr>
          <w:rFonts w:ascii="Helvetica" w:eastAsia="Times New Roman" w:hAnsi="Helvetica" w:cs="Helvetica"/>
          <w:color w:val="CD3333"/>
          <w:sz w:val="24"/>
          <w:szCs w:val="24"/>
          <w:u w:val="single"/>
          <w:lang w:val="bg-BG"/>
        </w:rPr>
        <w:t xml:space="preserve"> г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FFB096E" w14:textId="18D0E9D6" w:rsidR="009D57FF" w:rsidRPr="00BA6F8C" w:rsidRDefault="0073227C" w:rsidP="009D57FF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4"/>
          <w:szCs w:val="34"/>
          <w:lang w:val="bg-BG"/>
        </w:rPr>
      </w:pPr>
      <w:r w:rsidRPr="00BA6F8C">
        <w:rPr>
          <w:rFonts w:ascii="Helvetica" w:eastAsia="Times New Roman" w:hAnsi="Helvetica" w:cs="Helvetica"/>
          <w:b/>
          <w:bCs/>
          <w:color w:val="333333"/>
          <w:sz w:val="34"/>
          <w:szCs w:val="34"/>
          <w:lang w:val="bg-BG"/>
        </w:rPr>
        <w:t>Съдържание</w:t>
      </w:r>
    </w:p>
    <w:p w14:paraId="0CA5C510" w14:textId="67584B1F" w:rsidR="009D57FF" w:rsidRPr="00BA6F8C" w:rsidRDefault="0073227C" w:rsidP="009D57FF">
      <w:pPr>
        <w:shd w:val="clear" w:color="auto" w:fill="FFFFFF"/>
        <w:spacing w:before="450" w:after="30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Изследователска работа и изготвяне и въвеждане на стандарти</w:t>
      </w:r>
    </w:p>
    <w:p w14:paraId="4E85B347" w14:textId="68F320A8" w:rsidR="009D57FF" w:rsidRPr="00BA6F8C" w:rsidRDefault="00000000" w:rsidP="009D57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7" w:anchor="1" w:history="1"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Преглед след въвеждане на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</w:t>
        </w:r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МСФО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9—</w:t>
        </w:r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класифициране и оценяване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3)</w:t>
        </w:r>
      </w:hyperlink>
    </w:p>
    <w:p w14:paraId="7A3B9B08" w14:textId="35D4DF39" w:rsidR="009D57FF" w:rsidRPr="00BA6F8C" w:rsidRDefault="00000000" w:rsidP="009D57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8" w:anchor="2" w:history="1"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Финансови инструменти с характеристики на собствен капитал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5)</w:t>
        </w:r>
      </w:hyperlink>
    </w:p>
    <w:p w14:paraId="5BB785DB" w14:textId="634100DA" w:rsidR="009D57FF" w:rsidRPr="00BA6F8C" w:rsidRDefault="00000000" w:rsidP="009D57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9" w:anchor="3" w:history="1"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Метод на собствения капитал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13)</w:t>
        </w:r>
      </w:hyperlink>
    </w:p>
    <w:p w14:paraId="2A96F774" w14:textId="2C1B855E" w:rsidR="009D57FF" w:rsidRPr="00BA6F8C" w:rsidRDefault="00000000" w:rsidP="009D57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10" w:anchor="4" w:history="1"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Основни финансови отчети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21)</w:t>
        </w:r>
      </w:hyperlink>
    </w:p>
    <w:p w14:paraId="7C9FEF42" w14:textId="53AA2B0B" w:rsidR="009D57FF" w:rsidRPr="00BA6F8C" w:rsidRDefault="00000000" w:rsidP="009D57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11" w:anchor="5" w:history="1"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Бизнес комбинации под общ контрол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23)</w:t>
        </w:r>
      </w:hyperlink>
    </w:p>
    <w:p w14:paraId="1EAABA2E" w14:textId="7B57995B" w:rsidR="009D57FF" w:rsidRPr="00BA6F8C" w:rsidRDefault="00000000" w:rsidP="009D57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12" w:anchor="6" w:history="1"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Втори всеобхватен преглед на счетоводния стандарт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 </w:t>
        </w:r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МСФО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</w:t>
        </w:r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за МСП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30)</w:t>
        </w:r>
      </w:hyperlink>
    </w:p>
    <w:p w14:paraId="16B52C4A" w14:textId="2866BEF5" w:rsidR="009D57FF" w:rsidRPr="00BA6F8C" w:rsidRDefault="00000000" w:rsidP="009D57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13" w:anchor="7" w:history="1"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Инициатива за оповестяване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—</w:t>
        </w:r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дъщерни предприятия без публична отчетност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: </w:t>
        </w:r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оповестявания 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(</w:t>
        </w:r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31)</w:t>
        </w:r>
      </w:hyperlink>
    </w:p>
    <w:p w14:paraId="3F70C17D" w14:textId="237C370F" w:rsidR="009D57FF" w:rsidRPr="00BA6F8C" w:rsidRDefault="0073227C" w:rsidP="009D57FF">
      <w:pPr>
        <w:shd w:val="clear" w:color="auto" w:fill="FFFFFF"/>
        <w:spacing w:before="450" w:after="30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Поддържане и последователно прилагане</w:t>
      </w:r>
    </w:p>
    <w:p w14:paraId="63BBB17F" w14:textId="5958FE00" w:rsidR="009D57FF" w:rsidRPr="00BA6F8C" w:rsidRDefault="00000000" w:rsidP="009D57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14" w:anchor="8" w:history="1"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Поддържане и последователно прилагане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12)</w:t>
        </w:r>
      </w:hyperlink>
    </w:p>
    <w:p w14:paraId="32955437" w14:textId="75821162" w:rsidR="009D57FF" w:rsidRPr="00BA6F8C" w:rsidRDefault="00000000" w:rsidP="009D57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hyperlink r:id="rId15" w:anchor="9" w:history="1"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Характеристики на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</w:t>
        </w:r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договорни парични потоци на финансови активи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изменения в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</w:t>
        </w:r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МСФО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9) (</w:t>
        </w:r>
        <w:r w:rsidR="0073227C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r w:rsidR="009D57FF" w:rsidRPr="00BA6F8C">
          <w:rPr>
            <w:rFonts w:ascii="Helvetica" w:eastAsia="Times New Roman" w:hAnsi="Helvetica" w:cs="Helvetica"/>
            <w:color w:val="CD3333"/>
            <w:sz w:val="24"/>
            <w:szCs w:val="24"/>
            <w:u w:val="single"/>
            <w:lang w:val="bg-BG"/>
          </w:rPr>
          <w:t xml:space="preserve"> 16)</w:t>
        </w:r>
      </w:hyperlink>
    </w:p>
    <w:p w14:paraId="25CC9E38" w14:textId="4C69B539" w:rsidR="009D57FF" w:rsidRPr="00BA6F8C" w:rsidRDefault="0073227C" w:rsidP="0073227C">
      <w:pPr>
        <w:shd w:val="clear" w:color="auto" w:fill="FFFFFF"/>
        <w:tabs>
          <w:tab w:val="left" w:pos="5460"/>
        </w:tabs>
        <w:spacing w:before="450" w:after="30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4"/>
          <w:szCs w:val="34"/>
          <w:lang w:val="bg-BG"/>
        </w:rPr>
      </w:pPr>
      <w:r w:rsidRPr="00BA6F8C">
        <w:rPr>
          <w:rFonts w:ascii="Helvetica" w:eastAsia="Times New Roman" w:hAnsi="Helvetica" w:cs="Helvetica"/>
          <w:b/>
          <w:bCs/>
          <w:color w:val="333333"/>
          <w:sz w:val="34"/>
          <w:szCs w:val="34"/>
          <w:lang w:val="bg-BG"/>
        </w:rPr>
        <w:t>Изследователска работа и изготвяне и въвеждане на стандарти</w:t>
      </w:r>
    </w:p>
    <w:p w14:paraId="35DE94D3" w14:textId="46FB1A99" w:rsidR="009D57FF" w:rsidRPr="00BA6F8C" w:rsidRDefault="0073227C" w:rsidP="009D57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lastRenderedPageBreak/>
        <w:t>Преглед след въвеждане на</w:t>
      </w:r>
      <w:r w:rsidR="009D57FF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МСФО</w:t>
      </w:r>
      <w:r w:rsidR="009D57FF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9—</w:t>
      </w:r>
      <w:r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класифициране и оценяване</w:t>
      </w:r>
      <w:r w:rsidR="009D57FF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9D57FF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3)</w:t>
      </w:r>
    </w:p>
    <w:p w14:paraId="37002B42" w14:textId="4CB53FD0" w:rsidR="009D57FF" w:rsidRPr="00BA6F8C" w:rsidRDefault="00F3347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21 юни 2022 г. IASB проведе заседание, за да обсъди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8E429C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получените като обратна информация становища във връзка с прегледа след въвеждане на </w:t>
      </w:r>
      <w:r w:rsidR="0073227C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9 </w:t>
      </w:r>
      <w:r w:rsidR="008E429C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Финансови инструменти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8E429C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По-специално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="008E429C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1C885D31" w14:textId="0FC04E43" w:rsidR="009D57FF" w:rsidRPr="00BA6F8C" w:rsidRDefault="008E429C" w:rsidP="009D57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анализ на вижданията на заинтересованите страни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относно инструменти на собствения капитал, по отношение на които предприятието е избрало да представи промените в справедливата им стойност в друг всеобхватен доход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366BEEF4" w14:textId="6F955ABD" w:rsidR="009D57FF" w:rsidRPr="00BA6F8C" w:rsidRDefault="008E429C" w:rsidP="009D57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актуален преглед на литературата по въпроса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5BACB6C" w14:textId="5DFF9BD2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не бе поискано да взема каквито и да е решения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A1AE4B2" w14:textId="51A55959" w:rsidR="009D57FF" w:rsidRPr="00BA6F8C" w:rsidRDefault="0073227C" w:rsidP="009D57F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04C4612D" w14:textId="545C2F80" w:rsidR="009D57FF" w:rsidRPr="00BA6F8C" w:rsidRDefault="009D57F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8E429C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продължи с обсъжданията по темата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CD0AD06" w14:textId="12FAEA8A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Финансови инструменти с характеристики на собствен капитал</w:t>
      </w:r>
      <w:r w:rsidR="009D57FF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73227C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9D57FF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5)</w:t>
      </w:r>
    </w:p>
    <w:p w14:paraId="6C8AA96D" w14:textId="6C61CE14" w:rsidR="009D57FF" w:rsidRPr="00BA6F8C" w:rsidRDefault="00F3347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20 юни 2022 г. IASB проведе заседание, за да продължи с обсъжданията си относно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A969D4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прекласифицирането на финансови инструменти, емитирани от предприятието, като финансови пасиви или като собствен капитал, когато същността на договорните условия се променя без модифициране на договора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E92AA51" w14:textId="048A9128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A969D4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добави общи изисквания за прекласифициране в МСС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32 </w:t>
      </w:r>
      <w:r w:rsidR="00A969D4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Финансови инструменти</w:t>
      </w:r>
      <w:r w:rsidR="009D57FF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: </w:t>
      </w:r>
      <w:r w:rsidR="00A969D4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представяне,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A969D4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така че да забрани прекласифициране, различно от такова в резултат на промени в същността на договорните условия, произтичащи от промени в обстоятелствата извън договора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A969D4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Този подход не засяга прекласификации, които вече се изискват от МСС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32.</w:t>
      </w:r>
    </w:p>
    <w:p w14:paraId="7B9CB8AB" w14:textId="1060D0DE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десет членове на IASB изразиха съгласие с това решение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66570C1" w14:textId="096756CB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реши също така в порядък на работна хипотеза </w:t>
      </w:r>
      <w:r w:rsidR="00A969D4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поясни, че когато същността на договорните условия се променя поради промени в обстоятелствата извън договора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3CA38709" w14:textId="6EC6B59B" w:rsidR="009D57FF" w:rsidRPr="00BA6F8C" w:rsidRDefault="00A969D4" w:rsidP="009D57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финансов пасив, прекласифициран от собствен капитал, ще се оценява по справедлива стойност към датата на прекласифициране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Всяка разлика между балансовата стойност на инструмента на собствения капитал и справедливата стойност на финансовия пасив ще се признава в собствения капитал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8E429C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десет членове на IASB изразиха съгласие с това решение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88045D3" w14:textId="620900FC" w:rsidR="009D57FF" w:rsidRPr="00BA6F8C" w:rsidRDefault="00A969D4" w:rsidP="009D57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инструмент на собствения капитал, прекласифициран от финансов пасив, ще се оценява по балансовата стойност на финансовия пасив към датата на прекласифицирането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Няма да се признава никаква печалба или загуба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8E429C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десет членове на IASB изразиха съгласие с това решение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C039C87" w14:textId="5D0C68FE" w:rsidR="009D57FF" w:rsidRPr="00BA6F8C" w:rsidRDefault="00A969D4" w:rsidP="009D57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прекласификацията ще се отчита счетоводно в отчетния период, в който е възникнала промяната в обстоятелствата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Осем от десетте членове на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изразиха съгласие с това решение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1989799" w14:textId="45696163" w:rsidR="009D57FF" w:rsidRPr="00BA6F8C" w:rsidRDefault="009D57F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AA59DD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отчете също така и важното значение на оповестяванията за това потребителите на финансовите отчети да могат да разберат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AA59DD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по-добре промяната в класификацията и ефекта й върху оценяването, ако има такъв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5FC9708" w14:textId="6D300448" w:rsidR="009D57FF" w:rsidRPr="00BA6F8C" w:rsidRDefault="0073227C" w:rsidP="009D57F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263AEE91" w14:textId="4F327C42" w:rsidR="009D57FF" w:rsidRPr="00BA6F8C" w:rsidRDefault="00AA59DD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бъдещи свои заседания 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обсъди други теми, изложени в плана на проекта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DDEF04A" w14:textId="4A02903A" w:rsidR="009D57FF" w:rsidRPr="00BA6F8C" w:rsidRDefault="00AA59DD" w:rsidP="009D57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Метод на собствения капитал</w:t>
      </w:r>
      <w:r w:rsidR="009D57FF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73227C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9D57FF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13)</w:t>
      </w:r>
    </w:p>
    <w:p w14:paraId="2CB528E4" w14:textId="20239ECE" w:rsidR="009D57FF" w:rsidRPr="00BA6F8C" w:rsidRDefault="00F3347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21 юни 2022 г. IASB проведе заседание, за да продължи обсъждането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AA59DD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започнато на заседанието на Съвета през април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2022 </w:t>
      </w:r>
      <w:r w:rsidR="00AA59DD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г. във връзка със следния въпрос, касаещ прилагането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: </w:t>
      </w:r>
      <w:r w:rsidR="00AA59DD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 какъв начин инвеститор прилага счетоводния метод на собствения капитал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AA59DD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когато закупува допълнителен дял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="00AA59DD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или се освобождава от дял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) </w:t>
      </w:r>
      <w:r w:rsidR="00AA59DD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 асоциирано предприятие, като същевременно запазва значително влияние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?</w:t>
      </w:r>
    </w:p>
    <w:p w14:paraId="3CEE7CC8" w14:textId="535D469E" w:rsidR="009D57FF" w:rsidRPr="00BA6F8C" w:rsidRDefault="009D57F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AA59DD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разгледа анализ на предпочитания от Съвета подход за прилагане на счетоводния метод на собствения капитал, наред с последствията от прилагането на алтернативен подход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435E936" w14:textId="154305C8" w:rsidR="009D57FF" w:rsidRPr="00BA6F8C" w:rsidRDefault="00AA59DD" w:rsidP="009D57F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Покупка на</w:t>
      </w:r>
      <w:r w:rsidR="009D57FF"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допълнителен дял (или освобождаване от дял) в асоциирано предприятие, като същевременно се запазва значително влияние 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(</w:t>
      </w:r>
      <w:r w:rsidR="0073227C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13A)</w:t>
      </w:r>
    </w:p>
    <w:p w14:paraId="43408D51" w14:textId="6707A9C4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AA59DD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 че инвеститор, прилагащ предпочитания подход, по отношение на изгодна покупка на допълнителен дял, като същевременно запазва значително влияние, ще признае печалба от изгодна покупка в печалбата или загубата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E7A27F5" w14:textId="550647DE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десет членове на IASB изразиха съгласие с това решение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F5B9913" w14:textId="238AE9C9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593D3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593D3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че инвеститор, прилагащ предпочитания подход, по отношение на частично освобождаване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593D3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като същевременно запазва значително влияние, ще оцени частта от балансовата стойност на инвестицията в асоциирано предприятия, която ще бъде отписана, като използва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080C5B27" w14:textId="1B1E953F" w:rsidR="009D57FF" w:rsidRPr="00BA6F8C" w:rsidRDefault="00593D3F" w:rsidP="009D57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метод на конкретно идентифициране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ако инвеститорът може да идентифицира конкретната част от инвестицията, от която се освобождава и нейната цена на придобиване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5D119433" w14:textId="037DA52A" w:rsidR="009D57FF" w:rsidRPr="00BA6F8C" w:rsidRDefault="00593D3F" w:rsidP="009D57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последна входяща, първа изходяща, ако конкретната част от инвестицията, от която се освобождава не може да бъде идентифицирана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66F48BD" w14:textId="53BBA28D" w:rsidR="009D57FF" w:rsidRPr="00BA6F8C" w:rsidRDefault="009D57F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593D3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 да проучи практически методи за оценяване на частта от балансовата стойност на инвестицията в асоциираното предприятие, която ще бъде отписана, когато инвеститорът прилага предпочитания метод по отношение на частично освобождаване при същевременното запазване на значително влияние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64636D3" w14:textId="5C2887BB" w:rsidR="009D57FF" w:rsidRPr="00BA6F8C" w:rsidRDefault="00593D3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Шест от десетте членове на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изразиха съгласие с тези решения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EB23762" w14:textId="07AF5DC9" w:rsidR="009D57FF" w:rsidRPr="00BA6F8C" w:rsidRDefault="00593D3F" w:rsidP="009D57F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Други промени в нетните активи на асоциирано предприятие 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(</w:t>
      </w:r>
      <w:r w:rsidR="0073227C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13</w:t>
      </w:r>
      <w:r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Б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)</w:t>
      </w:r>
    </w:p>
    <w:p w14:paraId="160398D3" w14:textId="0618E1E5" w:rsidR="009D57FF" w:rsidRPr="00BA6F8C" w:rsidRDefault="009D57F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593D3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 как да прилага предпочитания от Съвета подход по отношение на други промени в нетните активи на асоциирано предприятие, които променят дяловото участие на инвеститора в собствеността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30A919F" w14:textId="0208CB91" w:rsidR="009D57FF" w:rsidRPr="00BA6F8C" w:rsidRDefault="00593D3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да продължи обсъждането на този въпрос, касаещ прилагането, на бъдещо заседание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78158BA" w14:textId="23895384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Девет от десетте членове на IASB изразиха съгласие с това решение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835BAD9" w14:textId="20F568B1" w:rsidR="009D57FF" w:rsidRPr="00BA6F8C" w:rsidRDefault="0073227C" w:rsidP="009D57F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704E0A85" w14:textId="5498B07F" w:rsidR="009D57FF" w:rsidRPr="00BA6F8C" w:rsidRDefault="00B1005E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бъдещо свое заседание 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продължи обсъждането на въпроси в обхвата на проекта, касаещи прилагането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CF67B89" w14:textId="5F74F055" w:rsidR="009D57FF" w:rsidRPr="00BA6F8C" w:rsidRDefault="00B1005E" w:rsidP="009D57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Основни финансови отчети</w:t>
      </w:r>
      <w:r w:rsidR="009D57FF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73227C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9D57FF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21)</w:t>
      </w:r>
    </w:p>
    <w:p w14:paraId="16EE3447" w14:textId="415B4D63" w:rsidR="009D57FF" w:rsidRPr="00BA6F8C" w:rsidRDefault="00F3347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20 юни 2022 г. IASB проведе заседание, за да обсъди повторно предложенията, съдържащи се в Проекта за обсъждане на Съвета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Общо представяне и оповестявания,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отнасящи се до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4B5844DC" w14:textId="1DDFC9DD" w:rsidR="009D57FF" w:rsidRPr="00BA6F8C" w:rsidRDefault="00B1005E" w:rsidP="009D57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общи изисквания за допълнителни позиции на отделни редове и междинни сборове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14568730" w14:textId="40310B61" w:rsidR="009D57FF" w:rsidRPr="00BA6F8C" w:rsidRDefault="00B1005E" w:rsidP="009D57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използването на колони за представяне на оценките на ръководството за резултатите от дейността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68CF90E" w14:textId="610D173F" w:rsidR="009D57FF" w:rsidRPr="00BA6F8C" w:rsidRDefault="00B1005E" w:rsidP="009D57F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Използване на колони за представяне на оценките на ръководството за резултатите от дейността и общи изисквания за допълнителни позиции на отделни редове и междинни сборове 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(</w:t>
      </w:r>
      <w:r w:rsidR="0073227C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21A)</w:t>
      </w:r>
    </w:p>
    <w:p w14:paraId="793B65E6" w14:textId="2F0964E7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IASB реши в порядък на работна хипотеза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76C12442" w14:textId="63118F35" w:rsidR="009D57FF" w:rsidRPr="00BA6F8C" w:rsidRDefault="00D01DE3" w:rsidP="00D01D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добави изискване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базата на коментара в параграфи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ОЗ 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31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ОЗ 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165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Основанието за заключения, съпътстващи Проекта за обсъждане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 отношение на допълнителните междинни сборове и позиции на отделни редове, представени в отчета или отчетите за финансовите резултати от дейността, за да се впишат в структурата на категориите, изисквани в Счетоводния стандарт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8E429C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десет членове на IASB изразиха съгласие с това решение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A98F3FB" w14:textId="612AB8B4" w:rsidR="009D57FF" w:rsidRPr="00BA6F8C" w:rsidRDefault="00D01DE3" w:rsidP="009D57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да оттегли предложението за изрична забрана за използването на колони </w:t>
      </w:r>
      <w:r w:rsidR="007E3D98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за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представяне на оценките на ръководството за резултатите от дейността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 отчета или отчетите за финансовите резултати от дейността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8E429C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Девет от десетте членове на IASB изразиха съгласие с това решение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8D4D5B4" w14:textId="72009955" w:rsidR="009D57FF" w:rsidRPr="00BA6F8C" w:rsidRDefault="0073227C" w:rsidP="009D57F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681714FC" w14:textId="66CE841D" w:rsidR="009D57FF" w:rsidRPr="00BA6F8C" w:rsidRDefault="00D01DE3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бъдещи свои заседания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продължи да обсъжда предложенията по проекта.</w:t>
      </w:r>
    </w:p>
    <w:p w14:paraId="588CE308" w14:textId="57100CE0" w:rsidR="009D57FF" w:rsidRPr="00BA6F8C" w:rsidRDefault="00D01DE3" w:rsidP="009D57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Бизнес комбинации под общ контрол</w:t>
      </w:r>
      <w:r w:rsidR="009D57FF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73227C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9D57FF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23)</w:t>
      </w:r>
    </w:p>
    <w:p w14:paraId="2FEEA1CB" w14:textId="69EFCC07" w:rsidR="009D57FF" w:rsidRPr="00BA6F8C" w:rsidRDefault="00F3347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21 юни 2022 г. IASB проведе заседание, за да обсъди </w:t>
      </w:r>
      <w:r w:rsidR="00D01DE3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проекта си, посветен на бизнес комбинациите под общ контрол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0C1B432" w14:textId="5C3BB80C" w:rsidR="009D57FF" w:rsidRPr="00BA6F8C" w:rsidRDefault="003F0E09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обсъди дали от концептуална гледна точка по отношение на бизнес комбинации под общ контрол следва да се прилага методът на придобиване и/или методът на отчетната стойност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По-специално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522ADEFE" w14:textId="0B7E6D83" w:rsidR="009D57FF" w:rsidRPr="00BA6F8C" w:rsidRDefault="003F0E09" w:rsidP="003F0E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приликите и разликите между бизнес комбинациите под общ контрол и бизнес комбинациите, обхванати от </w:t>
      </w:r>
      <w:r w:rsidR="0073227C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3 </w:t>
      </w:r>
      <w:r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Бизнес комбинации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51B9A7CA" w14:textId="4EBD7D9F" w:rsidR="009D57FF" w:rsidRPr="00BA6F8C" w:rsidRDefault="003F0E09" w:rsidP="003F0E0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видовете потребители на финансовите отчети на получаващото предприятие и техните нужди от информация в сравнение с тези при бизнес комбинация, обхваната от </w:t>
      </w:r>
      <w:r w:rsidR="0073227C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3.</w:t>
      </w:r>
    </w:p>
    <w:p w14:paraId="5A66D157" w14:textId="48A1350F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IASB не бе поискано да взема каквито и да е решения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579D218" w14:textId="5DE24F87" w:rsidR="009D57FF" w:rsidRPr="00BA6F8C" w:rsidRDefault="0073227C" w:rsidP="009D57F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1D7DB43E" w14:textId="4841FC5E" w:rsidR="009D57FF" w:rsidRPr="00BA6F8C" w:rsidRDefault="003F0E09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бъдещо заседание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ще продължи обсъжданията си относно избора на метод на оценяване, включително практически съображения като ограничението от гледна точка на разходите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A7879F9" w14:textId="166E6006" w:rsidR="009D57FF" w:rsidRPr="00BA6F8C" w:rsidRDefault="003F0E09" w:rsidP="009D57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Втори всеобхватен преглед на счетоводния стандарт </w:t>
      </w:r>
      <w:r w:rsidRPr="00BA6F8C">
        <w:rPr>
          <w:rFonts w:ascii="Helvetica" w:eastAsia="Times New Roman" w:hAnsi="Helvetica" w:cs="Helvetica"/>
          <w:b/>
          <w:bCs/>
          <w:i/>
          <w:color w:val="CD3333"/>
          <w:sz w:val="26"/>
          <w:szCs w:val="26"/>
          <w:lang w:val="bg-BG"/>
        </w:rPr>
        <w:t>МСФО за МСП</w:t>
      </w:r>
      <w:r w:rsidR="009D57FF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73227C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9D57FF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30)</w:t>
      </w:r>
    </w:p>
    <w:p w14:paraId="7AEC4249" w14:textId="5E64B1BB" w:rsidR="009D57FF" w:rsidRPr="00BA6F8C" w:rsidRDefault="00F3347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 xml:space="preserve">На 22 юни 2022 г. IASB проведе заседание, за да обсъди </w:t>
      </w:r>
      <w:r w:rsidR="006A50E0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дали и ако да – по какъв начин – да предложи изменения в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F0E09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счетоводния стандарт </w:t>
      </w:r>
      <w:r w:rsidR="003F0E09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 за МСП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6A50E0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като част от втория всеобхватен преглед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4B7DC09" w14:textId="5458F51A" w:rsidR="009D57FF" w:rsidRPr="00BA6F8C" w:rsidRDefault="006A50E0" w:rsidP="009D57F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Към проект за обсъждане</w:t>
      </w:r>
      <w:r w:rsidR="009D57FF"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—</w:t>
      </w:r>
      <w:r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насоки относно публичната отчетност 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(</w:t>
      </w:r>
      <w:r w:rsidR="0073227C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30A)</w:t>
      </w:r>
    </w:p>
    <w:p w14:paraId="2C81264E" w14:textId="7D1DE77C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71A73A6D" w14:textId="0E8119F8" w:rsidR="009D57FF" w:rsidRPr="00BA6F8C" w:rsidRDefault="006A50E0" w:rsidP="009D57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не включва насоките относно публичната отчетност от Модул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1 </w:t>
      </w:r>
      <w:r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Малки и средни предприятия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</w:t>
      </w:r>
      <w:r w:rsidR="009D57FF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="003F0E09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счетоводния стандарт </w:t>
      </w:r>
      <w:r w:rsidR="003F0E09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 за МСП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;</w:t>
      </w:r>
    </w:p>
    <w:p w14:paraId="37795B5D" w14:textId="3962B229" w:rsidR="009D57FF" w:rsidRPr="00BA6F8C" w:rsidRDefault="006A50E0" w:rsidP="009D57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да не включва насоките относно публичната отчетност от Модул 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1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 предложения счетоводен стандарт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Дъщерни предприятия без публична отчетност</w:t>
      </w:r>
      <w:r w:rsidR="009D57FF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: </w:t>
      </w:r>
      <w:r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оповестявания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при неговото финализиране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но</w:t>
      </w:r>
    </w:p>
    <w:p w14:paraId="45B2CAB0" w14:textId="755E28A8" w:rsidR="009D57FF" w:rsidRPr="00BA6F8C" w:rsidRDefault="006A50E0" w:rsidP="006A50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да направи Модул 1 отделно достъпен на уебсайта на Фондация МСФО като образователен материал в подкрепа на предложения счетоводен стандарт </w:t>
      </w:r>
      <w:r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Дъщерни предприятия без публична отчетност: оповестявания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когато счетоводният стандарт бъде финализиран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7169BD9" w14:textId="0600EB9D" w:rsidR="009D57FF" w:rsidRPr="00BA6F8C" w:rsidRDefault="006A50E0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Осем от десетте членове на IASB изразиха съгласие с това решение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965D2D6" w14:textId="778BF87E" w:rsidR="009D57FF" w:rsidRPr="00BA6F8C" w:rsidRDefault="006A50E0" w:rsidP="009D57F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Към проект за обсъждане </w:t>
      </w:r>
      <w:r w:rsidR="009D57FF"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—</w:t>
      </w:r>
      <w:r w:rsidR="00EA47C4"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допълнителни опростявания на</w:t>
      </w:r>
      <w:r w:rsidR="009D57FF"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 </w:t>
      </w:r>
      <w:r w:rsidR="0073227C"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МСФО</w:t>
      </w:r>
      <w:r w:rsidR="009D57FF"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 15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 </w:t>
      </w:r>
      <w:r w:rsidR="00EA47C4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Приходи от договори с клиенти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(</w:t>
      </w:r>
      <w:r w:rsidR="0073227C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30</w:t>
      </w:r>
      <w:r w:rsidR="00EA47C4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Б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)</w:t>
      </w:r>
    </w:p>
    <w:p w14:paraId="12563117" w14:textId="11EDC985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A47C4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да предложи изменения в </w:t>
      </w:r>
      <w:r w:rsidR="003F0E09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счетоводния стандарт </w:t>
      </w:r>
      <w:r w:rsidR="003F0E09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 за МСП</w:t>
      </w:r>
      <w:r w:rsidR="00EA47C4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,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A47C4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за да приведе в съответствие Раздел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23 </w:t>
      </w:r>
      <w:r w:rsidR="00EA47C4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Приходи</w:t>
      </w:r>
      <w:r w:rsidR="009D57FF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="00EA47C4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стандарта с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3227C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15 </w:t>
      </w:r>
      <w:r w:rsidR="00EA47C4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Приходи от договори с клиенти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EA47C4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 опростявания по отношение на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0FA5EE90" w14:textId="02A9844E" w:rsidR="009D57FF" w:rsidRPr="00BA6F8C" w:rsidRDefault="00781EB5" w:rsidP="009D57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Опции на клиента за допълнителни стоки или услуги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МСП ще се изисква да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6BBDCE6C" w14:textId="29A677AE" w:rsidR="009D57FF" w:rsidRPr="00BA6F8C" w:rsidRDefault="00781EB5" w:rsidP="009D57FF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отчита счетоводно опция, която предоставя на клиента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материално право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 изключение на опциите за подновяване на договора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)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като отделно задължение за изпълнение, когато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ефектът от това ще е съществен за индивидуалния договор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6BA4E358" w14:textId="38119CD4" w:rsidR="009D57FF" w:rsidRPr="00BA6F8C" w:rsidRDefault="00781EB5" w:rsidP="009D57FF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отчита счетоводно опции за подновяване на договора на базата на очаквания срок на договора</w:t>
      </w:r>
      <w:r w:rsidR="00043327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и съответното очаквано възнаграждение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FB28634" w14:textId="79A76CAC" w:rsidR="009D57FF" w:rsidRPr="00BA6F8C" w:rsidRDefault="00043327" w:rsidP="009D57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Възнаграждение на принципал спрямо възнаграждение на агент 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МСП би било определено като действащо в качеството на принципал, ако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6ED34DA2" w14:textId="10442B98" w:rsidR="009D57FF" w:rsidRPr="00BA6F8C" w:rsidRDefault="00043327" w:rsidP="009D57FF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то контролира отделната стока или услуга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или отделен пакет стоки или услуги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, които ще бъдат предоставени на клиента, преди стоката или услугата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или отделният пакет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)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бъдат предоставени на клиента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или</w:t>
      </w:r>
    </w:p>
    <w:p w14:paraId="3B562A66" w14:textId="0E02E39D" w:rsidR="009D57FF" w:rsidRPr="00BA6F8C" w:rsidRDefault="00043327" w:rsidP="009D57FF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то носи основната отговорност за изпълнението на обещанието да се предостави тази стока или услуга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3A57048" w14:textId="29DF1630" w:rsidR="009D57FF" w:rsidRPr="00BA6F8C" w:rsidRDefault="00CD7D08" w:rsidP="009D57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lastRenderedPageBreak/>
        <w:t>Гаранции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ако договорът с клиента включва гаранция и клиентът няма опцията да закупи гаранция отделно, от МСП ще се изисква, в случай че гаранцията е съществена за договора, да оцени дали гаранцията предоставя на клиента услуга в допълнение към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увереността, че продуктът съответства на уговорените в договора спецификации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CD16335" w14:textId="6739502C" w:rsidR="009D57FF" w:rsidRPr="00BA6F8C" w:rsidRDefault="00CD7D08" w:rsidP="009D57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Лицензиране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лицензът би бил определен като предоставящ на клиента правото на достъп до интелектуална собственост на МСП, ако МСП очаква да предприеме дейности, които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или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77D7B534" w14:textId="581CD59E" w:rsidR="009D57FF" w:rsidRPr="00BA6F8C" w:rsidRDefault="0031048D" w:rsidP="009D57FF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съществено биха засегнали ползата, която клиентът получава от интелектуалната собственост, като променя същността на интелектуалната собственост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или</w:t>
      </w:r>
    </w:p>
    <w:p w14:paraId="294F7AA3" w14:textId="66CB0253" w:rsidR="009D57FF" w:rsidRPr="00BA6F8C" w:rsidRDefault="0031048D" w:rsidP="009D57FF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съществено биха засегнали ползата, която клиентът получава от интелектуалната собственост, излагайки директно клиента на всякакви положителни или отрицателни последици от тези дейности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92084AC" w14:textId="6984410E" w:rsidR="009D57FF" w:rsidRPr="00BA6F8C" w:rsidRDefault="009D57FF" w:rsidP="009D57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31048D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Разпределяне на отстъпките и променливото възнаграждение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="0031048D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МСП ще се изисква да разпределя отстъпките и променливото възнаграждение към задълженията за изпълнение в договора въз основа на относителната единична продажна цена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824769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освен ако тази база не отразява сумата на възнаграждението, на което МСП очаква да има право в замяна на удовлетворяването на всяко отделно задължение за изпълнение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824769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 такъв случай от МСП ще се изисква да използва метод, който да отразява сумата на възнаграждението, на което МСП очаква да има право в замяна на удовлетворяването на всяко отделно задължение за изпълнение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F8EA2F0" w14:textId="7B3AE2D1" w:rsidR="009D57FF" w:rsidRPr="00BA6F8C" w:rsidRDefault="00824769" w:rsidP="009D57F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Разпределяне на променливо възнаграждение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когато МСП прехвърля отделни стоки или услуги, обещани в поредица от отделни стоки или услуги, съставляваща част от </w:t>
      </w:r>
      <w:r w:rsidR="000513F7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единично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задължение за изпълнение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от МСП ще се изисква да </w:t>
      </w:r>
      <w:r w:rsidR="005459FE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разпредели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променливото възнаграждение към всички отделни стоки или услуги, които съставляват част от </w:t>
      </w:r>
      <w:r w:rsidR="005459FE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единичното задължение за изпълнение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5459FE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освен ако това не отразява сумата на възнаграждението, на което МСП очаква да има право в замяна на прехвърлянето на обещаните стоки или услуги на клиента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5459FE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 такъв случай от МСП ще се изисква да използва метод, който да отразява сумата на възнаграждението, на което МСП очаква да има право в замяна на прехвърлянето на обещаните стоки или услуги към клиента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E0D8C9B" w14:textId="403B73FD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десет членове на IASB изразиха съгласие с тези решения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8D7F1B9" w14:textId="1D1C5859" w:rsidR="009D57FF" w:rsidRPr="00BA6F8C" w:rsidRDefault="009D57F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BB72E5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 също така да преразгледа неокончателното решение, взето от Съвета през февруари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2022 </w:t>
      </w:r>
      <w:r w:rsidR="00BB72E5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г. и реши в порядък на работна хипотеза да предложи изменения в Раздел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23 </w:t>
      </w:r>
      <w:r w:rsidR="00AC4CB3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F0E09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счетоводния стандарт </w:t>
      </w:r>
      <w:r w:rsidR="003F0E09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 за МСП</w:t>
      </w:r>
      <w:r w:rsidR="00AC4CB3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,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AC4CB3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така че да изисква, вместо да разрешава, МСП да отчита счетоводно обещание да прехвърли поредица от отделни стоки или услуги, които по същество са еднакви и имат същия модел на прехвърляне към клиента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AC4CB3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като отделно задължение за изпълнение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BB72E5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 съответствие с изискването в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3227C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 15 (</w:t>
      </w:r>
      <w:r w:rsidR="00BB72E5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т.е., без каквото и да е опростяване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).</w:t>
      </w:r>
    </w:p>
    <w:p w14:paraId="7F6110C2" w14:textId="7985FEF2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десет членове на IASB изразиха съгласие с това решение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9CCD86A" w14:textId="229BF6A0" w:rsidR="009D57FF" w:rsidRPr="00BA6F8C" w:rsidRDefault="009D57F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 xml:space="preserve">IASB </w:t>
      </w:r>
      <w:r w:rsidR="00AC4CB3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реши в порядък на работна хипотеза да предложи изменения в Раздел 23 от счетоводния стандарт </w:t>
      </w:r>
      <w:r w:rsidR="00AC4CB3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 за МСП,</w:t>
      </w:r>
      <w:r w:rsidR="00AC4CB3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така че да изисква МСП да оповестява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529730C0" w14:textId="4EFBD49B" w:rsidR="009D57FF" w:rsidRPr="00BA6F8C" w:rsidRDefault="00AC4CB3" w:rsidP="009D57F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Приходи, признати от договори с клиенти,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разбити </w:t>
      </w:r>
      <w:r w:rsidR="000513F7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категории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показвайки отделно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като минимум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приходи, произтичащи от:</w:t>
      </w:r>
    </w:p>
    <w:p w14:paraId="0D361237" w14:textId="6B9D9E6C" w:rsidR="009D57FF" w:rsidRPr="00BA6F8C" w:rsidRDefault="00AC4CB3" w:rsidP="009D57FF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Продажба на стоки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;</w:t>
      </w:r>
    </w:p>
    <w:p w14:paraId="6E658100" w14:textId="3128C0DD" w:rsidR="009D57FF" w:rsidRPr="00BA6F8C" w:rsidRDefault="00AC4CB3" w:rsidP="009D57FF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Предоставяне на услуги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;</w:t>
      </w:r>
    </w:p>
    <w:p w14:paraId="4712BF9B" w14:textId="460568D4" w:rsidR="009D57FF" w:rsidRPr="00BA6F8C" w:rsidRDefault="00AC4CB3" w:rsidP="009D57FF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Лицензионни възнаграждения (възнаграждения </w:t>
      </w:r>
      <w:r w:rsidR="002C321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за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права)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;</w:t>
      </w:r>
    </w:p>
    <w:p w14:paraId="354D78A6" w14:textId="33A960D6" w:rsidR="009D57FF" w:rsidRPr="00BA6F8C" w:rsidRDefault="002C321F" w:rsidP="009D57FF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Комисионни възнаграждения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781A3BE3" w14:textId="2A0BAF2A" w:rsidR="009D57FF" w:rsidRPr="00BA6F8C" w:rsidRDefault="002C321F" w:rsidP="009D57FF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Всякакви други съществени видове приходи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21786D86" w14:textId="3024A92D" w:rsidR="009D57FF" w:rsidRPr="00BA6F8C" w:rsidRDefault="002C321F" w:rsidP="009D57F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Кога МСП обикновено удовлетворява задълженията си за изпълнение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базата на параграф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119(a)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3227C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15).</w:t>
      </w:r>
    </w:p>
    <w:p w14:paraId="240E837A" w14:textId="24453899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десет членове на IASB изразиха съгласие с това решение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BD691F8" w14:textId="7571F742" w:rsidR="009D57FF" w:rsidRPr="00BA6F8C" w:rsidRDefault="009D57F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EC1091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 също така в порядък на работна хипотеза да не включва в Раздел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23 </w:t>
      </w:r>
      <w:r w:rsidR="00EC1091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F0E09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счетоводния стандарт </w:t>
      </w:r>
      <w:r w:rsidR="003F0E09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 за МСП</w:t>
      </w:r>
      <w:r w:rsidR="003F0E09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C1091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изисквания за оповестяване на базата на параграфи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89, 90, 93 </w:t>
      </w:r>
      <w:r w:rsidR="00EC1091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97 </w:t>
      </w:r>
      <w:r w:rsidR="00EC1091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Проекта за обсъждане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EC1091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Дъщерни предприятия без публична отчетност: оповестявания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1AACF34" w14:textId="1E3B5EC0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десет членове на IASB изразиха съгласие с това решение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0DBDE40" w14:textId="179A0124" w:rsidR="009D57FF" w:rsidRPr="00BA6F8C" w:rsidRDefault="006A50E0" w:rsidP="009D57F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Към проект за обсъждане </w:t>
      </w:r>
      <w:r w:rsidR="009D57FF"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—</w:t>
      </w:r>
      <w:r w:rsidR="007A7CF8"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преход към третото издание на</w:t>
      </w:r>
      <w:r w:rsidR="009D57FF"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 </w:t>
      </w:r>
      <w:r w:rsidR="003F0E09"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 xml:space="preserve">счетоводния стандарт </w:t>
      </w:r>
      <w:r w:rsidR="003F0E09" w:rsidRPr="000513F7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МСФО за МСП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 (</w:t>
      </w:r>
      <w:r w:rsidR="0073227C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30</w:t>
      </w:r>
      <w:r w:rsidR="007A7CF8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В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)</w:t>
      </w:r>
    </w:p>
    <w:p w14:paraId="2DEA075B" w14:textId="2D8F823D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A7CF8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да предложи изисквания </w:t>
      </w:r>
      <w:r w:rsidR="00040430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за</w:t>
      </w:r>
      <w:r w:rsidR="007A7CF8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преход по отношение на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0628FA31" w14:textId="6CAE239F" w:rsidR="009D57FF" w:rsidRPr="00BA6F8C" w:rsidRDefault="007A7CF8" w:rsidP="009D57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измененията в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F0E09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счетоводния стандарт </w:t>
      </w:r>
      <w:r w:rsidR="003F0E09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 за МСП</w:t>
      </w:r>
      <w:r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,</w:t>
      </w:r>
      <w:r w:rsidR="003F0E09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които биха хармонизирали стандарта</w:t>
      </w:r>
      <w:r w:rsidR="00040430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0513F7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</w:t>
      </w:r>
      <w:r w:rsidR="00040430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Разясненията на Комитета по разясненията на МСФО и измененията в пълните счетоводни МСФО стандарти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="00040430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6D12CBE4" w14:textId="06396B0E" w:rsidR="009D57FF" w:rsidRPr="00BA6F8C" w:rsidRDefault="00040430" w:rsidP="009D57F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насоките за прилагащите за първи път </w:t>
      </w:r>
      <w:r w:rsidR="003F0E09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счетоводния стандарт </w:t>
      </w:r>
      <w:r w:rsidR="003F0E09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 за МСП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524DC79" w14:textId="07393859" w:rsidR="009D57FF" w:rsidRPr="00BA6F8C" w:rsidRDefault="00040430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Изискванията за преход, които ще бъдат предложени в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3F0E09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счетоводния стандарт </w:t>
      </w:r>
      <w:r w:rsidR="003F0E09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МСФО за МСП</w:t>
      </w:r>
      <w:r w:rsidR="003F0E09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се базират на изискванията за преход по отношение на съответните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Разяснения на Комитета по разясненията на МСФО и измененията в пълните счетоводни МСФО стандарти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 изключение на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722ABE22" w14:textId="6ED8C744" w:rsidR="009D57FF" w:rsidRPr="00BA6F8C" w:rsidRDefault="00040430" w:rsidP="009D57F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възможност за избор за ретроспективно прилагане на измененията в Раздел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16 </w:t>
      </w:r>
      <w:r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Инвестиционни имоти</w:t>
      </w:r>
      <w:r w:rsidR="009D57FF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 Раздел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26 </w:t>
      </w:r>
      <w:r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Плащане на базата на акции</w:t>
      </w:r>
      <w:r w:rsidR="009D57FF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 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Стандарта, които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планира да предложи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8E429C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предложи да не се включва такава възможност за избор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следователно, от предприятието ще се изисква да прилага измененията в Раздел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16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 Раздел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26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за бъдещи периоди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CCD16AF" w14:textId="18F1D304" w:rsidR="009D57FF" w:rsidRPr="00BA6F8C" w:rsidRDefault="008078BD" w:rsidP="009D57F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облекчение от предоставянето на сравнителни оповестявания за промени в пасивите, произтичащи от финансови дейности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8E429C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не предлага такова облекчение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Следователно от предприятие, прилагащо измененията в Раздел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7 </w:t>
      </w:r>
      <w:r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Отчет за паричните потоци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Стандарта, които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планира да предложи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се изисква да предоставя сравнителни оповестявания на промените, произтичащи от финансови дейности, включително промени, произтичащи от парични и непарични потоци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2EC2CFD" w14:textId="2493DFC3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десет членове на IASB изразиха съгласие с тези решения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986B1AB" w14:textId="0C98CD3D" w:rsidR="009D57FF" w:rsidRPr="00BA6F8C" w:rsidRDefault="00EC1091" w:rsidP="009D57F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Регламентирана процедура и разрешение за пристъпване към процеса по гласуване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 (</w:t>
      </w:r>
      <w:r w:rsidR="0073227C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30</w:t>
      </w:r>
      <w:r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Г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)</w:t>
      </w:r>
    </w:p>
    <w:p w14:paraId="0F5A92BD" w14:textId="300ACAF5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C1091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определи период за предоставяне на коментари по проекта за обсъждане, който се разработва във връзка с проекта, от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180 </w:t>
      </w:r>
      <w:r w:rsidR="00EC1091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дни.</w:t>
      </w:r>
    </w:p>
    <w:p w14:paraId="20BC172E" w14:textId="229CA0FB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Девет от десетте членове на IASB изразиха съгласие с това решение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AD2143A" w14:textId="43E0B384" w:rsidR="009D57FF" w:rsidRPr="00BA6F8C" w:rsidRDefault="009D57F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EC1091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 стъпките от регламентираната процедура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="00EC1091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включително разрешение за пристъпване към процеса по гласуване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="00EC1091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във връзка с проекта за обсъждане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85EF114" w14:textId="6F4EBC12" w:rsidR="009D57FF" w:rsidRPr="00BA6F8C" w:rsidRDefault="00EC1091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десет членове на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потвърдиха, че са се уверили, че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е изпълнил приложимите изисквания на регламентираната процедура и е предприел достатъчно консултации и е осъществил достатъчен анализ, за да се пристъпи към процедурата по гласуване във връзка с проекта за обсъждане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D53576C" w14:textId="3FB74059" w:rsidR="009D57FF" w:rsidRPr="00BA6F8C" w:rsidRDefault="00EC1091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Нито един от членовете на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не даде индикация, че ще изрази несъгласие с предложенията в проекта за обсъждане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14D84D4" w14:textId="1C1C900B" w:rsidR="009D57FF" w:rsidRPr="00BA6F8C" w:rsidRDefault="0073227C" w:rsidP="009D57F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25ED9481" w14:textId="737A8DBD" w:rsidR="009D57FF" w:rsidRPr="00BA6F8C" w:rsidRDefault="00EC1091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Екипът ще изготви проекта за обсъждане, който ще бъде подложен на гласуване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666EA63" w14:textId="56929606" w:rsidR="009D57FF" w:rsidRPr="00BA6F8C" w:rsidRDefault="00EC1091" w:rsidP="009D57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Инициатива за оповестяване</w:t>
      </w:r>
      <w:r w:rsidR="009D57FF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—</w:t>
      </w:r>
      <w:r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дъщерни предприятия без публична отчетност</w:t>
      </w:r>
      <w:r w:rsidR="009D57FF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: </w:t>
      </w:r>
      <w:r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оповестявания</w:t>
      </w:r>
      <w:r w:rsidR="009D57FF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(</w:t>
      </w:r>
      <w:r w:rsidR="0073227C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9D57FF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31)</w:t>
      </w:r>
    </w:p>
    <w:p w14:paraId="553AA36B" w14:textId="51C5E5BA" w:rsidR="009D57FF" w:rsidRPr="00BA6F8C" w:rsidRDefault="00F3347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22 юни 2022 г. IASB проведе заседание, за да вземе решение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EC1091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относно насоката на развитие на </w:t>
      </w:r>
      <w:r w:rsidR="001F2FED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проекта в рамките на </w:t>
      </w:r>
      <w:r w:rsidR="00EC1091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Инициативата за оповестяване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="001F2FED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</w:t>
      </w:r>
      <w:r w:rsidR="001F2FED" w:rsidRPr="00BA6F8C">
        <w:rPr>
          <w:rFonts w:ascii="Helvetica" w:eastAsia="Times New Roman" w:hAnsi="Helvetica" w:cs="Helvetica"/>
          <w:bCs/>
          <w:color w:val="575757"/>
          <w:sz w:val="24"/>
          <w:szCs w:val="24"/>
          <w:lang w:val="bg-BG"/>
        </w:rPr>
        <w:t>дъщерни предприятия без публична отчетност: оповестявания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59C1657" w14:textId="0CECFD56" w:rsidR="009D57FF" w:rsidRPr="00BA6F8C" w:rsidRDefault="009D57F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1F2FED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 да продължи с предложението си за нов счетоводен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3227C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1F2FED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стандарт, съгласно изложеното в Проекта за обсъждане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EC1091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Дъщерни предприятия без публична отчетност: оповестявания </w:t>
      </w:r>
      <w:r w:rsidR="001F2FED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 съгласува план на проекта за разработване на нов счетоводен стандарт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011D29D" w14:textId="788B9769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Всичките десет членове на IASB изразиха съгласие с тези решения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6C97DB2" w14:textId="1524161C" w:rsidR="009D57FF" w:rsidRPr="00BA6F8C" w:rsidRDefault="009D57F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1F2FED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реши също така в порядък на работна хипотеза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4AE7D308" w14:textId="43F4AE73" w:rsidR="009D57FF" w:rsidRPr="00BA6F8C" w:rsidRDefault="00DF2388" w:rsidP="009D57F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включи в новия счетоводен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3227C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стандарт изискванията за оповестяване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счетоводните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3227C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 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стандарти, издадени към 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28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февруари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2021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г.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</w:t>
      </w:r>
    </w:p>
    <w:p w14:paraId="3A97AAAE" w14:textId="69641CB5" w:rsidR="009D57FF" w:rsidRPr="00BA6F8C" w:rsidRDefault="00DF2388" w:rsidP="009D57F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разгледа изменения в изискванията за оповестяване в счетоводните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3227C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 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стандарти, издадени след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28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февруари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2021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г. след издаването на новия стандарт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77BA7B4" w14:textId="16479A7E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десет членове на IASB изразиха съгласие с тези решения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DDDA412" w14:textId="29B2B3D8" w:rsidR="009D57FF" w:rsidRPr="00BA6F8C" w:rsidRDefault="0073227C" w:rsidP="009D57F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0AEC0DCD" w14:textId="6F9395F7" w:rsidR="009D57FF" w:rsidRPr="00BA6F8C" w:rsidRDefault="009D57F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DF2388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продължи обсъждането на получените като обратна информация становища във връзка с Проекта за обсъждане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CDA1AFC" w14:textId="13475D1F" w:rsidR="009D57FF" w:rsidRPr="00BA6F8C" w:rsidRDefault="00DF2388" w:rsidP="009D57FF">
      <w:pPr>
        <w:shd w:val="clear" w:color="auto" w:fill="FFFFFF"/>
        <w:spacing w:before="450" w:after="30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4"/>
          <w:szCs w:val="34"/>
          <w:lang w:val="bg-BG"/>
        </w:rPr>
      </w:pPr>
      <w:r w:rsidRPr="00BA6F8C">
        <w:rPr>
          <w:rFonts w:ascii="Helvetica" w:eastAsia="Times New Roman" w:hAnsi="Helvetica" w:cs="Helvetica"/>
          <w:b/>
          <w:bCs/>
          <w:color w:val="333333"/>
          <w:sz w:val="34"/>
          <w:szCs w:val="34"/>
          <w:lang w:val="bg-BG"/>
        </w:rPr>
        <w:t>Поддържане и последователно прилагане</w:t>
      </w:r>
    </w:p>
    <w:p w14:paraId="764A0126" w14:textId="4B6830C5" w:rsidR="009D57FF" w:rsidRPr="00BA6F8C" w:rsidRDefault="00DF2388" w:rsidP="009D57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Поддържане и последователно прилагане </w:t>
      </w:r>
      <w:r w:rsidR="009D57FF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(</w:t>
      </w:r>
      <w:r w:rsidR="0073227C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9D57FF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12)</w:t>
      </w:r>
    </w:p>
    <w:p w14:paraId="101AF336" w14:textId="151D6C7D" w:rsidR="009D57FF" w:rsidRPr="00BA6F8C" w:rsidRDefault="00F3347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20 юни 2022 г. IASB проведе заседание, за да обсъди </w:t>
      </w:r>
      <w:r w:rsidR="00DF2388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получените като обратна информация становища във връзка с Проекта за обсъждане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DF2388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 xml:space="preserve">Нетекущи пасиви с договорни клаузи 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(</w:t>
      </w:r>
      <w:r w:rsidR="00DF2388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„Проектът за обсъждане“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), </w:t>
      </w:r>
      <w:r w:rsidR="00DF2388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който предлага изменения в МСС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1 </w:t>
      </w:r>
      <w:r w:rsidR="00DF2388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Представяне на финансови отчети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DF2388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Срокът за предоставяне на коментари по Проекта за обсъждане приключи на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21 </w:t>
      </w:r>
      <w:r w:rsidR="00DF2388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март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2022</w:t>
      </w:r>
      <w:r w:rsidR="00DF2388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г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IASB </w:t>
      </w:r>
      <w:r w:rsidR="00DF2388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обсъди също така как да продължи работата по проекта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4F12160" w14:textId="5F5E4737" w:rsidR="009D57FF" w:rsidRPr="00BA6F8C" w:rsidRDefault="00DF2388" w:rsidP="009D57F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Класифициране като текущи или нетекущи</w:t>
      </w:r>
      <w:r w:rsidR="009D57FF"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 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(</w:t>
      </w:r>
      <w:r w:rsidR="0073227C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12</w:t>
      </w:r>
      <w:r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Б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)</w:t>
      </w:r>
    </w:p>
    <w:p w14:paraId="619A5A02" w14:textId="518F6E50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797BDB8F" w14:textId="3F6C8894" w:rsidR="009D57FF" w:rsidRPr="00BA6F8C" w:rsidRDefault="00DF2388" w:rsidP="009D57F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финализира предложените изменения в параграф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72A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МСС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 добавяне на параграф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72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="008E429C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потвърди, че само договорни клаузи, които предприятието трябва да изпълнява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или преди отчетната дата биха засегнали класифицирането на даден пасив като текущ или нетекущ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FA2FF2D" w14:textId="684B100F" w:rsidR="009D57FF" w:rsidRPr="00BA6F8C" w:rsidRDefault="00DF2388" w:rsidP="009D57F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не предоставя допълнително пояснение или насоки за прилагане относно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4B242F7F" w14:textId="4E60109B" w:rsidR="009D57FF" w:rsidRPr="00BA6F8C" w:rsidRDefault="007E654A" w:rsidP="009D57FF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определянето дали дадено право да се отсрочи уреждането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има икономическо съдържание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; </w:t>
      </w:r>
      <w:r w:rsidR="00DF2388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или</w:t>
      </w:r>
    </w:p>
    <w:p w14:paraId="463F0649" w14:textId="1F7DBDCF" w:rsidR="009D57FF" w:rsidRPr="00BA6F8C" w:rsidRDefault="007E654A" w:rsidP="009D57FF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прилагането на параграфи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74–75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МСС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1.</w:t>
      </w:r>
    </w:p>
    <w:p w14:paraId="7AE0EE9D" w14:textId="25948D6C" w:rsidR="009D57FF" w:rsidRPr="00BA6F8C" w:rsidRDefault="007E654A" w:rsidP="009D57F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да не финализира предложеното пояснение в параграф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72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относно ситуации, при които предприятието не би имало право да отсрочи уреждането, като вместо това посочи, че предлаганите изисквания в параграф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72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Б са приложими само по отношение на пасиви, произтичащи от кредитни споразумения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22F03E9" w14:textId="677A89B4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десет членове на IASB изразиха съгласие с тези решения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0B5B354" w14:textId="17A26FC8" w:rsidR="009D57FF" w:rsidRPr="00BA6F8C" w:rsidRDefault="007E654A" w:rsidP="009D57F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Отделно представяне и оповестяване</w:t>
      </w:r>
      <w:r w:rsidR="009D57FF" w:rsidRPr="00BA6F8C">
        <w:rPr>
          <w:rFonts w:ascii="Helvetica" w:eastAsia="Times New Roman" w:hAnsi="Helvetica" w:cs="Helvetica"/>
          <w:b/>
          <w:bCs/>
          <w:i/>
          <w:iCs/>
          <w:color w:val="333333"/>
          <w:sz w:val="26"/>
          <w:szCs w:val="26"/>
          <w:lang w:val="bg-BG"/>
        </w:rPr>
        <w:t> 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(</w:t>
      </w:r>
      <w:r w:rsidR="0073227C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12</w:t>
      </w:r>
      <w:r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В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)</w:t>
      </w:r>
    </w:p>
    <w:p w14:paraId="55AD3B09" w14:textId="11C920B0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71BEB7D6" w14:textId="358DEC7C" w:rsidR="009D57FF" w:rsidRPr="00BA6F8C" w:rsidRDefault="00EB7D2C" w:rsidP="009D57F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не финализира предложението да изисква от предприятието да представя отделно нетекущите пасиви с договорни клаузи, като вместо това изисква предприятието да оповестява балансовата стойност на такива пасиви в пояснителните приложения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3C9F83CE" w14:textId="6BF6AD86" w:rsidR="009D57FF" w:rsidRPr="00BA6F8C" w:rsidRDefault="00EB7D2C" w:rsidP="00EB7D2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финализира предложението да се изисква от предприятието да оповестява информация за нетекущи пасиви с договорни клаузи, с някои изменения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По-конкретно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8E429C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изисква, когато предприятието класифицира пасиви, произтичащи от кредитни споразумения като нетекущи и тези пасиви са предмет на договорни клаузи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предприятието да оповестява информация, която да позволява на инвеститорите да оценят риска пасивите да станат изискуеми в рамките на 12 месеца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включително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4E904170" w14:textId="0E4B0AC1" w:rsidR="009D57FF" w:rsidRPr="00BA6F8C" w:rsidRDefault="00EB7D2C" w:rsidP="009D57FF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информация относно договорните клаузи, които предприятието трябва да спазва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(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като например, естеството на договорните клаузи и датата, на която предприятието трябва да ги изпълни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).</w:t>
      </w:r>
    </w:p>
    <w:p w14:paraId="0F2B4A18" w14:textId="75BF800F" w:rsidR="009D57FF" w:rsidRPr="00BA6F8C" w:rsidRDefault="00EB7D2C" w:rsidP="00EB7D2C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факти и обстоятелства, които сочат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че предприятието може да изпита затруднения при спазването на договорните клаузи, които трябва да съблюдава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—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например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предприятието е предприело действия през отчетния период или след него да избегне или смекчи потенциално нарушаване на клаузите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Такива факти и обстоятелства биха могли да включват и факта, че предприятието не би спазило договорните клаузи въз основа на обстоятелствата към отчетната дата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AC63D7C" w14:textId="521C9FDE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десет членове на IASB изразиха съгласие с тези решения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72316B73" w14:textId="108C469E" w:rsidR="009D57FF" w:rsidRPr="00BA6F8C" w:rsidRDefault="00EB7D2C" w:rsidP="009D57FF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Преход и </w:t>
      </w:r>
      <w:r w:rsidR="00F25A51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отсрочване</w:t>
      </w:r>
      <w:r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на датата на влизане в сила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(</w:t>
      </w:r>
      <w:r w:rsidR="0073227C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Документ по програмата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 xml:space="preserve"> 12</w:t>
      </w:r>
      <w:r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Г</w:t>
      </w:r>
      <w:r w:rsidR="009D57FF" w:rsidRPr="00BA6F8C">
        <w:rPr>
          <w:rFonts w:ascii="Helvetica" w:eastAsia="Times New Roman" w:hAnsi="Helvetica" w:cs="Helvetica"/>
          <w:b/>
          <w:bCs/>
          <w:color w:val="333333"/>
          <w:sz w:val="26"/>
          <w:szCs w:val="26"/>
          <w:lang w:val="bg-BG"/>
        </w:rPr>
        <w:t>)</w:t>
      </w:r>
    </w:p>
    <w:p w14:paraId="6CF41DD3" w14:textId="6B9B2696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IASB реши в порядък на работна хипотеза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:</w:t>
      </w:r>
    </w:p>
    <w:p w14:paraId="6C291C03" w14:textId="1DF9625E" w:rsidR="009D57FF" w:rsidRPr="00BA6F8C" w:rsidRDefault="00EB7D2C" w:rsidP="00EB7D2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изисква предприятието да прилага предложените изменения ретроспективно в съответствие с МСС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8 </w:t>
      </w:r>
      <w:r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Счетоводна политика, промени в счетоводните приблизителни оценки и грешки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0024A2BE" w14:textId="33AD663A" w:rsidR="009D57FF" w:rsidRPr="00BA6F8C" w:rsidRDefault="00F25A51" w:rsidP="009D57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lastRenderedPageBreak/>
        <w:t>да позволи на предприятието да приеме предварително предложените изменения или измененията в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Класифициране на пасивите като текущи или нетекущи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(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изменения от 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2020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г.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),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но само ако предприятието приема предложените изменения и измененията от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2020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г. едновременно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8840C0C" w14:textId="55C386CF" w:rsidR="009D57FF" w:rsidRPr="00BA6F8C" w:rsidRDefault="00F25A51" w:rsidP="009D57F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 отсрочи датата на влизане в сила на измененията от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2020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г., така че да я приведе в съответствие с датата на влизане в сила на предложените изменения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.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Датата на влизане в сила ще бъде решена на бъдещо заседание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но няма да е по-рано от годишни отчетни периоди, започващи на или след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1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януари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2024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г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1CCEE49B" w14:textId="7E88A9CB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Всичките десет членове на IASB изразиха съгласие с тези решения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824D1A6" w14:textId="695FAA77" w:rsidR="009D57FF" w:rsidRPr="00BA6F8C" w:rsidRDefault="0073227C" w:rsidP="009D57F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478BBA53" w14:textId="122FF7BF" w:rsidR="009D57FF" w:rsidRPr="00BA6F8C" w:rsidRDefault="009D57F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IASB </w:t>
      </w:r>
      <w:r w:rsidR="00C422DB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обсъди датата на влизане в сила на предложените изменения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C422DB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както и съответствието й с приложимите стъпки от регламентираната процедура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, </w:t>
      </w:r>
      <w:r w:rsidR="00C422DB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бъдещо заседание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5677E701" w14:textId="32EF5499" w:rsidR="009D57FF" w:rsidRPr="00BA6F8C" w:rsidRDefault="00C422DB" w:rsidP="009D57F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Характеристики на договорни парични потоци на финансови активи (изменения в МСФО </w:t>
      </w:r>
      <w:r w:rsidR="009D57FF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9) (</w:t>
      </w:r>
      <w:r w:rsidR="0073227C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>Документ по програмата</w:t>
      </w:r>
      <w:r w:rsidR="009D57FF" w:rsidRPr="00BA6F8C">
        <w:rPr>
          <w:rFonts w:ascii="Helvetica" w:eastAsia="Times New Roman" w:hAnsi="Helvetica" w:cs="Helvetica"/>
          <w:b/>
          <w:bCs/>
          <w:color w:val="CD3333"/>
          <w:sz w:val="26"/>
          <w:szCs w:val="26"/>
          <w:lang w:val="bg-BG"/>
        </w:rPr>
        <w:t xml:space="preserve"> 16)</w:t>
      </w:r>
    </w:p>
    <w:p w14:paraId="50E5FDEF" w14:textId="70887A30" w:rsidR="009D57FF" w:rsidRPr="00BA6F8C" w:rsidRDefault="00F3347F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На 21 юни 2022 г. IASB проведе заседание, за да обсъди </w:t>
      </w:r>
      <w:r w:rsidR="00C422DB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предложения обхват и цел на проекта си за поясняване на изискванията на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</w:t>
      </w:r>
      <w:r w:rsidR="0073227C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МСФО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9 </w:t>
      </w:r>
      <w:r w:rsidR="00C422DB" w:rsidRPr="00BA6F8C">
        <w:rPr>
          <w:rFonts w:ascii="Helvetica" w:eastAsia="Times New Roman" w:hAnsi="Helvetica" w:cs="Helvetica"/>
          <w:i/>
          <w:iCs/>
          <w:color w:val="575757"/>
          <w:sz w:val="24"/>
          <w:szCs w:val="24"/>
          <w:lang w:val="bg-BG"/>
        </w:rPr>
        <w:t>Финансови инструменти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 </w:t>
      </w:r>
      <w:r w:rsidR="00C422DB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за оценяване на характеристиките на договорните парични потоци по финансови активи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224B9B3C" w14:textId="7E68FA49" w:rsidR="009D57FF" w:rsidRPr="00BA6F8C" w:rsidRDefault="008E429C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От IASB не бе поискано да взема каквито и да е решения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498F055E" w14:textId="150770AF" w:rsidR="009D57FF" w:rsidRPr="00BA6F8C" w:rsidRDefault="0073227C" w:rsidP="009D57F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</w:pPr>
      <w:r w:rsidRPr="00BA6F8C">
        <w:rPr>
          <w:rFonts w:ascii="Helvetica" w:eastAsia="Times New Roman" w:hAnsi="Helvetica" w:cs="Helvetica"/>
          <w:b/>
          <w:bCs/>
          <w:i/>
          <w:iCs/>
          <w:color w:val="575757"/>
          <w:sz w:val="26"/>
          <w:szCs w:val="26"/>
          <w:lang w:val="bg-BG"/>
        </w:rPr>
        <w:t>Следващ етап</w:t>
      </w:r>
    </w:p>
    <w:p w14:paraId="0ECDC650" w14:textId="71C58857" w:rsidR="009D57FF" w:rsidRPr="00BA6F8C" w:rsidRDefault="00C422DB" w:rsidP="009D57F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75757"/>
          <w:sz w:val="24"/>
          <w:szCs w:val="24"/>
          <w:lang w:val="bg-BG"/>
        </w:rPr>
      </w:pP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На бъдещо свое заседание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 xml:space="preserve"> IASB </w:t>
      </w:r>
      <w:r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ще обсъди потенциалните пояснения на изискванията</w:t>
      </w:r>
      <w:r w:rsidR="009D57FF" w:rsidRPr="00BA6F8C">
        <w:rPr>
          <w:rFonts w:ascii="Helvetica" w:eastAsia="Times New Roman" w:hAnsi="Helvetica" w:cs="Helvetica"/>
          <w:color w:val="575757"/>
          <w:sz w:val="24"/>
          <w:szCs w:val="24"/>
          <w:lang w:val="bg-BG"/>
        </w:rPr>
        <w:t>.</w:t>
      </w:r>
    </w:p>
    <w:p w14:paraId="62DF73ED" w14:textId="77777777" w:rsidR="00C10862" w:rsidRPr="00BA6F8C" w:rsidRDefault="00C10862">
      <w:pPr>
        <w:rPr>
          <w:lang w:val="bg-BG"/>
        </w:rPr>
      </w:pPr>
    </w:p>
    <w:sectPr w:rsidR="00C10862" w:rsidRPr="00BA6F8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A66"/>
    <w:multiLevelType w:val="multilevel"/>
    <w:tmpl w:val="12B0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F6B49"/>
    <w:multiLevelType w:val="multilevel"/>
    <w:tmpl w:val="26E4630A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83466"/>
    <w:multiLevelType w:val="multilevel"/>
    <w:tmpl w:val="FB661CE8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D2718"/>
    <w:multiLevelType w:val="multilevel"/>
    <w:tmpl w:val="DABE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00754"/>
    <w:multiLevelType w:val="multilevel"/>
    <w:tmpl w:val="9BA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45984"/>
    <w:multiLevelType w:val="multilevel"/>
    <w:tmpl w:val="A2CAA1E2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832217"/>
    <w:multiLevelType w:val="multilevel"/>
    <w:tmpl w:val="B6D6E61E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B047B"/>
    <w:multiLevelType w:val="multilevel"/>
    <w:tmpl w:val="B0507B9A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D41404"/>
    <w:multiLevelType w:val="multilevel"/>
    <w:tmpl w:val="CF104E98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F72E8D"/>
    <w:multiLevelType w:val="multilevel"/>
    <w:tmpl w:val="5F326A4E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73189"/>
    <w:multiLevelType w:val="multilevel"/>
    <w:tmpl w:val="B6148D94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C77F32"/>
    <w:multiLevelType w:val="multilevel"/>
    <w:tmpl w:val="714022B8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94363A"/>
    <w:multiLevelType w:val="multilevel"/>
    <w:tmpl w:val="AC9C5846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9475E5"/>
    <w:multiLevelType w:val="multilevel"/>
    <w:tmpl w:val="38E03A0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A84A00"/>
    <w:multiLevelType w:val="multilevel"/>
    <w:tmpl w:val="57CEF720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766A51"/>
    <w:multiLevelType w:val="multilevel"/>
    <w:tmpl w:val="031C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E96EC8"/>
    <w:multiLevelType w:val="multilevel"/>
    <w:tmpl w:val="1BE46400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CC44D7"/>
    <w:multiLevelType w:val="multilevel"/>
    <w:tmpl w:val="29B6B09E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8939157">
    <w:abstractNumId w:val="4"/>
  </w:num>
  <w:num w:numId="2" w16cid:durableId="649137376">
    <w:abstractNumId w:val="15"/>
  </w:num>
  <w:num w:numId="3" w16cid:durableId="1279407445">
    <w:abstractNumId w:val="3"/>
  </w:num>
  <w:num w:numId="4" w16cid:durableId="414324008">
    <w:abstractNumId w:val="6"/>
  </w:num>
  <w:num w:numId="5" w16cid:durableId="1925335938">
    <w:abstractNumId w:val="9"/>
  </w:num>
  <w:num w:numId="6" w16cid:durableId="1025908910">
    <w:abstractNumId w:val="13"/>
  </w:num>
  <w:num w:numId="7" w16cid:durableId="1987512237">
    <w:abstractNumId w:val="0"/>
  </w:num>
  <w:num w:numId="8" w16cid:durableId="2118477113">
    <w:abstractNumId w:val="7"/>
  </w:num>
  <w:num w:numId="9" w16cid:durableId="1467771859">
    <w:abstractNumId w:val="1"/>
  </w:num>
  <w:num w:numId="10" w16cid:durableId="1328480367">
    <w:abstractNumId w:val="14"/>
  </w:num>
  <w:num w:numId="11" w16cid:durableId="460808907">
    <w:abstractNumId w:val="11"/>
  </w:num>
  <w:num w:numId="12" w16cid:durableId="2107575342">
    <w:abstractNumId w:val="16"/>
  </w:num>
  <w:num w:numId="13" w16cid:durableId="1275400006">
    <w:abstractNumId w:val="10"/>
  </w:num>
  <w:num w:numId="14" w16cid:durableId="1968510971">
    <w:abstractNumId w:val="2"/>
  </w:num>
  <w:num w:numId="15" w16cid:durableId="1047533068">
    <w:abstractNumId w:val="8"/>
  </w:num>
  <w:num w:numId="16" w16cid:durableId="1429302774">
    <w:abstractNumId w:val="17"/>
  </w:num>
  <w:num w:numId="17" w16cid:durableId="1580486236">
    <w:abstractNumId w:val="12"/>
  </w:num>
  <w:num w:numId="18" w16cid:durableId="1387753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FF"/>
    <w:rsid w:val="00040430"/>
    <w:rsid w:val="00043327"/>
    <w:rsid w:val="000513F7"/>
    <w:rsid w:val="00094B3B"/>
    <w:rsid w:val="000C097A"/>
    <w:rsid w:val="001F2FED"/>
    <w:rsid w:val="00225122"/>
    <w:rsid w:val="002C321F"/>
    <w:rsid w:val="0031048D"/>
    <w:rsid w:val="003F0E09"/>
    <w:rsid w:val="004D1EC5"/>
    <w:rsid w:val="005459FE"/>
    <w:rsid w:val="00593D3F"/>
    <w:rsid w:val="006A50E0"/>
    <w:rsid w:val="006F25DD"/>
    <w:rsid w:val="0073227C"/>
    <w:rsid w:val="00781EB5"/>
    <w:rsid w:val="007A7CF8"/>
    <w:rsid w:val="007E3D98"/>
    <w:rsid w:val="007E654A"/>
    <w:rsid w:val="008078BD"/>
    <w:rsid w:val="00824769"/>
    <w:rsid w:val="008E429C"/>
    <w:rsid w:val="009D57FF"/>
    <w:rsid w:val="00A2612A"/>
    <w:rsid w:val="00A969D4"/>
    <w:rsid w:val="00AA59DD"/>
    <w:rsid w:val="00AC4CB3"/>
    <w:rsid w:val="00AF54A6"/>
    <w:rsid w:val="00B1005E"/>
    <w:rsid w:val="00BA3942"/>
    <w:rsid w:val="00BA6F8C"/>
    <w:rsid w:val="00BB72E5"/>
    <w:rsid w:val="00C10862"/>
    <w:rsid w:val="00C422DB"/>
    <w:rsid w:val="00C870DA"/>
    <w:rsid w:val="00CD7D08"/>
    <w:rsid w:val="00D01DE3"/>
    <w:rsid w:val="00DF2388"/>
    <w:rsid w:val="00E10EDD"/>
    <w:rsid w:val="00E84E9F"/>
    <w:rsid w:val="00EA47C4"/>
    <w:rsid w:val="00EB7D2C"/>
    <w:rsid w:val="00EC1091"/>
    <w:rsid w:val="00F25A51"/>
    <w:rsid w:val="00F3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1E36"/>
  <w15:chartTrackingRefBased/>
  <w15:docId w15:val="{5F36CDC6-2E66-4C61-BB24-F74C97B0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5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1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3398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2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46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307946">
                                                          <w:marLeft w:val="0"/>
                                                          <w:marRight w:val="0"/>
                                                          <w:marTop w:val="46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143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9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18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5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85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4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8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55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18" w:space="0" w:color="C6C6C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2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21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s.org/news-and-events/updates/iasb/2022/iasb-update-june-2022/" TargetMode="External"/><Relationship Id="rId13" Type="http://schemas.openxmlformats.org/officeDocument/2006/relationships/hyperlink" Target="https://www.ifrs.org/news-and-events/updates/iasb/2022/iasb-update-june-20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rs.org/news-and-events/updates/iasb/2022/iasb-update-june-2022/" TargetMode="External"/><Relationship Id="rId12" Type="http://schemas.openxmlformats.org/officeDocument/2006/relationships/hyperlink" Target="https://www.ifrs.org/news-and-events/updates/iasb/2022/iasb-update-june-202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frs.org/content/ifrs/home/news-and-events/updates/iasb/2022/iasb-update-june-2022.html" TargetMode="External"/><Relationship Id="rId11" Type="http://schemas.openxmlformats.org/officeDocument/2006/relationships/hyperlink" Target="https://www.ifrs.org/news-and-events/updates/iasb/2022/iasb-update-june-2022/" TargetMode="External"/><Relationship Id="rId5" Type="http://schemas.openxmlformats.org/officeDocument/2006/relationships/hyperlink" Target="https://www.ifrs.org/content/ifrs/home/projects/work-plan.html" TargetMode="External"/><Relationship Id="rId15" Type="http://schemas.openxmlformats.org/officeDocument/2006/relationships/hyperlink" Target="https://www.ifrs.org/news-and-events/updates/iasb/2022/iasb-update-june-2022/" TargetMode="External"/><Relationship Id="rId10" Type="http://schemas.openxmlformats.org/officeDocument/2006/relationships/hyperlink" Target="https://www.ifrs.org/news-and-events/updates/iasb/2022/iasb-update-june-20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frs.org/news-and-events/updates/iasb/2022/iasb-update-june-2022/" TargetMode="External"/><Relationship Id="rId14" Type="http://schemas.openxmlformats.org/officeDocument/2006/relationships/hyperlink" Target="https://www.ifrs.org/news-and-events/updates/iasb/2022/iasb-update-june-20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3647</Words>
  <Characters>21082</Characters>
  <Application>Microsoft Office Word</Application>
  <DocSecurity>0</DocSecurity>
  <Lines>430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Svetoslava Velinova</dc:creator>
  <cp:keywords/>
  <dc:description/>
  <cp:lastModifiedBy>User</cp:lastModifiedBy>
  <cp:revision>2</cp:revision>
  <dcterms:created xsi:type="dcterms:W3CDTF">2022-07-19T06:18:00Z</dcterms:created>
  <dcterms:modified xsi:type="dcterms:W3CDTF">2022-07-19T06:18:00Z</dcterms:modified>
</cp:coreProperties>
</file>