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312CE" w14:textId="42879755" w:rsidR="009A5344" w:rsidRDefault="005F526F" w:rsidP="00A84A51">
      <w:pPr>
        <w:jc w:val="both"/>
        <w:rPr>
          <w:rFonts w:ascii="Cambria" w:hAnsi="Cambria" w:cstheme="majorHAnsi"/>
          <w:b/>
          <w:bCs/>
          <w:color w:val="222222"/>
          <w:u w:val="single"/>
          <w:shd w:val="clear" w:color="auto" w:fill="FFFFFF"/>
        </w:rPr>
      </w:pPr>
      <w:r w:rsidRPr="005F526F">
        <w:rPr>
          <w:rFonts w:ascii="Cambria" w:hAnsi="Cambria" w:cstheme="majorHAnsi"/>
          <w:b/>
          <w:bCs/>
          <w:color w:val="222222"/>
          <w:u w:val="single"/>
          <w:shd w:val="clear" w:color="auto" w:fill="FFFFFF"/>
        </w:rPr>
        <w:t>Корпоративно отчитане на устойчивото развитие, ESG и вписва ли се българският бизнес в новите глобални тенденции</w:t>
      </w:r>
      <w:r>
        <w:rPr>
          <w:rFonts w:ascii="Cambria" w:hAnsi="Cambria" w:cstheme="majorHAnsi"/>
          <w:b/>
          <w:bCs/>
          <w:color w:val="222222"/>
          <w:u w:val="single"/>
          <w:shd w:val="clear" w:color="auto" w:fill="FFFFFF"/>
        </w:rPr>
        <w:t>?</w:t>
      </w:r>
    </w:p>
    <w:p w14:paraId="19786D9C" w14:textId="65B5ED54" w:rsidR="00823247" w:rsidRPr="00823247" w:rsidRDefault="00823247" w:rsidP="00A84A51">
      <w:pPr>
        <w:jc w:val="both"/>
        <w:rPr>
          <w:rFonts w:ascii="Cambria" w:hAnsi="Cambria" w:cstheme="majorHAnsi"/>
          <w:b/>
          <w:bCs/>
          <w:color w:val="222222"/>
          <w:u w:val="single"/>
          <w:shd w:val="clear" w:color="auto" w:fill="FFFFFF"/>
        </w:rPr>
      </w:pPr>
      <w:r>
        <w:rPr>
          <w:rFonts w:ascii="Cambria" w:hAnsi="Cambria" w:cstheme="majorHAnsi"/>
          <w:b/>
          <w:bCs/>
          <w:color w:val="222222"/>
          <w:u w:val="single"/>
          <w:shd w:val="clear" w:color="auto" w:fill="FFFFFF"/>
        </w:rPr>
        <w:t>Автори: Боряна Димова, Мария-Елена Кис</w:t>
      </w:r>
      <w:r w:rsidR="005F526F">
        <w:rPr>
          <w:rFonts w:ascii="Cambria" w:hAnsi="Cambria" w:cstheme="majorHAnsi"/>
          <w:b/>
          <w:bCs/>
          <w:color w:val="222222"/>
          <w:u w:val="single"/>
          <w:shd w:val="clear" w:color="auto" w:fill="FFFFFF"/>
        </w:rPr>
        <w:t>ьо</w:t>
      </w:r>
      <w:r>
        <w:rPr>
          <w:rFonts w:ascii="Cambria" w:hAnsi="Cambria" w:cstheme="majorHAnsi"/>
          <w:b/>
          <w:bCs/>
          <w:color w:val="222222"/>
          <w:u w:val="single"/>
          <w:shd w:val="clear" w:color="auto" w:fill="FFFFFF"/>
        </w:rPr>
        <w:t xml:space="preserve">ва </w:t>
      </w:r>
    </w:p>
    <w:p w14:paraId="0F53ACBC" w14:textId="1A9C5F43" w:rsidR="00B97338" w:rsidRPr="00A84A51" w:rsidRDefault="00E67BBF" w:rsidP="002B684C">
      <w:pPr>
        <w:pStyle w:val="ListParagraph"/>
        <w:numPr>
          <w:ilvl w:val="0"/>
          <w:numId w:val="9"/>
        </w:numPr>
        <w:jc w:val="both"/>
        <w:rPr>
          <w:rFonts w:ascii="Cambria" w:hAnsi="Cambria" w:cstheme="majorHAnsi"/>
          <w:b/>
          <w:bCs/>
          <w:color w:val="222222"/>
          <w:u w:val="single"/>
          <w:shd w:val="clear" w:color="auto" w:fill="FFFFFF"/>
        </w:rPr>
      </w:pPr>
      <w:r>
        <w:rPr>
          <w:rFonts w:ascii="Cambria" w:hAnsi="Cambria" w:cstheme="majorHAnsi"/>
          <w:b/>
          <w:bCs/>
          <w:color w:val="222222"/>
          <w:u w:val="single"/>
          <w:shd w:val="clear" w:color="auto" w:fill="FFFFFF"/>
        </w:rPr>
        <w:t>Тенденциите, които засягат всеки бизнес</w:t>
      </w:r>
    </w:p>
    <w:p w14:paraId="7E21B17C" w14:textId="470D3F20" w:rsidR="00FA7105" w:rsidRDefault="00031656" w:rsidP="00FA7105">
      <w:pPr>
        <w:ind w:firstLine="360"/>
        <w:jc w:val="both"/>
        <w:rPr>
          <w:rFonts w:ascii="Cambria" w:hAnsi="Cambria" w:cstheme="majorHAnsi"/>
          <w:color w:val="222222"/>
          <w:shd w:val="clear" w:color="auto" w:fill="FFFFFF"/>
        </w:rPr>
      </w:pPr>
      <w:r w:rsidRPr="00623EB3">
        <w:rPr>
          <w:rFonts w:ascii="Cambria" w:hAnsi="Cambria" w:cstheme="majorHAnsi"/>
          <w:color w:val="222222"/>
          <w:shd w:val="clear" w:color="auto" w:fill="FFFFFF"/>
        </w:rPr>
        <w:t>Устойчивото развитие е въпрос от глобално значени</w:t>
      </w:r>
      <w:r w:rsidR="00B306BA">
        <w:rPr>
          <w:rFonts w:ascii="Cambria" w:hAnsi="Cambria" w:cstheme="majorHAnsi"/>
          <w:color w:val="222222"/>
          <w:shd w:val="clear" w:color="auto" w:fill="FFFFFF"/>
        </w:rPr>
        <w:t xml:space="preserve">е. </w:t>
      </w:r>
      <w:r w:rsidR="00BA179E">
        <w:rPr>
          <w:rFonts w:ascii="Cambria" w:hAnsi="Cambria" w:cstheme="majorHAnsi"/>
          <w:color w:val="222222"/>
          <w:shd w:val="clear" w:color="auto" w:fill="FFFFFF"/>
        </w:rPr>
        <w:t>Според проу</w:t>
      </w:r>
      <w:r w:rsidR="00583C79">
        <w:rPr>
          <w:rFonts w:ascii="Cambria" w:hAnsi="Cambria" w:cstheme="majorHAnsi"/>
          <w:color w:val="222222"/>
          <w:shd w:val="clear" w:color="auto" w:fill="FFFFFF"/>
        </w:rPr>
        <w:t>ч</w:t>
      </w:r>
      <w:r w:rsidR="00BA179E">
        <w:rPr>
          <w:rFonts w:ascii="Cambria" w:hAnsi="Cambria" w:cstheme="majorHAnsi"/>
          <w:color w:val="222222"/>
          <w:shd w:val="clear" w:color="auto" w:fill="FFFFFF"/>
        </w:rPr>
        <w:t xml:space="preserve">ване на Световния икономически форум </w:t>
      </w:r>
      <w:r w:rsidR="002600F9">
        <w:rPr>
          <w:rFonts w:ascii="Cambria" w:hAnsi="Cambria" w:cstheme="majorHAnsi"/>
          <w:color w:val="222222"/>
          <w:shd w:val="clear" w:color="auto" w:fill="FFFFFF"/>
        </w:rPr>
        <w:t xml:space="preserve">от 2021 г. </w:t>
      </w:r>
      <w:r w:rsidR="00BA179E">
        <w:rPr>
          <w:rFonts w:ascii="Cambria" w:hAnsi="Cambria" w:cstheme="majorHAnsi"/>
          <w:color w:val="222222"/>
          <w:shd w:val="clear" w:color="auto" w:fill="FFFFFF"/>
        </w:rPr>
        <w:t>ср</w:t>
      </w:r>
      <w:r w:rsidR="000627F2">
        <w:rPr>
          <w:rFonts w:ascii="Cambria" w:hAnsi="Cambria" w:cstheme="majorHAnsi"/>
          <w:color w:val="222222"/>
          <w:shd w:val="clear" w:color="auto" w:fill="FFFFFF"/>
        </w:rPr>
        <w:t>ед</w:t>
      </w:r>
      <w:r w:rsidR="00A71DC1">
        <w:rPr>
          <w:rFonts w:ascii="Cambria" w:hAnsi="Cambria" w:cstheme="majorHAnsi"/>
          <w:color w:val="222222"/>
          <w:shd w:val="clear" w:color="auto" w:fill="FFFFFF"/>
        </w:rPr>
        <w:t xml:space="preserve"> експерти,</w:t>
      </w:r>
      <w:r w:rsidR="00BA179E">
        <w:rPr>
          <w:rFonts w:ascii="Cambria" w:hAnsi="Cambria" w:cstheme="majorHAnsi"/>
          <w:color w:val="222222"/>
          <w:shd w:val="clear" w:color="auto" w:fill="FFFFFF"/>
        </w:rPr>
        <w:t xml:space="preserve"> бизнес и държавни лидери, </w:t>
      </w:r>
      <w:r w:rsidR="00090319">
        <w:rPr>
          <w:rFonts w:ascii="Cambria" w:hAnsi="Cambria" w:cstheme="majorHAnsi"/>
          <w:color w:val="222222"/>
          <w:shd w:val="clear" w:color="auto" w:fill="FFFFFF"/>
        </w:rPr>
        <w:t>най-</w:t>
      </w:r>
      <w:r w:rsidR="002600F9">
        <w:rPr>
          <w:rFonts w:ascii="Cambria" w:hAnsi="Cambria" w:cstheme="majorHAnsi"/>
          <w:color w:val="222222"/>
          <w:shd w:val="clear" w:color="auto" w:fill="FFFFFF"/>
        </w:rPr>
        <w:t>големите</w:t>
      </w:r>
      <w:r w:rsidR="00585CBC">
        <w:rPr>
          <w:rFonts w:ascii="Cambria" w:hAnsi="Cambria" w:cstheme="majorHAnsi"/>
          <w:color w:val="222222"/>
          <w:shd w:val="clear" w:color="auto" w:fill="FFFFFF"/>
        </w:rPr>
        <w:t xml:space="preserve"> рискове</w:t>
      </w:r>
      <w:r w:rsidR="002600F9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090319">
        <w:rPr>
          <w:rFonts w:ascii="Cambria" w:hAnsi="Cambria" w:cstheme="majorHAnsi"/>
          <w:color w:val="222222"/>
          <w:shd w:val="clear" w:color="auto" w:fill="FFFFFF"/>
        </w:rPr>
        <w:t xml:space="preserve">в следващите 10 години са </w:t>
      </w:r>
      <w:r w:rsidR="00BA179E">
        <w:rPr>
          <w:rFonts w:ascii="Cambria" w:hAnsi="Cambria" w:cstheme="majorHAnsi"/>
          <w:color w:val="222222"/>
          <w:shd w:val="clear" w:color="auto" w:fill="FFFFFF"/>
        </w:rPr>
        <w:t>свързани с климатичните изменения</w:t>
      </w:r>
      <w:r w:rsidR="00090319">
        <w:rPr>
          <w:rFonts w:ascii="Cambria" w:hAnsi="Cambria" w:cstheme="majorHAnsi"/>
          <w:color w:val="222222"/>
          <w:shd w:val="clear" w:color="auto" w:fill="FFFFFF"/>
        </w:rPr>
        <w:t>.</w:t>
      </w:r>
      <w:r w:rsidR="003A1EF7" w:rsidRPr="00F91784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2600F9">
        <w:rPr>
          <w:rFonts w:ascii="Cambria" w:hAnsi="Cambria" w:cstheme="majorHAnsi"/>
          <w:color w:val="222222"/>
          <w:shd w:val="clear" w:color="auto" w:fill="FFFFFF"/>
        </w:rPr>
        <w:t>В</w:t>
      </w:r>
      <w:r w:rsidR="00585CBC">
        <w:rPr>
          <w:rFonts w:ascii="Cambria" w:hAnsi="Cambria" w:cstheme="majorHAnsi"/>
          <w:color w:val="222222"/>
          <w:shd w:val="clear" w:color="auto" w:fill="FFFFFF"/>
        </w:rPr>
        <w:t xml:space="preserve"> тази връзка, в</w:t>
      </w:r>
      <w:r w:rsidR="002600F9">
        <w:rPr>
          <w:rFonts w:ascii="Cambria" w:hAnsi="Cambria" w:cstheme="majorHAnsi"/>
          <w:color w:val="222222"/>
          <w:shd w:val="clear" w:color="auto" w:fill="FFFFFF"/>
        </w:rPr>
        <w:t xml:space="preserve">се повече компании </w:t>
      </w:r>
      <w:r w:rsidR="00585CBC">
        <w:rPr>
          <w:rFonts w:ascii="Cambria" w:hAnsi="Cambria" w:cstheme="majorHAnsi"/>
          <w:color w:val="222222"/>
          <w:shd w:val="clear" w:color="auto" w:fill="FFFFFF"/>
        </w:rPr>
        <w:t xml:space="preserve">по </w:t>
      </w:r>
      <w:r w:rsidR="003D5192">
        <w:rPr>
          <w:rFonts w:ascii="Cambria" w:hAnsi="Cambria" w:cstheme="majorHAnsi"/>
          <w:color w:val="222222"/>
          <w:shd w:val="clear" w:color="auto" w:fill="FFFFFF"/>
        </w:rPr>
        <w:t>целия свят</w:t>
      </w:r>
      <w:r w:rsidR="00BF2723">
        <w:rPr>
          <w:rFonts w:ascii="Cambria" w:hAnsi="Cambria" w:cstheme="majorHAnsi"/>
          <w:color w:val="222222"/>
          <w:shd w:val="clear" w:color="auto" w:fill="FFFFFF"/>
        </w:rPr>
        <w:t xml:space="preserve"> поставят</w:t>
      </w:r>
      <w:r w:rsidR="00FA7105">
        <w:rPr>
          <w:rFonts w:ascii="Cambria" w:hAnsi="Cambria" w:cstheme="majorHAnsi"/>
          <w:color w:val="222222"/>
          <w:shd w:val="clear" w:color="auto" w:fill="FFFFFF"/>
        </w:rPr>
        <w:t xml:space="preserve"> своя</w:t>
      </w:r>
      <w:r w:rsidR="003D5192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ED416D">
        <w:rPr>
          <w:rFonts w:ascii="Cambria" w:hAnsi="Cambria" w:cstheme="majorHAnsi"/>
          <w:color w:val="222222"/>
          <w:shd w:val="clear" w:color="auto" w:fill="FFFFFF"/>
        </w:rPr>
        <w:t>„</w:t>
      </w:r>
      <w:r w:rsidR="002600F9">
        <w:rPr>
          <w:rFonts w:ascii="Cambria" w:hAnsi="Cambria" w:cstheme="majorHAnsi"/>
          <w:color w:val="222222"/>
          <w:shd w:val="clear" w:color="auto" w:fill="FFFFFF"/>
          <w:lang w:val="en-US"/>
        </w:rPr>
        <w:t>Science</w:t>
      </w:r>
      <w:r w:rsidR="00BF2723">
        <w:rPr>
          <w:rFonts w:ascii="Cambria" w:hAnsi="Cambria" w:cstheme="majorHAnsi"/>
          <w:color w:val="222222"/>
          <w:shd w:val="clear" w:color="auto" w:fill="FFFFFF"/>
        </w:rPr>
        <w:t>-</w:t>
      </w:r>
      <w:r w:rsidR="002600F9">
        <w:rPr>
          <w:rFonts w:ascii="Cambria" w:hAnsi="Cambria" w:cstheme="majorHAnsi"/>
          <w:color w:val="222222"/>
          <w:shd w:val="clear" w:color="auto" w:fill="FFFFFF"/>
          <w:lang w:val="en-US"/>
        </w:rPr>
        <w:t>Based</w:t>
      </w:r>
      <w:r w:rsidR="002600F9" w:rsidRPr="00F91784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2600F9">
        <w:rPr>
          <w:rFonts w:ascii="Cambria" w:hAnsi="Cambria" w:cstheme="majorHAnsi"/>
          <w:color w:val="222222"/>
          <w:shd w:val="clear" w:color="auto" w:fill="FFFFFF"/>
          <w:lang w:val="en-US"/>
        </w:rPr>
        <w:t>Target</w:t>
      </w:r>
      <w:r w:rsidR="00ED416D">
        <w:rPr>
          <w:rFonts w:ascii="Cambria" w:hAnsi="Cambria" w:cstheme="majorHAnsi"/>
          <w:color w:val="222222"/>
          <w:shd w:val="clear" w:color="auto" w:fill="FFFFFF"/>
        </w:rPr>
        <w:t xml:space="preserve">“ - </w:t>
      </w:r>
      <w:r w:rsidR="00585CBC">
        <w:rPr>
          <w:rFonts w:ascii="Cambria" w:hAnsi="Cambria" w:cstheme="majorHAnsi"/>
          <w:color w:val="222222"/>
          <w:shd w:val="clear" w:color="auto" w:fill="FFFFFF"/>
        </w:rPr>
        <w:t>научнообоснован</w:t>
      </w:r>
      <w:r w:rsidR="00FA7105">
        <w:rPr>
          <w:rFonts w:ascii="Cambria" w:hAnsi="Cambria" w:cstheme="majorHAnsi"/>
          <w:color w:val="222222"/>
          <w:shd w:val="clear" w:color="auto" w:fill="FFFFFF"/>
        </w:rPr>
        <w:t>а</w:t>
      </w:r>
      <w:r w:rsidR="00585CBC">
        <w:rPr>
          <w:rFonts w:ascii="Cambria" w:hAnsi="Cambria" w:cstheme="majorHAnsi"/>
          <w:color w:val="222222"/>
          <w:shd w:val="clear" w:color="auto" w:fill="FFFFFF"/>
        </w:rPr>
        <w:t xml:space="preserve"> цел</w:t>
      </w:r>
      <w:r w:rsidR="00FA7105">
        <w:rPr>
          <w:rFonts w:ascii="Cambria" w:hAnsi="Cambria" w:cstheme="majorHAnsi"/>
          <w:color w:val="222222"/>
          <w:shd w:val="clear" w:color="auto" w:fill="FFFFFF"/>
        </w:rPr>
        <w:t xml:space="preserve"> за </w:t>
      </w:r>
      <w:proofErr w:type="spellStart"/>
      <w:r w:rsidR="00FA7105">
        <w:rPr>
          <w:rFonts w:ascii="Cambria" w:hAnsi="Cambria" w:cstheme="majorHAnsi"/>
          <w:color w:val="222222"/>
          <w:shd w:val="clear" w:color="auto" w:fill="FFFFFF"/>
        </w:rPr>
        <w:t>декарбонизация</w:t>
      </w:r>
      <w:proofErr w:type="spellEnd"/>
      <w:r w:rsidR="00FA7105">
        <w:rPr>
          <w:rFonts w:ascii="Cambria" w:hAnsi="Cambria" w:cstheme="majorHAnsi"/>
          <w:color w:val="222222"/>
          <w:shd w:val="clear" w:color="auto" w:fill="FFFFFF"/>
        </w:rPr>
        <w:t xml:space="preserve"> на бизнеса, която съвпада с Парижкото споразумение за ограничаване на глобалното затопляне до 1.5 градуса. </w:t>
      </w:r>
      <w:r w:rsidR="00AD36FE">
        <w:rPr>
          <w:rFonts w:ascii="Cambria" w:hAnsi="Cambria" w:cstheme="majorHAnsi"/>
          <w:color w:val="222222"/>
          <w:shd w:val="clear" w:color="auto" w:fill="FFFFFF"/>
        </w:rPr>
        <w:t>Паралелно с тази доброволна инициатива, в</w:t>
      </w:r>
      <w:r w:rsidR="00A84A51">
        <w:rPr>
          <w:rFonts w:ascii="Cambria" w:hAnsi="Cambria" w:cstheme="majorHAnsi"/>
          <w:color w:val="222222"/>
          <w:shd w:val="clear" w:color="auto" w:fill="FFFFFF"/>
        </w:rPr>
        <w:t xml:space="preserve"> ЕС, както и в България, </w:t>
      </w:r>
      <w:r w:rsidR="00AD36FE">
        <w:rPr>
          <w:rFonts w:ascii="Cambria" w:hAnsi="Cambria" w:cstheme="majorHAnsi"/>
          <w:color w:val="222222"/>
          <w:shd w:val="clear" w:color="auto" w:fill="FFFFFF"/>
        </w:rPr>
        <w:t>предприятията</w:t>
      </w:r>
      <w:r w:rsidR="00A84A51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CB0BEA">
        <w:rPr>
          <w:rFonts w:ascii="Cambria" w:hAnsi="Cambria" w:cstheme="majorHAnsi"/>
          <w:color w:val="222222"/>
          <w:shd w:val="clear" w:color="auto" w:fill="FFFFFF"/>
        </w:rPr>
        <w:t>се превръщат в</w:t>
      </w:r>
      <w:r w:rsidR="00AD36FE">
        <w:rPr>
          <w:rFonts w:ascii="Cambria" w:hAnsi="Cambria" w:cstheme="majorHAnsi"/>
          <w:color w:val="222222"/>
          <w:shd w:val="clear" w:color="auto" w:fill="FFFFFF"/>
        </w:rPr>
        <w:t xml:space="preserve"> ключови участници</w:t>
      </w:r>
      <w:r w:rsidR="001A384A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AD36FE">
        <w:rPr>
          <w:rFonts w:ascii="Cambria" w:hAnsi="Cambria" w:cstheme="majorHAnsi"/>
          <w:color w:val="222222"/>
          <w:shd w:val="clear" w:color="auto" w:fill="FFFFFF"/>
        </w:rPr>
        <w:t>в</w:t>
      </w:r>
      <w:r w:rsidR="00152E84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AD36FE">
        <w:rPr>
          <w:rFonts w:ascii="Cambria" w:hAnsi="Cambria" w:cstheme="majorHAnsi"/>
          <w:color w:val="222222"/>
          <w:shd w:val="clear" w:color="auto" w:fill="FFFFFF"/>
        </w:rPr>
        <w:t>стремежа</w:t>
      </w:r>
      <w:r w:rsidR="00BF2723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AD36FE">
        <w:rPr>
          <w:rFonts w:ascii="Cambria" w:hAnsi="Cambria" w:cstheme="majorHAnsi"/>
          <w:color w:val="222222"/>
          <w:shd w:val="clear" w:color="auto" w:fill="FFFFFF"/>
        </w:rPr>
        <w:t>към</w:t>
      </w:r>
      <w:r w:rsidR="00BF2723">
        <w:rPr>
          <w:rFonts w:ascii="Cambria" w:hAnsi="Cambria" w:cstheme="majorHAnsi"/>
          <w:color w:val="222222"/>
          <w:shd w:val="clear" w:color="auto" w:fill="FFFFFF"/>
        </w:rPr>
        <w:t xml:space="preserve"> въглеродна неутралност</w:t>
      </w:r>
      <w:r w:rsidR="008B4536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BA179E">
        <w:rPr>
          <w:rFonts w:ascii="Cambria" w:hAnsi="Cambria" w:cstheme="majorHAnsi"/>
          <w:color w:val="222222"/>
          <w:shd w:val="clear" w:color="auto" w:fill="FFFFFF"/>
        </w:rPr>
        <w:t>до 2050 г.</w:t>
      </w:r>
      <w:r w:rsidR="00FA7105">
        <w:rPr>
          <w:rFonts w:ascii="Cambria" w:hAnsi="Cambria" w:cstheme="majorHAnsi"/>
          <w:color w:val="222222"/>
          <w:shd w:val="clear" w:color="auto" w:fill="FFFFFF"/>
        </w:rPr>
        <w:t xml:space="preserve"> Н</w:t>
      </w:r>
      <w:r w:rsidR="00CB0BEA">
        <w:rPr>
          <w:rFonts w:ascii="Cambria" w:hAnsi="Cambria" w:cstheme="majorHAnsi"/>
          <w:color w:val="222222"/>
          <w:shd w:val="clear" w:color="auto" w:fill="FFFFFF"/>
        </w:rPr>
        <w:t xml:space="preserve">овите </w:t>
      </w:r>
      <w:r w:rsidR="00585CBC">
        <w:rPr>
          <w:rFonts w:ascii="Cambria" w:hAnsi="Cambria" w:cstheme="majorHAnsi"/>
          <w:color w:val="222222"/>
          <w:shd w:val="clear" w:color="auto" w:fill="FFFFFF"/>
        </w:rPr>
        <w:t>законодателни</w:t>
      </w:r>
      <w:r w:rsidR="00FA7105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585CBC">
        <w:rPr>
          <w:rFonts w:ascii="Cambria" w:hAnsi="Cambria" w:cstheme="majorHAnsi"/>
          <w:color w:val="222222"/>
          <w:shd w:val="clear" w:color="auto" w:fill="FFFFFF"/>
        </w:rPr>
        <w:t>мерки</w:t>
      </w:r>
      <w:r w:rsidR="00FA7105">
        <w:rPr>
          <w:rFonts w:ascii="Cambria" w:hAnsi="Cambria" w:cstheme="majorHAnsi"/>
          <w:color w:val="222222"/>
          <w:shd w:val="clear" w:color="auto" w:fill="FFFFFF"/>
        </w:rPr>
        <w:t xml:space="preserve"> на ЕС</w:t>
      </w:r>
      <w:r w:rsidR="00BC5D8B">
        <w:rPr>
          <w:rFonts w:ascii="Cambria" w:hAnsi="Cambria" w:cstheme="majorHAnsi"/>
          <w:color w:val="222222"/>
          <w:shd w:val="clear" w:color="auto" w:fill="FFFFFF"/>
        </w:rPr>
        <w:t xml:space="preserve"> също</w:t>
      </w:r>
      <w:r w:rsidR="00FA7105">
        <w:rPr>
          <w:rFonts w:ascii="Cambria" w:hAnsi="Cambria" w:cstheme="majorHAnsi"/>
          <w:color w:val="222222"/>
          <w:shd w:val="clear" w:color="auto" w:fill="FFFFFF"/>
        </w:rPr>
        <w:t xml:space="preserve"> стимулират</w:t>
      </w:r>
      <w:r w:rsidR="00CB0BEA">
        <w:rPr>
          <w:rFonts w:ascii="Cambria" w:hAnsi="Cambria" w:cstheme="majorHAnsi"/>
          <w:color w:val="222222"/>
          <w:shd w:val="clear" w:color="auto" w:fill="FFFFFF"/>
        </w:rPr>
        <w:t xml:space="preserve"> компаниите</w:t>
      </w:r>
      <w:r w:rsidR="00FA7105">
        <w:rPr>
          <w:rFonts w:ascii="Cambria" w:hAnsi="Cambria" w:cstheme="majorHAnsi"/>
          <w:color w:val="222222"/>
          <w:shd w:val="clear" w:color="auto" w:fill="FFFFFF"/>
        </w:rPr>
        <w:t xml:space="preserve"> да предприемат</w:t>
      </w:r>
      <w:r w:rsidR="00AD36FE">
        <w:rPr>
          <w:rFonts w:ascii="Cambria" w:hAnsi="Cambria" w:cstheme="majorHAnsi"/>
          <w:color w:val="222222"/>
          <w:shd w:val="clear" w:color="auto" w:fill="FFFFFF"/>
        </w:rPr>
        <w:t xml:space="preserve"> стратегическа и ориентирана към бъдещето визия.</w:t>
      </w:r>
      <w:r w:rsidR="00FA7105">
        <w:rPr>
          <w:rFonts w:ascii="Cambria" w:hAnsi="Cambria" w:cstheme="majorHAnsi"/>
          <w:color w:val="222222"/>
          <w:shd w:val="clear" w:color="auto" w:fill="FFFFFF"/>
        </w:rPr>
        <w:t xml:space="preserve"> </w:t>
      </w:r>
    </w:p>
    <w:p w14:paraId="10F30026" w14:textId="5710DC6E" w:rsidR="00C62F9F" w:rsidRDefault="007F6292" w:rsidP="00FA7105">
      <w:pPr>
        <w:ind w:firstLine="360"/>
        <w:jc w:val="both"/>
        <w:rPr>
          <w:rFonts w:ascii="Cambria" w:hAnsi="Cambria" w:cstheme="majorHAnsi"/>
          <w:color w:val="222222"/>
          <w:shd w:val="clear" w:color="auto" w:fill="FFFFFF"/>
        </w:rPr>
      </w:pPr>
      <w:r>
        <w:rPr>
          <w:rFonts w:ascii="Cambria" w:hAnsi="Cambria" w:cstheme="majorHAnsi"/>
          <w:color w:val="222222"/>
          <w:shd w:val="clear" w:color="auto" w:fill="FFFFFF"/>
        </w:rPr>
        <w:t xml:space="preserve">За </w:t>
      </w:r>
      <w:r w:rsidR="00BA179E">
        <w:rPr>
          <w:rFonts w:ascii="Cambria" w:hAnsi="Cambria" w:cstheme="majorHAnsi"/>
          <w:color w:val="222222"/>
          <w:shd w:val="clear" w:color="auto" w:fill="FFFFFF"/>
        </w:rPr>
        <w:t xml:space="preserve">да постигне </w:t>
      </w:r>
      <w:r w:rsidR="00583C79">
        <w:rPr>
          <w:rFonts w:ascii="Cambria" w:hAnsi="Cambria" w:cstheme="majorHAnsi"/>
          <w:color w:val="222222"/>
          <w:shd w:val="clear" w:color="auto" w:fill="FFFFFF"/>
        </w:rPr>
        <w:t>устойчив и справедлив преход към зелена икономика</w:t>
      </w:r>
      <w:r>
        <w:rPr>
          <w:rFonts w:ascii="Cambria" w:hAnsi="Cambria" w:cstheme="majorHAnsi"/>
          <w:color w:val="222222"/>
          <w:shd w:val="clear" w:color="auto" w:fill="FFFFFF"/>
        </w:rPr>
        <w:t>,</w:t>
      </w:r>
      <w:r w:rsidR="00BA179E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A71DC1">
        <w:rPr>
          <w:rFonts w:ascii="Cambria" w:hAnsi="Cambria" w:cstheme="majorHAnsi"/>
          <w:color w:val="222222"/>
          <w:shd w:val="clear" w:color="auto" w:fill="FFFFFF"/>
        </w:rPr>
        <w:t xml:space="preserve">ЕС </w:t>
      </w:r>
      <w:r w:rsidR="004C07F2">
        <w:rPr>
          <w:rFonts w:ascii="Cambria" w:hAnsi="Cambria" w:cstheme="majorHAnsi"/>
          <w:color w:val="222222"/>
          <w:shd w:val="clear" w:color="auto" w:fill="FFFFFF"/>
        </w:rPr>
        <w:t>предвижда</w:t>
      </w:r>
      <w:r w:rsidR="002C2606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4C07F2">
        <w:rPr>
          <w:rFonts w:ascii="Cambria" w:hAnsi="Cambria" w:cstheme="majorHAnsi"/>
          <w:color w:val="222222"/>
          <w:shd w:val="clear" w:color="auto" w:fill="FFFFFF"/>
        </w:rPr>
        <w:t>мобилизацията</w:t>
      </w:r>
      <w:r w:rsidR="002C2606">
        <w:rPr>
          <w:rFonts w:ascii="Cambria" w:hAnsi="Cambria" w:cstheme="majorHAnsi"/>
          <w:color w:val="222222"/>
          <w:shd w:val="clear" w:color="auto" w:fill="FFFFFF"/>
        </w:rPr>
        <w:t xml:space="preserve"> на най-малко 1 трлн. евро устойчиви инвестиции през следващото десетилетие</w:t>
      </w:r>
      <w:r w:rsidR="0048185C">
        <w:rPr>
          <w:rFonts w:ascii="Cambria" w:hAnsi="Cambria" w:cstheme="majorHAnsi"/>
          <w:color w:val="222222"/>
          <w:shd w:val="clear" w:color="auto" w:fill="FFFFFF"/>
        </w:rPr>
        <w:t xml:space="preserve">. </w:t>
      </w:r>
      <w:r w:rsidR="000448E3">
        <w:rPr>
          <w:rFonts w:ascii="Cambria" w:hAnsi="Cambria" w:cstheme="majorHAnsi"/>
          <w:color w:val="222222"/>
          <w:shd w:val="clear" w:color="auto" w:fill="FFFFFF"/>
        </w:rPr>
        <w:t xml:space="preserve">От ключово значение </w:t>
      </w:r>
      <w:r w:rsidR="00583C79">
        <w:rPr>
          <w:rFonts w:ascii="Cambria" w:hAnsi="Cambria" w:cstheme="majorHAnsi"/>
          <w:color w:val="222222"/>
          <w:shd w:val="clear" w:color="auto" w:fill="FFFFFF"/>
        </w:rPr>
        <w:t>в</w:t>
      </w:r>
      <w:r w:rsidR="000448E3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D64B05">
        <w:rPr>
          <w:rFonts w:ascii="Cambria" w:hAnsi="Cambria" w:cstheme="majorHAnsi"/>
          <w:color w:val="222222"/>
          <w:shd w:val="clear" w:color="auto" w:fill="FFFFFF"/>
        </w:rPr>
        <w:t>Плана за действие „Финансиране за устойчив растеж“</w:t>
      </w:r>
      <w:r w:rsidR="00CB0BEA">
        <w:rPr>
          <w:rFonts w:ascii="Cambria" w:hAnsi="Cambria" w:cstheme="majorHAnsi"/>
          <w:color w:val="222222"/>
          <w:shd w:val="clear" w:color="auto" w:fill="FFFFFF"/>
        </w:rPr>
        <w:t xml:space="preserve"> („Плана“)</w:t>
      </w:r>
      <w:r w:rsidR="002600F9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0448E3">
        <w:rPr>
          <w:rFonts w:ascii="Cambria" w:hAnsi="Cambria" w:cstheme="majorHAnsi"/>
          <w:color w:val="222222"/>
          <w:shd w:val="clear" w:color="auto" w:fill="FFFFFF"/>
        </w:rPr>
        <w:t>е</w:t>
      </w:r>
      <w:r w:rsidR="00B46844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090319">
        <w:rPr>
          <w:rFonts w:ascii="Cambria" w:hAnsi="Cambria" w:cstheme="majorHAnsi"/>
          <w:color w:val="222222"/>
          <w:shd w:val="clear" w:color="auto" w:fill="FFFFFF"/>
        </w:rPr>
        <w:t>правилното</w:t>
      </w:r>
      <w:r w:rsidR="00B46844">
        <w:rPr>
          <w:rFonts w:ascii="Cambria" w:hAnsi="Cambria" w:cstheme="majorHAnsi"/>
          <w:color w:val="222222"/>
          <w:shd w:val="clear" w:color="auto" w:fill="FFFFFF"/>
        </w:rPr>
        <w:t xml:space="preserve"> разпределение на </w:t>
      </w:r>
      <w:r w:rsidR="00090319">
        <w:rPr>
          <w:rFonts w:ascii="Cambria" w:hAnsi="Cambria" w:cstheme="majorHAnsi"/>
          <w:color w:val="222222"/>
          <w:shd w:val="clear" w:color="auto" w:fill="FFFFFF"/>
        </w:rPr>
        <w:t>средства</w:t>
      </w:r>
      <w:r w:rsidR="00B46844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090319">
        <w:rPr>
          <w:rFonts w:ascii="Cambria" w:hAnsi="Cambria" w:cstheme="majorHAnsi"/>
          <w:color w:val="222222"/>
          <w:shd w:val="clear" w:color="auto" w:fill="FFFFFF"/>
        </w:rPr>
        <w:t>за</w:t>
      </w:r>
      <w:r w:rsidR="00B46844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583C79">
        <w:rPr>
          <w:rFonts w:ascii="Cambria" w:hAnsi="Cambria" w:cstheme="majorHAnsi"/>
          <w:color w:val="222222"/>
          <w:shd w:val="clear" w:color="auto" w:fill="FFFFFF"/>
        </w:rPr>
        <w:t>„устойчиви“</w:t>
      </w:r>
      <w:r w:rsidR="00B46844">
        <w:rPr>
          <w:rFonts w:ascii="Cambria" w:hAnsi="Cambria" w:cstheme="majorHAnsi"/>
          <w:color w:val="222222"/>
          <w:shd w:val="clear" w:color="auto" w:fill="FFFFFF"/>
        </w:rPr>
        <w:t xml:space="preserve"> бизнес практики</w:t>
      </w:r>
      <w:r w:rsidR="00BC5D8B">
        <w:rPr>
          <w:rFonts w:ascii="Cambria" w:hAnsi="Cambria" w:cstheme="majorHAnsi"/>
          <w:color w:val="222222"/>
          <w:shd w:val="clear" w:color="auto" w:fill="FFFFFF"/>
        </w:rPr>
        <w:t xml:space="preserve"> не само за компании, които ги прилагат</w:t>
      </w:r>
      <w:r w:rsidR="000448E3">
        <w:rPr>
          <w:rFonts w:ascii="Cambria" w:hAnsi="Cambria" w:cstheme="majorHAnsi"/>
          <w:color w:val="222222"/>
          <w:shd w:val="clear" w:color="auto" w:fill="FFFFFF"/>
        </w:rPr>
        <w:t xml:space="preserve">, </w:t>
      </w:r>
      <w:r w:rsidR="00BC5D8B">
        <w:rPr>
          <w:rFonts w:ascii="Cambria" w:hAnsi="Cambria" w:cstheme="majorHAnsi"/>
          <w:color w:val="222222"/>
          <w:shd w:val="clear" w:color="auto" w:fill="FFFFFF"/>
        </w:rPr>
        <w:t xml:space="preserve">но </w:t>
      </w:r>
      <w:r w:rsidR="000448E3">
        <w:rPr>
          <w:rFonts w:ascii="Cambria" w:hAnsi="Cambria" w:cstheme="majorHAnsi"/>
          <w:color w:val="222222"/>
          <w:shd w:val="clear" w:color="auto" w:fill="FFFFFF"/>
        </w:rPr>
        <w:t xml:space="preserve"> и</w:t>
      </w:r>
      <w:r w:rsidR="00A71DC1">
        <w:rPr>
          <w:rFonts w:ascii="Cambria" w:hAnsi="Cambria" w:cstheme="majorHAnsi"/>
          <w:color w:val="222222"/>
          <w:shd w:val="clear" w:color="auto" w:fill="FFFFFF"/>
        </w:rPr>
        <w:t xml:space="preserve"> за</w:t>
      </w:r>
      <w:r w:rsidR="00BC5D8B">
        <w:rPr>
          <w:rFonts w:ascii="Cambria" w:hAnsi="Cambria" w:cstheme="majorHAnsi"/>
          <w:color w:val="222222"/>
          <w:shd w:val="clear" w:color="auto" w:fill="FFFFFF"/>
        </w:rPr>
        <w:t xml:space="preserve"> такива</w:t>
      </w:r>
      <w:r w:rsidR="000448E3">
        <w:rPr>
          <w:rFonts w:ascii="Cambria" w:hAnsi="Cambria" w:cstheme="majorHAnsi"/>
          <w:color w:val="222222"/>
          <w:shd w:val="clear" w:color="auto" w:fill="FFFFFF"/>
        </w:rPr>
        <w:t xml:space="preserve">, които имат </w:t>
      </w:r>
      <w:r w:rsidR="00CB0BEA">
        <w:rPr>
          <w:rFonts w:ascii="Cambria" w:hAnsi="Cambria" w:cstheme="majorHAnsi"/>
          <w:color w:val="222222"/>
          <w:shd w:val="clear" w:color="auto" w:fill="FFFFFF"/>
        </w:rPr>
        <w:t>амбицията</w:t>
      </w:r>
      <w:r w:rsidR="000448E3">
        <w:rPr>
          <w:rFonts w:ascii="Cambria" w:hAnsi="Cambria" w:cstheme="majorHAnsi"/>
          <w:color w:val="222222"/>
          <w:shd w:val="clear" w:color="auto" w:fill="FFFFFF"/>
        </w:rPr>
        <w:t xml:space="preserve"> да </w:t>
      </w:r>
      <w:r w:rsidR="00A71DC1">
        <w:rPr>
          <w:rFonts w:ascii="Cambria" w:hAnsi="Cambria" w:cstheme="majorHAnsi"/>
          <w:color w:val="222222"/>
          <w:shd w:val="clear" w:color="auto" w:fill="FFFFFF"/>
        </w:rPr>
        <w:t>преминат към</w:t>
      </w:r>
      <w:r w:rsidR="000448E3">
        <w:rPr>
          <w:rFonts w:ascii="Cambria" w:hAnsi="Cambria" w:cstheme="majorHAnsi"/>
          <w:color w:val="222222"/>
          <w:shd w:val="clear" w:color="auto" w:fill="FFFFFF"/>
        </w:rPr>
        <w:t xml:space="preserve"> такива. </w:t>
      </w:r>
      <w:r w:rsidR="00B46844">
        <w:rPr>
          <w:rFonts w:ascii="Cambria" w:hAnsi="Cambria" w:cstheme="majorHAnsi"/>
          <w:color w:val="222222"/>
          <w:shd w:val="clear" w:color="auto" w:fill="FFFFFF"/>
        </w:rPr>
        <w:t>Затова</w:t>
      </w:r>
      <w:r w:rsidR="003A07A8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583C79">
        <w:rPr>
          <w:rFonts w:ascii="Cambria" w:hAnsi="Cambria" w:cstheme="majorHAnsi"/>
          <w:color w:val="222222"/>
          <w:shd w:val="clear" w:color="auto" w:fill="FFFFFF"/>
        </w:rPr>
        <w:t xml:space="preserve">и </w:t>
      </w:r>
      <w:r w:rsidR="00B46844">
        <w:rPr>
          <w:rFonts w:ascii="Cambria" w:hAnsi="Cambria" w:cstheme="majorHAnsi"/>
          <w:color w:val="222222"/>
          <w:shd w:val="clear" w:color="auto" w:fill="FFFFFF"/>
        </w:rPr>
        <w:t>законодателните мерки</w:t>
      </w:r>
      <w:r w:rsidR="00583C79">
        <w:rPr>
          <w:rFonts w:ascii="Cambria" w:hAnsi="Cambria" w:cstheme="majorHAnsi"/>
          <w:color w:val="222222"/>
          <w:shd w:val="clear" w:color="auto" w:fill="FFFFFF"/>
        </w:rPr>
        <w:t xml:space="preserve">, които подкрепят изпълнението на </w:t>
      </w:r>
      <w:r w:rsidR="00A71DC1">
        <w:rPr>
          <w:rFonts w:ascii="Cambria" w:hAnsi="Cambria" w:cstheme="majorHAnsi"/>
          <w:color w:val="222222"/>
          <w:shd w:val="clear" w:color="auto" w:fill="FFFFFF"/>
        </w:rPr>
        <w:t>Плана</w:t>
      </w:r>
      <w:r w:rsidR="00583C79">
        <w:rPr>
          <w:rFonts w:ascii="Cambria" w:hAnsi="Cambria" w:cstheme="majorHAnsi"/>
          <w:color w:val="222222"/>
          <w:shd w:val="clear" w:color="auto" w:fill="FFFFFF"/>
        </w:rPr>
        <w:t xml:space="preserve">, </w:t>
      </w:r>
      <w:r w:rsidR="00C012CA">
        <w:rPr>
          <w:rFonts w:ascii="Cambria" w:hAnsi="Cambria" w:cstheme="majorHAnsi"/>
          <w:color w:val="222222"/>
          <w:shd w:val="clear" w:color="auto" w:fill="FFFFFF"/>
        </w:rPr>
        <w:t>целят по-висока</w:t>
      </w:r>
      <w:r w:rsidR="00985867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4607BE">
        <w:rPr>
          <w:rFonts w:ascii="Cambria" w:hAnsi="Cambria" w:cstheme="majorHAnsi"/>
          <w:color w:val="222222"/>
          <w:shd w:val="clear" w:color="auto" w:fill="FFFFFF"/>
        </w:rPr>
        <w:t>осведоменост</w:t>
      </w:r>
      <w:r w:rsidR="000448E3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0B2744">
        <w:rPr>
          <w:rFonts w:ascii="Cambria" w:hAnsi="Cambria" w:cstheme="majorHAnsi"/>
          <w:color w:val="222222"/>
          <w:shd w:val="clear" w:color="auto" w:fill="FFFFFF"/>
        </w:rPr>
        <w:t xml:space="preserve">по </w:t>
      </w:r>
      <w:r w:rsidR="00985867">
        <w:rPr>
          <w:rFonts w:ascii="Cambria" w:hAnsi="Cambria" w:cstheme="majorHAnsi"/>
          <w:color w:val="222222"/>
          <w:shd w:val="clear" w:color="auto" w:fill="FFFFFF"/>
        </w:rPr>
        <w:t>отношение</w:t>
      </w:r>
      <w:r w:rsidR="00583C79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A71DC1">
        <w:rPr>
          <w:rFonts w:ascii="Cambria" w:hAnsi="Cambria" w:cstheme="majorHAnsi"/>
          <w:color w:val="222222"/>
          <w:shd w:val="clear" w:color="auto" w:fill="FFFFFF"/>
        </w:rPr>
        <w:t xml:space="preserve">на </w:t>
      </w:r>
      <w:r w:rsidR="00583C79">
        <w:rPr>
          <w:rFonts w:ascii="Cambria" w:hAnsi="Cambria" w:cstheme="majorHAnsi"/>
          <w:color w:val="222222"/>
          <w:shd w:val="clear" w:color="auto" w:fill="FFFFFF"/>
        </w:rPr>
        <w:t>екологичн</w:t>
      </w:r>
      <w:r w:rsidR="00A71DC1">
        <w:rPr>
          <w:rFonts w:ascii="Cambria" w:hAnsi="Cambria" w:cstheme="majorHAnsi"/>
          <w:color w:val="222222"/>
          <w:shd w:val="clear" w:color="auto" w:fill="FFFFFF"/>
        </w:rPr>
        <w:t>ото</w:t>
      </w:r>
      <w:r w:rsidR="00583C79">
        <w:rPr>
          <w:rFonts w:ascii="Cambria" w:hAnsi="Cambria" w:cstheme="majorHAnsi"/>
          <w:color w:val="222222"/>
          <w:shd w:val="clear" w:color="auto" w:fill="FFFFFF"/>
        </w:rPr>
        <w:t xml:space="preserve"> и социалн</w:t>
      </w:r>
      <w:r w:rsidR="00A71DC1">
        <w:rPr>
          <w:rFonts w:ascii="Cambria" w:hAnsi="Cambria" w:cstheme="majorHAnsi"/>
          <w:color w:val="222222"/>
          <w:shd w:val="clear" w:color="auto" w:fill="FFFFFF"/>
        </w:rPr>
        <w:t>ото въздействие на всяко предприятие</w:t>
      </w:r>
      <w:r w:rsidR="00583C79">
        <w:rPr>
          <w:rFonts w:ascii="Cambria" w:hAnsi="Cambria" w:cstheme="majorHAnsi"/>
          <w:color w:val="222222"/>
          <w:shd w:val="clear" w:color="auto" w:fill="FFFFFF"/>
        </w:rPr>
        <w:t>.</w:t>
      </w:r>
      <w:r w:rsidR="00985867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C62F9F">
        <w:rPr>
          <w:rFonts w:ascii="Cambria" w:hAnsi="Cambria" w:cstheme="majorHAnsi"/>
          <w:color w:val="222222"/>
          <w:shd w:val="clear" w:color="auto" w:fill="FFFFFF"/>
        </w:rPr>
        <w:t xml:space="preserve">Така ЕС </w:t>
      </w:r>
      <w:r w:rsidR="00ED416D">
        <w:rPr>
          <w:rFonts w:ascii="Cambria" w:hAnsi="Cambria" w:cstheme="majorHAnsi"/>
          <w:color w:val="222222"/>
          <w:shd w:val="clear" w:color="auto" w:fill="FFFFFF"/>
        </w:rPr>
        <w:t xml:space="preserve">цели да </w:t>
      </w:r>
      <w:r w:rsidR="00C62F9F">
        <w:rPr>
          <w:rFonts w:ascii="Cambria" w:hAnsi="Cambria" w:cstheme="majorHAnsi"/>
          <w:color w:val="222222"/>
          <w:shd w:val="clear" w:color="auto" w:fill="FFFFFF"/>
        </w:rPr>
        <w:t>осигурява нужната информация на банки</w:t>
      </w:r>
      <w:r w:rsidR="00BC5D8B">
        <w:rPr>
          <w:rFonts w:ascii="Cambria" w:hAnsi="Cambria" w:cstheme="majorHAnsi"/>
          <w:color w:val="222222"/>
          <w:shd w:val="clear" w:color="auto" w:fill="FFFFFF"/>
        </w:rPr>
        <w:t xml:space="preserve"> и</w:t>
      </w:r>
      <w:r w:rsidR="000B2744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C62F9F">
        <w:rPr>
          <w:rFonts w:ascii="Cambria" w:hAnsi="Cambria" w:cstheme="majorHAnsi"/>
          <w:color w:val="222222"/>
          <w:shd w:val="clear" w:color="auto" w:fill="FFFFFF"/>
        </w:rPr>
        <w:t xml:space="preserve">инвеститори, за да могат от своя страна </w:t>
      </w:r>
      <w:r w:rsidR="00BC5D8B">
        <w:rPr>
          <w:rFonts w:ascii="Cambria" w:hAnsi="Cambria" w:cstheme="majorHAnsi"/>
          <w:color w:val="222222"/>
          <w:shd w:val="clear" w:color="auto" w:fill="FFFFFF"/>
        </w:rPr>
        <w:t xml:space="preserve">те </w:t>
      </w:r>
      <w:r w:rsidR="00C62F9F">
        <w:rPr>
          <w:rFonts w:ascii="Cambria" w:hAnsi="Cambria" w:cstheme="majorHAnsi"/>
          <w:color w:val="222222"/>
          <w:shd w:val="clear" w:color="auto" w:fill="FFFFFF"/>
        </w:rPr>
        <w:t xml:space="preserve">да </w:t>
      </w:r>
      <w:r w:rsidR="00CB0BEA">
        <w:rPr>
          <w:rFonts w:ascii="Cambria" w:hAnsi="Cambria" w:cstheme="majorHAnsi"/>
          <w:color w:val="222222"/>
          <w:shd w:val="clear" w:color="auto" w:fill="FFFFFF"/>
        </w:rPr>
        <w:t>финансират</w:t>
      </w:r>
      <w:r w:rsidR="00C62F9F">
        <w:rPr>
          <w:rFonts w:ascii="Cambria" w:hAnsi="Cambria" w:cstheme="majorHAnsi"/>
          <w:color w:val="222222"/>
          <w:shd w:val="clear" w:color="auto" w:fill="FFFFFF"/>
        </w:rPr>
        <w:t xml:space="preserve"> устойчиви инвестиционни проекти в подкрепа на климатичните цели.</w:t>
      </w:r>
    </w:p>
    <w:p w14:paraId="4498BAE0" w14:textId="4AD201A2" w:rsidR="00C62F9F" w:rsidRDefault="003A07A8" w:rsidP="00C62F9F">
      <w:pPr>
        <w:ind w:firstLine="360"/>
        <w:jc w:val="both"/>
        <w:rPr>
          <w:rFonts w:ascii="Cambria" w:hAnsi="Cambria" w:cstheme="majorHAnsi"/>
          <w:color w:val="222222"/>
          <w:shd w:val="clear" w:color="auto" w:fill="FFFFFF"/>
        </w:rPr>
      </w:pPr>
      <w:r w:rsidRPr="0070542D">
        <w:rPr>
          <w:rFonts w:ascii="Cambria" w:hAnsi="Cambria" w:cstheme="majorHAnsi"/>
          <w:color w:val="222222"/>
          <w:shd w:val="clear" w:color="auto" w:fill="FFFFFF"/>
        </w:rPr>
        <w:t xml:space="preserve">В тази статия </w:t>
      </w:r>
      <w:r w:rsidR="000B2744">
        <w:rPr>
          <w:rFonts w:ascii="Cambria" w:hAnsi="Cambria" w:cstheme="majorHAnsi"/>
          <w:color w:val="222222"/>
          <w:shd w:val="clear" w:color="auto" w:fill="FFFFFF"/>
        </w:rPr>
        <w:t xml:space="preserve">ще </w:t>
      </w:r>
      <w:r w:rsidR="00ED416D">
        <w:rPr>
          <w:rFonts w:ascii="Cambria" w:hAnsi="Cambria" w:cstheme="majorHAnsi"/>
          <w:color w:val="222222"/>
          <w:shd w:val="clear" w:color="auto" w:fill="FFFFFF"/>
        </w:rPr>
        <w:t xml:space="preserve">направим кратък преглед на </w:t>
      </w:r>
      <w:r w:rsidRPr="0070542D">
        <w:rPr>
          <w:rFonts w:ascii="Cambria" w:hAnsi="Cambria" w:cstheme="majorHAnsi"/>
          <w:color w:val="222222"/>
          <w:shd w:val="clear" w:color="auto" w:fill="FFFFFF"/>
        </w:rPr>
        <w:t>нови</w:t>
      </w:r>
      <w:r w:rsidR="00B306BA">
        <w:rPr>
          <w:rFonts w:ascii="Cambria" w:hAnsi="Cambria" w:cstheme="majorHAnsi"/>
          <w:color w:val="222222"/>
          <w:shd w:val="clear" w:color="auto" w:fill="FFFFFF"/>
        </w:rPr>
        <w:t>те</w:t>
      </w:r>
      <w:r w:rsidR="002B684C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Pr="0070542D">
        <w:rPr>
          <w:rFonts w:ascii="Cambria" w:hAnsi="Cambria" w:cstheme="majorHAnsi"/>
          <w:color w:val="222222"/>
          <w:shd w:val="clear" w:color="auto" w:fill="FFFFFF"/>
        </w:rPr>
        <w:t>регламент</w:t>
      </w:r>
      <w:r w:rsidR="00B306BA">
        <w:rPr>
          <w:rFonts w:ascii="Cambria" w:hAnsi="Cambria" w:cstheme="majorHAnsi"/>
          <w:color w:val="222222"/>
          <w:shd w:val="clear" w:color="auto" w:fill="FFFFFF"/>
        </w:rPr>
        <w:t>и</w:t>
      </w:r>
      <w:r w:rsidR="002B684C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Pr="0070542D">
        <w:rPr>
          <w:rFonts w:ascii="Cambria" w:hAnsi="Cambria" w:cstheme="majorHAnsi"/>
          <w:color w:val="222222"/>
          <w:shd w:val="clear" w:color="auto" w:fill="FFFFFF"/>
        </w:rPr>
        <w:t xml:space="preserve">в сферата на </w:t>
      </w:r>
      <w:r w:rsidR="00B306BA">
        <w:rPr>
          <w:rFonts w:ascii="Cambria" w:hAnsi="Cambria" w:cstheme="majorHAnsi"/>
          <w:color w:val="222222"/>
          <w:shd w:val="clear" w:color="auto" w:fill="FFFFFF"/>
        </w:rPr>
        <w:t>не</w:t>
      </w:r>
      <w:r w:rsidRPr="0070542D">
        <w:rPr>
          <w:rFonts w:ascii="Cambria" w:hAnsi="Cambria" w:cstheme="majorHAnsi"/>
          <w:color w:val="222222"/>
          <w:shd w:val="clear" w:color="auto" w:fill="FFFFFF"/>
        </w:rPr>
        <w:t>финансовото отчитане</w:t>
      </w:r>
      <w:r w:rsidR="004F049A" w:rsidRPr="00916721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4F049A">
        <w:rPr>
          <w:rFonts w:ascii="Cambria" w:hAnsi="Cambria" w:cstheme="majorHAnsi"/>
          <w:color w:val="222222"/>
          <w:shd w:val="clear" w:color="auto" w:fill="FFFFFF"/>
        </w:rPr>
        <w:t>и</w:t>
      </w:r>
      <w:r w:rsidR="00ED416D">
        <w:rPr>
          <w:rFonts w:ascii="Cambria" w:hAnsi="Cambria" w:cstheme="majorHAnsi"/>
          <w:color w:val="222222"/>
          <w:shd w:val="clear" w:color="auto" w:fill="FFFFFF"/>
        </w:rPr>
        <w:t xml:space="preserve"> как те се очаква да засегнат бизнеса</w:t>
      </w:r>
      <w:r w:rsidR="00B306BA">
        <w:rPr>
          <w:rFonts w:ascii="Cambria" w:hAnsi="Cambria" w:cstheme="majorHAnsi"/>
          <w:color w:val="222222"/>
          <w:shd w:val="clear" w:color="auto" w:fill="FFFFFF"/>
        </w:rPr>
        <w:t xml:space="preserve">. </w:t>
      </w:r>
      <w:r w:rsidR="00ED416D">
        <w:rPr>
          <w:rFonts w:ascii="Cambria" w:hAnsi="Cambria" w:cstheme="majorHAnsi"/>
          <w:color w:val="222222"/>
          <w:shd w:val="clear" w:color="auto" w:fill="FFFFFF"/>
        </w:rPr>
        <w:t xml:space="preserve">Новите изисквания </w:t>
      </w:r>
      <w:r w:rsidR="00583C79">
        <w:rPr>
          <w:rFonts w:ascii="Cambria" w:hAnsi="Cambria" w:cstheme="majorHAnsi"/>
          <w:color w:val="222222"/>
          <w:shd w:val="clear" w:color="auto" w:fill="FFFFFF"/>
        </w:rPr>
        <w:t>предвиждат изготвянето на интегрирани годишни отчети</w:t>
      </w:r>
      <w:r w:rsidR="00B306BA">
        <w:rPr>
          <w:rFonts w:ascii="Cambria" w:hAnsi="Cambria" w:cstheme="majorHAnsi"/>
          <w:color w:val="222222"/>
          <w:shd w:val="clear" w:color="auto" w:fill="FFFFFF"/>
        </w:rPr>
        <w:t>, както и</w:t>
      </w:r>
      <w:r w:rsidR="00B306BA" w:rsidRPr="00B306BA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B306BA">
        <w:rPr>
          <w:rFonts w:ascii="Cambria" w:hAnsi="Cambria" w:cstheme="majorHAnsi"/>
          <w:color w:val="222222"/>
          <w:shd w:val="clear" w:color="auto" w:fill="FFFFFF"/>
        </w:rPr>
        <w:t>оповестяването на допълнителни ключови показатели</w:t>
      </w:r>
      <w:r w:rsidR="00ED416D">
        <w:rPr>
          <w:rFonts w:ascii="Cambria" w:hAnsi="Cambria" w:cstheme="majorHAnsi"/>
          <w:color w:val="222222"/>
          <w:shd w:val="clear" w:color="auto" w:fill="FFFFFF"/>
        </w:rPr>
        <w:t>,</w:t>
      </w:r>
      <w:r w:rsidR="00B306BA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ED416D">
        <w:rPr>
          <w:rFonts w:ascii="Cambria" w:hAnsi="Cambria" w:cstheme="majorHAnsi"/>
          <w:color w:val="222222"/>
          <w:shd w:val="clear" w:color="auto" w:fill="FFFFFF"/>
        </w:rPr>
        <w:t xml:space="preserve">показващи </w:t>
      </w:r>
      <w:r w:rsidR="00992C0C">
        <w:rPr>
          <w:rFonts w:ascii="Cambria" w:hAnsi="Cambria" w:cstheme="majorHAnsi"/>
          <w:color w:val="222222"/>
          <w:shd w:val="clear" w:color="auto" w:fill="FFFFFF"/>
        </w:rPr>
        <w:t xml:space="preserve">влиянието </w:t>
      </w:r>
      <w:r w:rsidR="00ED416D">
        <w:rPr>
          <w:rFonts w:ascii="Cambria" w:hAnsi="Cambria" w:cstheme="majorHAnsi"/>
          <w:color w:val="222222"/>
          <w:shd w:val="clear" w:color="auto" w:fill="FFFFFF"/>
        </w:rPr>
        <w:t xml:space="preserve">на </w:t>
      </w:r>
      <w:r w:rsidR="00B306BA" w:rsidRPr="004607BE">
        <w:rPr>
          <w:rFonts w:ascii="Cambria" w:hAnsi="Cambria" w:cstheme="majorHAnsi"/>
          <w:color w:val="222222"/>
          <w:shd w:val="clear" w:color="auto" w:fill="FFFFFF"/>
        </w:rPr>
        <w:t>предприятията</w:t>
      </w:r>
      <w:r w:rsidR="00992C0C">
        <w:rPr>
          <w:rFonts w:ascii="Cambria" w:hAnsi="Cambria" w:cstheme="majorHAnsi"/>
          <w:color w:val="222222"/>
          <w:shd w:val="clear" w:color="auto" w:fill="FFFFFF"/>
        </w:rPr>
        <w:t xml:space="preserve"> към околната среда и обществото като цяло</w:t>
      </w:r>
      <w:r w:rsidR="00A71DC1" w:rsidRPr="004607BE">
        <w:rPr>
          <w:rFonts w:ascii="Cambria" w:hAnsi="Cambria" w:cstheme="majorHAnsi"/>
          <w:color w:val="222222"/>
          <w:shd w:val="clear" w:color="auto" w:fill="FFFFFF"/>
        </w:rPr>
        <w:t>.</w:t>
      </w:r>
      <w:r w:rsidR="00583C79" w:rsidRPr="004607BE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Pr="004607BE">
        <w:rPr>
          <w:rFonts w:ascii="Cambria" w:hAnsi="Cambria" w:cstheme="majorHAnsi"/>
          <w:color w:val="222222"/>
          <w:shd w:val="clear" w:color="auto" w:fill="FFFFFF"/>
        </w:rPr>
        <w:t>Ще разгледаме какви са новите задължения, към кого са насочени</w:t>
      </w:r>
      <w:r w:rsidR="002600F9" w:rsidRPr="004607BE">
        <w:rPr>
          <w:rFonts w:ascii="Cambria" w:hAnsi="Cambria" w:cstheme="majorHAnsi"/>
          <w:color w:val="222222"/>
          <w:shd w:val="clear" w:color="auto" w:fill="FFFFFF"/>
        </w:rPr>
        <w:t xml:space="preserve">, </w:t>
      </w:r>
      <w:r w:rsidR="002B684C" w:rsidRPr="004607BE">
        <w:rPr>
          <w:rFonts w:ascii="Cambria" w:hAnsi="Cambria" w:cstheme="majorHAnsi"/>
          <w:color w:val="222222"/>
          <w:shd w:val="clear" w:color="auto" w:fill="FFFFFF"/>
        </w:rPr>
        <w:t xml:space="preserve">както и </w:t>
      </w:r>
      <w:r w:rsidR="000B2744" w:rsidRPr="004607BE">
        <w:rPr>
          <w:rFonts w:ascii="Cambria" w:hAnsi="Cambria" w:cstheme="majorHAnsi"/>
          <w:color w:val="222222"/>
          <w:shd w:val="clear" w:color="auto" w:fill="FFFFFF"/>
        </w:rPr>
        <w:t>до каква степен българският бизнес е готов за тази промяна.</w:t>
      </w:r>
      <w:r w:rsidR="000B2744">
        <w:rPr>
          <w:rFonts w:ascii="Cambria" w:hAnsi="Cambria" w:cstheme="majorHAnsi"/>
          <w:color w:val="222222"/>
          <w:shd w:val="clear" w:color="auto" w:fill="FFFFFF"/>
        </w:rPr>
        <w:t xml:space="preserve"> </w:t>
      </w:r>
    </w:p>
    <w:p w14:paraId="24F848A4" w14:textId="23D605CB" w:rsidR="00C363A9" w:rsidRPr="00B821F8" w:rsidRDefault="00C363A9" w:rsidP="002B684C">
      <w:pPr>
        <w:ind w:firstLine="360"/>
        <w:rPr>
          <w:rFonts w:ascii="Cambria" w:hAnsi="Cambria" w:cstheme="majorHAnsi"/>
          <w:b/>
          <w:bCs/>
          <w:color w:val="222222"/>
          <w:u w:val="single"/>
          <w:shd w:val="clear" w:color="auto" w:fill="FFFFFF"/>
        </w:rPr>
      </w:pPr>
      <w:r w:rsidRPr="002B684C">
        <w:rPr>
          <w:rFonts w:ascii="Cambria" w:hAnsi="Cambria" w:cstheme="majorHAnsi"/>
          <w:b/>
          <w:bCs/>
          <w:color w:val="222222"/>
          <w:u w:val="single"/>
          <w:shd w:val="clear" w:color="auto" w:fill="FFFFFF"/>
        </w:rPr>
        <w:t xml:space="preserve">2. </w:t>
      </w:r>
      <w:r w:rsidR="00F91784">
        <w:rPr>
          <w:rFonts w:ascii="Cambria" w:hAnsi="Cambria" w:cstheme="majorHAnsi"/>
          <w:b/>
          <w:bCs/>
          <w:color w:val="222222"/>
          <w:u w:val="single"/>
          <w:shd w:val="clear" w:color="auto" w:fill="FFFFFF"/>
        </w:rPr>
        <w:t>Нуждата от нефинансова информация расте</w:t>
      </w:r>
    </w:p>
    <w:p w14:paraId="62A3CF60" w14:textId="77777777" w:rsidR="00916721" w:rsidRDefault="002B1FBB" w:rsidP="00E67BBF">
      <w:pPr>
        <w:ind w:firstLine="360"/>
        <w:jc w:val="both"/>
        <w:rPr>
          <w:rFonts w:ascii="Cambria" w:hAnsi="Cambria" w:cstheme="majorHAnsi"/>
          <w:color w:val="222222"/>
          <w:shd w:val="clear" w:color="auto" w:fill="FFFFFF"/>
        </w:rPr>
      </w:pPr>
      <w:r>
        <w:rPr>
          <w:rFonts w:ascii="Cambria" w:hAnsi="Cambria" w:cstheme="majorHAnsi"/>
          <w:color w:val="222222"/>
          <w:shd w:val="clear" w:color="auto" w:fill="FFFFFF"/>
        </w:rPr>
        <w:t>Промяната в климата</w:t>
      </w:r>
      <w:r w:rsidR="00CB0BEA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992C0C">
        <w:rPr>
          <w:rFonts w:ascii="Cambria" w:hAnsi="Cambria" w:cstheme="majorHAnsi"/>
          <w:color w:val="222222"/>
          <w:shd w:val="clear" w:color="auto" w:fill="FFFFFF"/>
        </w:rPr>
        <w:t xml:space="preserve">води със себе си нови </w:t>
      </w:r>
      <w:r w:rsidR="00CB0BEA">
        <w:rPr>
          <w:rFonts w:ascii="Cambria" w:hAnsi="Cambria" w:cstheme="majorHAnsi"/>
          <w:color w:val="222222"/>
          <w:shd w:val="clear" w:color="auto" w:fill="FFFFFF"/>
        </w:rPr>
        <w:t xml:space="preserve">физически и </w:t>
      </w:r>
      <w:r w:rsidR="00992C0C">
        <w:rPr>
          <w:rFonts w:ascii="Cambria" w:hAnsi="Cambria" w:cstheme="majorHAnsi"/>
          <w:color w:val="222222"/>
          <w:shd w:val="clear" w:color="auto" w:fill="FFFFFF"/>
        </w:rPr>
        <w:t xml:space="preserve">операционни </w:t>
      </w:r>
      <w:r w:rsidR="00CB0BEA">
        <w:rPr>
          <w:rFonts w:ascii="Cambria" w:hAnsi="Cambria" w:cstheme="majorHAnsi"/>
          <w:color w:val="222222"/>
          <w:shd w:val="clear" w:color="auto" w:fill="FFFFFF"/>
        </w:rPr>
        <w:t>рискове за бизнеса</w:t>
      </w:r>
      <w:r w:rsidR="00A00B1E">
        <w:rPr>
          <w:rFonts w:ascii="Cambria" w:hAnsi="Cambria" w:cstheme="majorHAnsi"/>
          <w:color w:val="222222"/>
          <w:shd w:val="clear" w:color="auto" w:fill="FFFFFF"/>
        </w:rPr>
        <w:t xml:space="preserve"> и икономиката</w:t>
      </w:r>
      <w:r w:rsidR="00CB0BEA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CF2261">
        <w:rPr>
          <w:rFonts w:ascii="Cambria" w:hAnsi="Cambria" w:cstheme="majorHAnsi"/>
          <w:color w:val="222222"/>
          <w:shd w:val="clear" w:color="auto" w:fill="FFFFFF"/>
        </w:rPr>
        <w:t>като цяло</w:t>
      </w:r>
      <w:r>
        <w:rPr>
          <w:rFonts w:ascii="Cambria" w:hAnsi="Cambria" w:cstheme="majorHAnsi"/>
          <w:color w:val="222222"/>
          <w:shd w:val="clear" w:color="auto" w:fill="FFFFFF"/>
        </w:rPr>
        <w:t>.</w:t>
      </w:r>
      <w:r w:rsidR="00CB0BEA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D93D62">
        <w:rPr>
          <w:rFonts w:ascii="Cambria" w:hAnsi="Cambria" w:cstheme="majorHAnsi"/>
          <w:color w:val="222222"/>
          <w:shd w:val="clear" w:color="auto" w:fill="FFFFFF"/>
        </w:rPr>
        <w:t>От една страна, все по-често срещаните а</w:t>
      </w:r>
      <w:r w:rsidR="00A00B1E">
        <w:rPr>
          <w:rFonts w:ascii="Cambria" w:hAnsi="Cambria" w:cstheme="majorHAnsi"/>
          <w:color w:val="222222"/>
          <w:shd w:val="clear" w:color="auto" w:fill="FFFFFF"/>
        </w:rPr>
        <w:t xml:space="preserve">типични </w:t>
      </w:r>
      <w:r>
        <w:rPr>
          <w:rFonts w:ascii="Cambria" w:hAnsi="Cambria" w:cstheme="majorHAnsi"/>
          <w:color w:val="222222"/>
          <w:shd w:val="clear" w:color="auto" w:fill="FFFFFF"/>
        </w:rPr>
        <w:t>метеорологични явления</w:t>
      </w:r>
      <w:r w:rsidR="00A00B1E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9624D8">
        <w:rPr>
          <w:rFonts w:ascii="Cambria" w:hAnsi="Cambria" w:cstheme="majorHAnsi"/>
          <w:color w:val="222222"/>
          <w:shd w:val="clear" w:color="auto" w:fill="FFFFFF"/>
        </w:rPr>
        <w:t>могат да нанесат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 имуществени вреди </w:t>
      </w:r>
      <w:r w:rsidR="00CB0BEA">
        <w:rPr>
          <w:rFonts w:ascii="Cambria" w:hAnsi="Cambria" w:cstheme="majorHAnsi"/>
          <w:color w:val="222222"/>
          <w:shd w:val="clear" w:color="auto" w:fill="FFFFFF"/>
        </w:rPr>
        <w:t xml:space="preserve">и </w:t>
      </w:r>
      <w:r w:rsidR="00C316F7">
        <w:rPr>
          <w:rFonts w:ascii="Cambria" w:hAnsi="Cambria" w:cstheme="majorHAnsi"/>
          <w:color w:val="222222"/>
          <w:shd w:val="clear" w:color="auto" w:fill="FFFFFF"/>
        </w:rPr>
        <w:t xml:space="preserve">да </w:t>
      </w:r>
      <w:r w:rsidR="00A00B1E">
        <w:rPr>
          <w:rFonts w:ascii="Cambria" w:hAnsi="Cambria" w:cstheme="majorHAnsi"/>
          <w:color w:val="222222"/>
          <w:shd w:val="clear" w:color="auto" w:fill="FFFFFF"/>
        </w:rPr>
        <w:t>намалят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 производителността</w:t>
      </w:r>
      <w:r w:rsidR="00C316F7">
        <w:rPr>
          <w:rFonts w:ascii="Cambria" w:hAnsi="Cambria" w:cstheme="majorHAnsi"/>
          <w:color w:val="222222"/>
          <w:shd w:val="clear" w:color="auto" w:fill="FFFFFF"/>
        </w:rPr>
        <w:t xml:space="preserve"> по стойностна</w:t>
      </w:r>
      <w:r w:rsidR="00992C0C">
        <w:rPr>
          <w:rFonts w:ascii="Cambria" w:hAnsi="Cambria" w:cstheme="majorHAnsi"/>
          <w:color w:val="222222"/>
          <w:shd w:val="clear" w:color="auto" w:fill="FFFFFF"/>
        </w:rPr>
        <w:t>та</w:t>
      </w:r>
      <w:r w:rsidR="00C316F7">
        <w:rPr>
          <w:rFonts w:ascii="Cambria" w:hAnsi="Cambria" w:cstheme="majorHAnsi"/>
          <w:color w:val="222222"/>
          <w:shd w:val="clear" w:color="auto" w:fill="FFFFFF"/>
        </w:rPr>
        <w:t xml:space="preserve"> верига</w:t>
      </w:r>
      <w:r w:rsidR="00CF2261">
        <w:rPr>
          <w:rFonts w:ascii="Cambria" w:hAnsi="Cambria" w:cstheme="majorHAnsi"/>
          <w:color w:val="222222"/>
          <w:shd w:val="clear" w:color="auto" w:fill="FFFFFF"/>
        </w:rPr>
        <w:t xml:space="preserve">. </w:t>
      </w:r>
      <w:r w:rsidR="00D93D62">
        <w:rPr>
          <w:rFonts w:ascii="Cambria" w:hAnsi="Cambria" w:cstheme="majorHAnsi"/>
          <w:color w:val="222222"/>
          <w:shd w:val="clear" w:color="auto" w:fill="FFFFFF"/>
        </w:rPr>
        <w:t>От друга, п</w:t>
      </w:r>
      <w:r w:rsidRPr="00D71109">
        <w:rPr>
          <w:rFonts w:ascii="Cambria" w:hAnsi="Cambria" w:cstheme="majorHAnsi"/>
          <w:color w:val="222222"/>
          <w:shd w:val="clear" w:color="auto" w:fill="FFFFFF"/>
        </w:rPr>
        <w:t>роцес</w:t>
      </w:r>
      <w:r w:rsidR="00CF2261">
        <w:rPr>
          <w:rFonts w:ascii="Cambria" w:hAnsi="Cambria" w:cstheme="majorHAnsi"/>
          <w:color w:val="222222"/>
          <w:shd w:val="clear" w:color="auto" w:fill="FFFFFF"/>
        </w:rPr>
        <w:t>ът</w:t>
      </w:r>
      <w:r w:rsidRPr="00D71109">
        <w:rPr>
          <w:rFonts w:ascii="Cambria" w:hAnsi="Cambria" w:cstheme="majorHAnsi"/>
          <w:color w:val="222222"/>
          <w:shd w:val="clear" w:color="auto" w:fill="FFFFFF"/>
        </w:rPr>
        <w:t xml:space="preserve"> на приспособяване към по-нисковъглеродна икономика</w:t>
      </w:r>
      <w:r w:rsidR="00A00B1E" w:rsidRPr="00D71109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D93D62">
        <w:rPr>
          <w:rFonts w:ascii="Cambria" w:hAnsi="Cambria" w:cstheme="majorHAnsi"/>
          <w:color w:val="222222"/>
          <w:shd w:val="clear" w:color="auto" w:fill="FFFFFF"/>
        </w:rPr>
        <w:t xml:space="preserve">и съблюдаването на вълната от нови регулаторни и законодателни изисквания </w:t>
      </w:r>
      <w:r w:rsidR="00CF2261">
        <w:rPr>
          <w:rFonts w:ascii="Cambria" w:hAnsi="Cambria" w:cstheme="majorHAnsi"/>
          <w:color w:val="222222"/>
          <w:shd w:val="clear" w:color="auto" w:fill="FFFFFF"/>
        </w:rPr>
        <w:t>представлява все по-голямо предизвикателство за бизнес</w:t>
      </w:r>
      <w:r w:rsidR="00D93D62">
        <w:rPr>
          <w:rFonts w:ascii="Cambria" w:hAnsi="Cambria" w:cstheme="majorHAnsi"/>
          <w:color w:val="222222"/>
          <w:shd w:val="clear" w:color="auto" w:fill="FFFFFF"/>
        </w:rPr>
        <w:t>а</w:t>
      </w:r>
      <w:r w:rsidRPr="00D71109">
        <w:rPr>
          <w:rFonts w:ascii="Cambria" w:hAnsi="Cambria" w:cstheme="majorHAnsi"/>
          <w:color w:val="222222"/>
          <w:shd w:val="clear" w:color="auto" w:fill="FFFFFF"/>
        </w:rPr>
        <w:t xml:space="preserve">. </w:t>
      </w:r>
      <w:bookmarkStart w:id="0" w:name="_Hlk97476908"/>
      <w:r w:rsidR="00916721" w:rsidRPr="00916721">
        <w:rPr>
          <w:rFonts w:ascii="Cambria" w:hAnsi="Cambria" w:cstheme="majorHAnsi"/>
          <w:color w:val="222222"/>
          <w:shd w:val="clear" w:color="auto" w:fill="FFFFFF"/>
        </w:rPr>
        <w:t>Резултатите от направените до момента оценки от ЕЦБ на големите европейски банки показаха, че пропуските в отчитането на рисковете, свързани с климата и околната среда, могат да се превърнат в реален риск за финансовата система, ако банките не интегрират възможно най-скоро тези рискове в своя бизнес модел, стратегия и управлението на рисковете си.</w:t>
      </w:r>
      <w:r w:rsidR="00916721">
        <w:rPr>
          <w:rFonts w:ascii="Georgia" w:hAnsi="Georgia"/>
          <w:i/>
          <w:iCs/>
          <w:color w:val="222222"/>
          <w:shd w:val="clear" w:color="auto" w:fill="FFFFFF"/>
        </w:rPr>
        <w:t> </w:t>
      </w:r>
      <w:bookmarkEnd w:id="0"/>
    </w:p>
    <w:p w14:paraId="3B6AB21E" w14:textId="5415C7EE" w:rsidR="00E67BBF" w:rsidRPr="00E67BBF" w:rsidRDefault="009624D8" w:rsidP="00E67BBF">
      <w:pPr>
        <w:ind w:firstLine="360"/>
        <w:jc w:val="both"/>
        <w:rPr>
          <w:rFonts w:ascii="Cambria" w:hAnsi="Cambria" w:cstheme="majorHAnsi"/>
          <w:color w:val="222222"/>
          <w:shd w:val="clear" w:color="auto" w:fill="FFFFFF"/>
        </w:rPr>
      </w:pPr>
      <w:r>
        <w:rPr>
          <w:rFonts w:ascii="Cambria" w:hAnsi="Cambria" w:cstheme="majorHAnsi"/>
          <w:color w:val="222222"/>
          <w:shd w:val="clear" w:color="auto" w:fill="FFFFFF"/>
        </w:rPr>
        <w:t xml:space="preserve">Затова и все повече </w:t>
      </w:r>
      <w:r w:rsidR="0034477B">
        <w:rPr>
          <w:rFonts w:ascii="Cambria" w:hAnsi="Cambria" w:cstheme="majorHAnsi"/>
          <w:color w:val="222222"/>
          <w:shd w:val="clear" w:color="auto" w:fill="FFFFFF"/>
        </w:rPr>
        <w:t xml:space="preserve">заинтересовани лица 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осъзнават, че въпросите за устойчивостта </w:t>
      </w:r>
      <w:r w:rsidR="00D93D62">
        <w:rPr>
          <w:rFonts w:ascii="Cambria" w:hAnsi="Cambria" w:cstheme="majorHAnsi"/>
          <w:color w:val="222222"/>
          <w:shd w:val="clear" w:color="auto" w:fill="FFFFFF"/>
        </w:rPr>
        <w:t xml:space="preserve">са неразделна част от рисковия профил на </w:t>
      </w:r>
      <w:r>
        <w:rPr>
          <w:rFonts w:ascii="Cambria" w:hAnsi="Cambria" w:cstheme="majorHAnsi"/>
          <w:color w:val="222222"/>
          <w:shd w:val="clear" w:color="auto" w:fill="FFFFFF"/>
        </w:rPr>
        <w:t>една компания</w:t>
      </w:r>
      <w:r w:rsidR="00D93D62">
        <w:rPr>
          <w:rFonts w:ascii="Cambria" w:hAnsi="Cambria" w:cstheme="majorHAnsi"/>
          <w:color w:val="222222"/>
          <w:shd w:val="clear" w:color="auto" w:fill="FFFFFF"/>
        </w:rPr>
        <w:t xml:space="preserve"> и заслужават по-голямо внимание</w:t>
      </w:r>
      <w:r>
        <w:rPr>
          <w:rFonts w:ascii="Cambria" w:hAnsi="Cambria" w:cstheme="majorHAnsi"/>
          <w:color w:val="222222"/>
          <w:shd w:val="clear" w:color="auto" w:fill="FFFFFF"/>
        </w:rPr>
        <w:t>.</w:t>
      </w:r>
      <w:r w:rsidR="007064C9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B306BA">
        <w:rPr>
          <w:rFonts w:ascii="Cambria" w:hAnsi="Cambria" w:cstheme="majorHAnsi"/>
          <w:color w:val="222222"/>
          <w:shd w:val="clear" w:color="auto" w:fill="FFFFFF"/>
        </w:rPr>
        <w:t>Нуждата</w:t>
      </w:r>
      <w:r w:rsidR="002B50E4">
        <w:rPr>
          <w:rFonts w:ascii="Cambria" w:hAnsi="Cambria" w:cstheme="majorHAnsi"/>
          <w:color w:val="222222"/>
          <w:shd w:val="clear" w:color="auto" w:fill="FFFFFF"/>
        </w:rPr>
        <w:t xml:space="preserve"> от </w:t>
      </w:r>
      <w:r w:rsidR="00FC6BEB">
        <w:rPr>
          <w:rFonts w:ascii="Cambria" w:hAnsi="Cambria" w:cstheme="majorHAnsi"/>
          <w:color w:val="222222"/>
          <w:shd w:val="clear" w:color="auto" w:fill="FFFFFF"/>
        </w:rPr>
        <w:t xml:space="preserve">перспективно ориентиран подход и </w:t>
      </w:r>
      <w:r w:rsidR="002B50E4">
        <w:rPr>
          <w:rFonts w:ascii="Cambria" w:hAnsi="Cambria" w:cstheme="majorHAnsi"/>
          <w:color w:val="222222"/>
          <w:shd w:val="clear" w:color="auto" w:fill="FFFFFF"/>
        </w:rPr>
        <w:t xml:space="preserve">регулаторна рамка, </w:t>
      </w:r>
      <w:r w:rsidR="002B1FBB">
        <w:rPr>
          <w:rFonts w:ascii="Cambria" w:hAnsi="Cambria" w:cstheme="majorHAnsi"/>
          <w:color w:val="222222"/>
          <w:shd w:val="clear" w:color="auto" w:fill="FFFFFF"/>
        </w:rPr>
        <w:t xml:space="preserve">която да структурира </w:t>
      </w:r>
      <w:r w:rsidR="002B1FBB">
        <w:rPr>
          <w:rFonts w:ascii="Cambria" w:hAnsi="Cambria" w:cstheme="majorHAnsi"/>
          <w:color w:val="222222"/>
          <w:shd w:val="clear" w:color="auto" w:fill="FFFFFF"/>
        </w:rPr>
        <w:lastRenderedPageBreak/>
        <w:t>пазара на зелени инвестиции</w:t>
      </w:r>
      <w:r w:rsidR="00B306BA">
        <w:rPr>
          <w:rFonts w:ascii="Cambria" w:hAnsi="Cambria" w:cstheme="majorHAnsi"/>
          <w:color w:val="222222"/>
          <w:shd w:val="clear" w:color="auto" w:fill="FFFFFF"/>
        </w:rPr>
        <w:t xml:space="preserve"> намира отговор в</w:t>
      </w:r>
      <w:r w:rsidR="00B306BA" w:rsidRPr="00B306BA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B306BA">
        <w:rPr>
          <w:rFonts w:ascii="Cambria" w:hAnsi="Cambria" w:cstheme="majorHAnsi"/>
          <w:color w:val="222222"/>
          <w:shd w:val="clear" w:color="auto" w:fill="FFFFFF"/>
        </w:rPr>
        <w:t>Плана за действие „Финансиране за устойчив растеж“ („План</w:t>
      </w:r>
      <w:r w:rsidR="00BC5D8B">
        <w:rPr>
          <w:rFonts w:ascii="Cambria" w:hAnsi="Cambria" w:cstheme="majorHAnsi"/>
          <w:color w:val="222222"/>
          <w:shd w:val="clear" w:color="auto" w:fill="FFFFFF"/>
        </w:rPr>
        <w:t>а</w:t>
      </w:r>
      <w:r w:rsidR="00B306BA">
        <w:rPr>
          <w:rFonts w:ascii="Cambria" w:hAnsi="Cambria" w:cstheme="majorHAnsi"/>
          <w:color w:val="222222"/>
          <w:shd w:val="clear" w:color="auto" w:fill="FFFFFF"/>
        </w:rPr>
        <w:t>“)</w:t>
      </w:r>
      <w:r>
        <w:rPr>
          <w:rFonts w:ascii="Cambria" w:hAnsi="Cambria" w:cstheme="majorHAnsi"/>
          <w:color w:val="222222"/>
          <w:shd w:val="clear" w:color="auto" w:fill="FFFFFF"/>
        </w:rPr>
        <w:t>.</w:t>
      </w:r>
      <w:r w:rsidR="00B306BA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341C60">
        <w:rPr>
          <w:rFonts w:ascii="Cambria" w:hAnsi="Cambria" w:cstheme="majorHAnsi"/>
          <w:color w:val="222222"/>
          <w:shd w:val="clear" w:color="auto" w:fill="FFFFFF"/>
        </w:rPr>
        <w:t>За да могат участниците на</w:t>
      </w:r>
      <w:r w:rsidR="00E36467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086786">
        <w:rPr>
          <w:rFonts w:ascii="Cambria" w:hAnsi="Cambria" w:cstheme="majorHAnsi"/>
          <w:color w:val="222222"/>
          <w:shd w:val="clear" w:color="auto" w:fill="FFFFFF"/>
        </w:rPr>
        <w:t>финансови</w:t>
      </w:r>
      <w:r w:rsidR="00E67BBF">
        <w:rPr>
          <w:rFonts w:ascii="Cambria" w:hAnsi="Cambria" w:cstheme="majorHAnsi"/>
          <w:color w:val="222222"/>
          <w:shd w:val="clear" w:color="auto" w:fill="FFFFFF"/>
        </w:rPr>
        <w:t>те</w:t>
      </w:r>
      <w:r w:rsidR="00086786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E36467">
        <w:rPr>
          <w:rFonts w:ascii="Cambria" w:hAnsi="Cambria" w:cstheme="majorHAnsi"/>
          <w:color w:val="222222"/>
          <w:shd w:val="clear" w:color="auto" w:fill="FFFFFF"/>
        </w:rPr>
        <w:t>пазар</w:t>
      </w:r>
      <w:r w:rsidR="00E67BBF">
        <w:rPr>
          <w:rFonts w:ascii="Cambria" w:hAnsi="Cambria" w:cstheme="majorHAnsi"/>
          <w:color w:val="222222"/>
          <w:shd w:val="clear" w:color="auto" w:fill="FFFFFF"/>
        </w:rPr>
        <w:t>и</w:t>
      </w:r>
      <w:r w:rsidR="00086786">
        <w:rPr>
          <w:rFonts w:ascii="Cambria" w:hAnsi="Cambria" w:cstheme="majorHAnsi"/>
          <w:color w:val="222222"/>
          <w:shd w:val="clear" w:color="auto" w:fill="FFFFFF"/>
        </w:rPr>
        <w:t xml:space="preserve"> да ограничат рискове</w:t>
      </w:r>
      <w:r w:rsidR="004F049A">
        <w:rPr>
          <w:rFonts w:ascii="Cambria" w:hAnsi="Cambria" w:cstheme="majorHAnsi"/>
          <w:color w:val="222222"/>
          <w:shd w:val="clear" w:color="auto" w:fill="FFFFFF"/>
        </w:rPr>
        <w:t>те свързани с промяната в климата</w:t>
      </w:r>
      <w:r w:rsidR="00086786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E36467">
        <w:rPr>
          <w:rFonts w:ascii="Cambria" w:hAnsi="Cambria" w:cstheme="majorHAnsi"/>
          <w:color w:val="222222"/>
          <w:shd w:val="clear" w:color="auto" w:fill="FFFFFF"/>
        </w:rPr>
        <w:t>и да отговорят на определени стандарти за устойчивост</w:t>
      </w:r>
      <w:r w:rsidR="00341C60">
        <w:rPr>
          <w:rFonts w:ascii="Cambria" w:hAnsi="Cambria" w:cstheme="majorHAnsi"/>
          <w:color w:val="222222"/>
          <w:shd w:val="clear" w:color="auto" w:fill="FFFFFF"/>
        </w:rPr>
        <w:t>, ЕС приема</w:t>
      </w:r>
      <w:r w:rsidR="00086786">
        <w:rPr>
          <w:rFonts w:ascii="Cambria" w:hAnsi="Cambria" w:cstheme="majorHAnsi"/>
          <w:color w:val="222222"/>
          <w:shd w:val="clear" w:color="auto" w:fill="FFFFFF"/>
        </w:rPr>
        <w:t xml:space="preserve"> по-засилени мерки за оповестяване на нефинансова информация</w:t>
      </w:r>
      <w:r w:rsidR="001B33D5">
        <w:rPr>
          <w:rFonts w:ascii="Cambria" w:hAnsi="Cambria" w:cstheme="majorHAnsi"/>
          <w:color w:val="222222"/>
          <w:shd w:val="clear" w:color="auto" w:fill="FFFFFF"/>
        </w:rPr>
        <w:t xml:space="preserve">: </w:t>
      </w:r>
      <w:r w:rsidR="007064C9">
        <w:rPr>
          <w:rFonts w:ascii="Cambria" w:hAnsi="Cambria" w:cstheme="majorHAnsi"/>
          <w:color w:val="222222"/>
          <w:shd w:val="clear" w:color="auto" w:fill="FFFFFF"/>
        </w:rPr>
        <w:t xml:space="preserve">предложението </w:t>
      </w:r>
      <w:r w:rsidR="00D84A38">
        <w:rPr>
          <w:rFonts w:ascii="Cambria" w:hAnsi="Cambria" w:cstheme="majorHAnsi"/>
          <w:color w:val="222222"/>
          <w:shd w:val="clear" w:color="auto" w:fill="FFFFFF"/>
        </w:rPr>
        <w:t>за директива относно отчитането на предприятията във връзка с устойчивостта (</w:t>
      </w:r>
      <w:r w:rsidR="004F049A">
        <w:rPr>
          <w:rFonts w:ascii="Cambria" w:hAnsi="Cambria" w:cstheme="majorHAnsi"/>
          <w:color w:val="222222"/>
          <w:shd w:val="clear" w:color="auto" w:fill="FFFFFF"/>
        </w:rPr>
        <w:t>„</w:t>
      </w:r>
      <w:r w:rsidR="00086786">
        <w:rPr>
          <w:rFonts w:ascii="Cambria" w:hAnsi="Cambria" w:cstheme="majorHAnsi"/>
          <w:color w:val="222222"/>
          <w:shd w:val="clear" w:color="auto" w:fill="FFFFFF"/>
          <w:lang w:val="fr-FR"/>
        </w:rPr>
        <w:t>CSRD</w:t>
      </w:r>
      <w:r w:rsidR="004F049A">
        <w:rPr>
          <w:rFonts w:ascii="Cambria" w:hAnsi="Cambria" w:cstheme="majorHAnsi"/>
          <w:color w:val="222222"/>
          <w:shd w:val="clear" w:color="auto" w:fill="FFFFFF"/>
        </w:rPr>
        <w:t>“</w:t>
      </w:r>
      <w:r w:rsidR="00FC2F13">
        <w:rPr>
          <w:rStyle w:val="FootnoteReference"/>
          <w:rFonts w:ascii="Cambria" w:hAnsi="Cambria" w:cstheme="majorHAnsi"/>
          <w:color w:val="222222"/>
          <w:shd w:val="clear" w:color="auto" w:fill="FFFFFF"/>
        </w:rPr>
        <w:footnoteReference w:id="1"/>
      </w:r>
      <w:r w:rsidR="00D84A38">
        <w:rPr>
          <w:rFonts w:ascii="Cambria" w:hAnsi="Cambria" w:cstheme="majorHAnsi"/>
          <w:color w:val="222222"/>
          <w:shd w:val="clear" w:color="auto" w:fill="FFFFFF"/>
        </w:rPr>
        <w:t>),</w:t>
      </w:r>
      <w:r w:rsidR="00B306BA">
        <w:rPr>
          <w:rFonts w:ascii="Cambria" w:hAnsi="Cambria" w:cstheme="majorHAnsi"/>
          <w:color w:val="222222"/>
          <w:shd w:val="clear" w:color="auto" w:fill="FFFFFF"/>
        </w:rPr>
        <w:t xml:space="preserve"> Регламента относно информация във връзка с устойчивостта в сектора на финансовите услуги (</w:t>
      </w:r>
      <w:r w:rsidR="00B306BA" w:rsidRPr="00B43322">
        <w:rPr>
          <w:rFonts w:ascii="Cambria" w:hAnsi="Cambria" w:cstheme="majorHAnsi"/>
          <w:color w:val="222222"/>
          <w:shd w:val="clear" w:color="auto" w:fill="FFFFFF"/>
        </w:rPr>
        <w:t>“</w:t>
      </w:r>
      <w:r w:rsidR="00B306BA">
        <w:rPr>
          <w:rFonts w:ascii="Cambria" w:hAnsi="Cambria" w:cstheme="majorHAnsi"/>
          <w:color w:val="222222"/>
          <w:shd w:val="clear" w:color="auto" w:fill="FFFFFF"/>
          <w:lang w:val="en-US"/>
        </w:rPr>
        <w:t>SFRD</w:t>
      </w:r>
      <w:r w:rsidR="00B306BA" w:rsidRPr="00B43322">
        <w:rPr>
          <w:rFonts w:ascii="Cambria" w:hAnsi="Cambria" w:cstheme="majorHAnsi"/>
          <w:color w:val="222222"/>
          <w:shd w:val="clear" w:color="auto" w:fill="FFFFFF"/>
        </w:rPr>
        <w:t>”</w:t>
      </w:r>
      <w:r w:rsidR="00B306BA">
        <w:rPr>
          <w:rFonts w:ascii="Cambria" w:hAnsi="Cambria" w:cstheme="majorHAnsi"/>
          <w:color w:val="222222"/>
          <w:shd w:val="clear" w:color="auto" w:fill="FFFFFF"/>
        </w:rPr>
        <w:t>)</w:t>
      </w:r>
      <w:r w:rsidR="00FC2F13">
        <w:rPr>
          <w:rStyle w:val="FootnoteReference"/>
          <w:rFonts w:ascii="Cambria" w:hAnsi="Cambria" w:cstheme="majorHAnsi"/>
          <w:color w:val="222222"/>
          <w:shd w:val="clear" w:color="auto" w:fill="FFFFFF"/>
        </w:rPr>
        <w:footnoteReference w:id="2"/>
      </w:r>
      <w:r w:rsidR="00AF3F04">
        <w:rPr>
          <w:rFonts w:ascii="Cambria" w:hAnsi="Cambria" w:cstheme="majorHAnsi"/>
          <w:color w:val="222222"/>
          <w:shd w:val="clear" w:color="auto" w:fill="FFFFFF"/>
        </w:rPr>
        <w:t xml:space="preserve"> и Регламентът за създаване на рамка за улесняване на устойчивите инвестиции („Регламентът за Таксономията“).</w:t>
      </w:r>
      <w:r w:rsidR="00FC2F13">
        <w:rPr>
          <w:rStyle w:val="FootnoteReference"/>
          <w:rFonts w:ascii="Cambria" w:hAnsi="Cambria" w:cstheme="majorHAnsi"/>
          <w:color w:val="222222"/>
          <w:shd w:val="clear" w:color="auto" w:fill="FFFFFF"/>
        </w:rPr>
        <w:footnoteReference w:id="3"/>
      </w:r>
    </w:p>
    <w:p w14:paraId="6A6FC706" w14:textId="3EE5E2A6" w:rsidR="00886CB1" w:rsidRDefault="00684242" w:rsidP="005C505C">
      <w:pPr>
        <w:jc w:val="both"/>
        <w:rPr>
          <w:i/>
          <w:iCs/>
          <w:u w:val="single"/>
        </w:rPr>
      </w:pPr>
      <w:r>
        <w:rPr>
          <w:i/>
          <w:iCs/>
          <w:u w:val="single"/>
        </w:rPr>
        <w:t>Ф</w:t>
      </w:r>
      <w:r w:rsidR="00AF3F04" w:rsidRPr="005C505C">
        <w:rPr>
          <w:i/>
          <w:iCs/>
          <w:u w:val="single"/>
        </w:rPr>
        <w:t>инансов</w:t>
      </w:r>
      <w:r>
        <w:rPr>
          <w:i/>
          <w:iCs/>
          <w:u w:val="single"/>
        </w:rPr>
        <w:t xml:space="preserve">ата и нефинансовата </w:t>
      </w:r>
      <w:r w:rsidR="006138A0">
        <w:rPr>
          <w:i/>
          <w:iCs/>
          <w:u w:val="single"/>
        </w:rPr>
        <w:t>информаци</w:t>
      </w:r>
      <w:r>
        <w:rPr>
          <w:i/>
          <w:iCs/>
          <w:u w:val="single"/>
        </w:rPr>
        <w:t>я</w:t>
      </w:r>
      <w:r w:rsidR="006138A0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>следва да бъдат разглеждани заедно</w:t>
      </w:r>
      <w:r w:rsidR="0034477B">
        <w:rPr>
          <w:i/>
          <w:iCs/>
          <w:u w:val="single"/>
        </w:rPr>
        <w:t>,</w:t>
      </w:r>
      <w:r>
        <w:rPr>
          <w:i/>
          <w:iCs/>
          <w:u w:val="single"/>
        </w:rPr>
        <w:t xml:space="preserve"> </w:t>
      </w:r>
      <w:r w:rsidR="00871831">
        <w:rPr>
          <w:i/>
          <w:iCs/>
          <w:u w:val="single"/>
        </w:rPr>
        <w:t xml:space="preserve">за да се добие </w:t>
      </w:r>
      <w:r>
        <w:rPr>
          <w:i/>
          <w:iCs/>
          <w:u w:val="single"/>
        </w:rPr>
        <w:t>по-</w:t>
      </w:r>
      <w:r w:rsidR="00886CB1">
        <w:rPr>
          <w:i/>
          <w:iCs/>
          <w:u w:val="single"/>
        </w:rPr>
        <w:t>пъл</w:t>
      </w:r>
      <w:r w:rsidR="006138A0">
        <w:rPr>
          <w:i/>
          <w:iCs/>
          <w:u w:val="single"/>
        </w:rPr>
        <w:t xml:space="preserve">на картина за </w:t>
      </w:r>
      <w:r w:rsidR="00871831">
        <w:rPr>
          <w:i/>
          <w:iCs/>
          <w:u w:val="single"/>
        </w:rPr>
        <w:t>представянето и устойчивото развитие на един бизнес</w:t>
      </w:r>
    </w:p>
    <w:p w14:paraId="4D97403C" w14:textId="0A94C147" w:rsidR="00D64B05" w:rsidRDefault="00F916AB" w:rsidP="00F647A8">
      <w:pPr>
        <w:ind w:firstLine="360"/>
        <w:jc w:val="both"/>
        <w:rPr>
          <w:rFonts w:ascii="Cambria" w:hAnsi="Cambria" w:cstheme="majorHAnsi"/>
          <w:color w:val="222222"/>
          <w:shd w:val="clear" w:color="auto" w:fill="FFFFFF"/>
        </w:rPr>
      </w:pPr>
      <w:bookmarkStart w:id="1" w:name="_Hlk97476978"/>
      <w:r w:rsidRPr="001C2B87">
        <w:rPr>
          <w:rFonts w:ascii="Cambria" w:hAnsi="Cambria" w:cstheme="majorHAnsi"/>
          <w:color w:val="222222"/>
          <w:shd w:val="clear" w:color="auto" w:fill="FFFFFF"/>
        </w:rPr>
        <w:t>Директивата за нефинансово оповестяване</w:t>
      </w:r>
      <w:r w:rsidR="00F647A8">
        <w:rPr>
          <w:rFonts w:ascii="Cambria" w:hAnsi="Cambria" w:cstheme="majorHAnsi"/>
          <w:color w:val="222222"/>
          <w:shd w:val="clear" w:color="auto" w:fill="FFFFFF"/>
        </w:rPr>
        <w:t xml:space="preserve"> („</w:t>
      </w:r>
      <w:r w:rsidR="00F647A8">
        <w:rPr>
          <w:rFonts w:ascii="Cambria" w:hAnsi="Cambria" w:cstheme="majorHAnsi"/>
          <w:color w:val="222222"/>
          <w:shd w:val="clear" w:color="auto" w:fill="FFFFFF"/>
          <w:lang w:val="fr-FR"/>
        </w:rPr>
        <w:t>NFRD</w:t>
      </w:r>
      <w:r w:rsidR="00F647A8" w:rsidRPr="0034477B">
        <w:rPr>
          <w:rFonts w:ascii="Cambria" w:hAnsi="Cambria" w:cstheme="majorHAnsi"/>
          <w:color w:val="222222"/>
          <w:shd w:val="clear" w:color="auto" w:fill="FFFFFF"/>
        </w:rPr>
        <w:t>”</w:t>
      </w:r>
      <w:r w:rsidR="00F647A8">
        <w:rPr>
          <w:rFonts w:ascii="Cambria" w:hAnsi="Cambria" w:cstheme="majorHAnsi"/>
          <w:color w:val="222222"/>
          <w:shd w:val="clear" w:color="auto" w:fill="FFFFFF"/>
        </w:rPr>
        <w:t>)</w:t>
      </w:r>
      <w:r w:rsidRPr="001C2B87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871831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546663">
        <w:rPr>
          <w:rFonts w:ascii="Cambria" w:hAnsi="Cambria" w:cstheme="majorHAnsi"/>
          <w:color w:val="222222"/>
          <w:shd w:val="clear" w:color="auto" w:fill="FFFFFF"/>
        </w:rPr>
        <w:t xml:space="preserve">има за </w:t>
      </w:r>
      <w:r w:rsidRPr="001C2B87">
        <w:rPr>
          <w:rFonts w:ascii="Cambria" w:hAnsi="Cambria" w:cstheme="majorHAnsi"/>
          <w:color w:val="222222"/>
          <w:shd w:val="clear" w:color="auto" w:fill="FFFFFF"/>
        </w:rPr>
        <w:t xml:space="preserve"> цел да подпомогне инвеститори</w:t>
      </w:r>
      <w:r w:rsidR="00871831">
        <w:rPr>
          <w:rFonts w:ascii="Cambria" w:hAnsi="Cambria" w:cstheme="majorHAnsi"/>
          <w:color w:val="222222"/>
          <w:shd w:val="clear" w:color="auto" w:fill="FFFFFF"/>
        </w:rPr>
        <w:t>те</w:t>
      </w:r>
      <w:r w:rsidRPr="001C2B87">
        <w:rPr>
          <w:rFonts w:ascii="Cambria" w:hAnsi="Cambria" w:cstheme="majorHAnsi"/>
          <w:color w:val="222222"/>
          <w:shd w:val="clear" w:color="auto" w:fill="FFFFFF"/>
        </w:rPr>
        <w:t xml:space="preserve"> и заинтересовани</w:t>
      </w:r>
      <w:r w:rsidR="00871831">
        <w:rPr>
          <w:rFonts w:ascii="Cambria" w:hAnsi="Cambria" w:cstheme="majorHAnsi"/>
          <w:color w:val="222222"/>
          <w:shd w:val="clear" w:color="auto" w:fill="FFFFFF"/>
        </w:rPr>
        <w:t>те</w:t>
      </w:r>
      <w:r w:rsidRPr="001C2B87">
        <w:rPr>
          <w:rFonts w:ascii="Cambria" w:hAnsi="Cambria" w:cstheme="majorHAnsi"/>
          <w:color w:val="222222"/>
          <w:shd w:val="clear" w:color="auto" w:fill="FFFFFF"/>
        </w:rPr>
        <w:t xml:space="preserve"> страни да анализират </w:t>
      </w:r>
      <w:r w:rsidR="00F647A8">
        <w:rPr>
          <w:rFonts w:ascii="Cambria" w:hAnsi="Cambria" w:cstheme="majorHAnsi"/>
          <w:color w:val="222222"/>
          <w:shd w:val="clear" w:color="auto" w:fill="FFFFFF"/>
        </w:rPr>
        <w:t xml:space="preserve">как предприятията от обществено значение </w:t>
      </w:r>
      <w:r w:rsidRPr="001C2B87">
        <w:rPr>
          <w:rFonts w:ascii="Cambria" w:hAnsi="Cambria" w:cstheme="majorHAnsi"/>
          <w:color w:val="222222"/>
          <w:shd w:val="clear" w:color="auto" w:fill="FFFFFF"/>
        </w:rPr>
        <w:t>създава</w:t>
      </w:r>
      <w:r w:rsidR="00F647A8">
        <w:rPr>
          <w:rFonts w:ascii="Cambria" w:hAnsi="Cambria" w:cstheme="majorHAnsi"/>
          <w:color w:val="222222"/>
          <w:shd w:val="clear" w:color="auto" w:fill="FFFFFF"/>
        </w:rPr>
        <w:t>т</w:t>
      </w:r>
      <w:r w:rsidRPr="001C2B87">
        <w:rPr>
          <w:rFonts w:ascii="Cambria" w:hAnsi="Cambria" w:cstheme="majorHAnsi"/>
          <w:color w:val="222222"/>
          <w:shd w:val="clear" w:color="auto" w:fill="FFFFFF"/>
        </w:rPr>
        <w:t xml:space="preserve"> стойност и оценява</w:t>
      </w:r>
      <w:r w:rsidR="00F647A8">
        <w:rPr>
          <w:rFonts w:ascii="Cambria" w:hAnsi="Cambria" w:cstheme="majorHAnsi"/>
          <w:color w:val="222222"/>
          <w:shd w:val="clear" w:color="auto" w:fill="FFFFFF"/>
        </w:rPr>
        <w:t>т</w:t>
      </w:r>
      <w:r w:rsidRPr="001C2B87">
        <w:rPr>
          <w:rFonts w:ascii="Cambria" w:hAnsi="Cambria" w:cstheme="majorHAnsi"/>
          <w:color w:val="222222"/>
          <w:shd w:val="clear" w:color="auto" w:fill="FFFFFF"/>
        </w:rPr>
        <w:t xml:space="preserve"> рисковете</w:t>
      </w:r>
      <w:r w:rsidR="001C2B87" w:rsidRPr="0034477B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1C2B87">
        <w:rPr>
          <w:rFonts w:ascii="Cambria" w:hAnsi="Cambria" w:cstheme="majorHAnsi"/>
          <w:color w:val="222222"/>
          <w:shd w:val="clear" w:color="auto" w:fill="FFFFFF"/>
        </w:rPr>
        <w:t>свързани с въпросите за устойчивостта.</w:t>
      </w:r>
      <w:r w:rsidR="00546663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bookmarkEnd w:id="1"/>
      <w:r w:rsidR="00EE4A6A">
        <w:rPr>
          <w:rFonts w:ascii="Cambria" w:hAnsi="Cambria" w:cstheme="majorHAnsi"/>
          <w:color w:val="222222"/>
          <w:shd w:val="clear" w:color="auto" w:fill="FFFFFF"/>
        </w:rPr>
        <w:t xml:space="preserve">От </w:t>
      </w:r>
      <w:r w:rsidR="00916721">
        <w:rPr>
          <w:rFonts w:ascii="Cambria" w:hAnsi="Cambria" w:cstheme="majorHAnsi"/>
          <w:color w:val="222222"/>
          <w:shd w:val="clear" w:color="auto" w:fill="FFFFFF"/>
        </w:rPr>
        <w:t xml:space="preserve">2017 </w:t>
      </w:r>
      <w:r w:rsidR="007F388C">
        <w:rPr>
          <w:rFonts w:ascii="Cambria" w:hAnsi="Cambria" w:cstheme="majorHAnsi"/>
          <w:color w:val="222222"/>
          <w:shd w:val="clear" w:color="auto" w:fill="FFFFFF"/>
        </w:rPr>
        <w:t>г.</w:t>
      </w:r>
      <w:r w:rsidR="00EE4A6A">
        <w:rPr>
          <w:rFonts w:ascii="Cambria" w:hAnsi="Cambria" w:cstheme="majorHAnsi"/>
          <w:color w:val="222222"/>
          <w:shd w:val="clear" w:color="auto" w:fill="FFFFFF"/>
        </w:rPr>
        <w:t xml:space="preserve">, </w:t>
      </w:r>
      <w:r w:rsidR="00B91738">
        <w:rPr>
          <w:rFonts w:ascii="Cambria" w:hAnsi="Cambria" w:cstheme="majorHAnsi"/>
          <w:color w:val="222222"/>
          <w:shd w:val="clear" w:color="auto" w:fill="FFFFFF"/>
        </w:rPr>
        <w:t>българските предприятия</w:t>
      </w:r>
      <w:r w:rsidR="00A97326">
        <w:rPr>
          <w:rFonts w:ascii="Cambria" w:hAnsi="Cambria" w:cstheme="majorHAnsi"/>
          <w:color w:val="222222"/>
          <w:shd w:val="clear" w:color="auto" w:fill="FFFFFF"/>
        </w:rPr>
        <w:t xml:space="preserve">, които </w:t>
      </w:r>
      <w:r w:rsidR="00CF6F9B">
        <w:rPr>
          <w:rFonts w:ascii="Cambria" w:hAnsi="Cambria" w:cstheme="majorHAnsi"/>
          <w:color w:val="222222"/>
          <w:shd w:val="clear" w:color="auto" w:fill="FFFFFF"/>
        </w:rPr>
        <w:t>извършва</w:t>
      </w:r>
      <w:r w:rsidR="00A97326">
        <w:rPr>
          <w:rFonts w:ascii="Cambria" w:hAnsi="Cambria" w:cstheme="majorHAnsi"/>
          <w:color w:val="222222"/>
          <w:shd w:val="clear" w:color="auto" w:fill="FFFFFF"/>
        </w:rPr>
        <w:t>т</w:t>
      </w:r>
      <w:r w:rsidR="00CF6F9B">
        <w:rPr>
          <w:rFonts w:ascii="Cambria" w:hAnsi="Cambria" w:cstheme="majorHAnsi"/>
          <w:color w:val="222222"/>
          <w:shd w:val="clear" w:color="auto" w:fill="FFFFFF"/>
        </w:rPr>
        <w:t xml:space="preserve"> дейност от обществен интерес</w:t>
      </w:r>
      <w:r w:rsidR="00A97326">
        <w:rPr>
          <w:rStyle w:val="FootnoteReference"/>
          <w:rFonts w:ascii="Cambria" w:hAnsi="Cambria" w:cstheme="majorHAnsi"/>
          <w:color w:val="222222"/>
          <w:shd w:val="clear" w:color="auto" w:fill="FFFFFF"/>
        </w:rPr>
        <w:footnoteReference w:id="4"/>
      </w:r>
      <w:r w:rsidR="00A97326">
        <w:rPr>
          <w:rFonts w:ascii="Cambria" w:hAnsi="Cambria" w:cstheme="majorHAnsi"/>
          <w:color w:val="222222"/>
          <w:shd w:val="clear" w:color="auto" w:fill="FFFFFF"/>
        </w:rPr>
        <w:t xml:space="preserve"> и имат над 500 служители,</w:t>
      </w:r>
      <w:r w:rsidR="004F049A">
        <w:rPr>
          <w:rFonts w:ascii="Cambria" w:hAnsi="Cambria" w:cstheme="majorHAnsi"/>
          <w:color w:val="222222"/>
          <w:shd w:val="clear" w:color="auto" w:fill="FFFFFF"/>
        </w:rPr>
        <w:t xml:space="preserve"> са задължени</w:t>
      </w:r>
      <w:r w:rsidR="00CF6F9B">
        <w:rPr>
          <w:rFonts w:ascii="Cambria" w:hAnsi="Cambria" w:cstheme="majorHAnsi"/>
          <w:color w:val="222222"/>
          <w:shd w:val="clear" w:color="auto" w:fill="FFFFFF"/>
        </w:rPr>
        <w:t xml:space="preserve"> да</w:t>
      </w:r>
      <w:r w:rsidRPr="001C2B87">
        <w:rPr>
          <w:rFonts w:ascii="Cambria" w:hAnsi="Cambria" w:cstheme="majorHAnsi"/>
          <w:color w:val="222222"/>
          <w:shd w:val="clear" w:color="auto" w:fill="FFFFFF"/>
        </w:rPr>
        <w:t xml:space="preserve"> оповестят </w:t>
      </w:r>
      <w:r w:rsidR="00A97326">
        <w:rPr>
          <w:rFonts w:ascii="Cambria" w:hAnsi="Cambria" w:cstheme="majorHAnsi"/>
          <w:color w:val="222222"/>
          <w:shd w:val="clear" w:color="auto" w:fill="FFFFFF"/>
        </w:rPr>
        <w:t>как темите за</w:t>
      </w:r>
      <w:r w:rsidR="001C2B87">
        <w:rPr>
          <w:rFonts w:ascii="Cambria" w:hAnsi="Cambria" w:cstheme="majorHAnsi"/>
          <w:color w:val="222222"/>
          <w:shd w:val="clear" w:color="auto" w:fill="FFFFFF"/>
        </w:rPr>
        <w:t xml:space="preserve"> устойчивостта</w:t>
      </w:r>
      <w:r w:rsidRPr="001C2B87">
        <w:rPr>
          <w:rFonts w:ascii="Cambria" w:hAnsi="Cambria" w:cstheme="majorHAnsi"/>
          <w:color w:val="222222"/>
          <w:shd w:val="clear" w:color="auto" w:fill="FFFFFF"/>
        </w:rPr>
        <w:t xml:space="preserve"> засяга</w:t>
      </w:r>
      <w:r w:rsidR="001C2B87">
        <w:rPr>
          <w:rFonts w:ascii="Cambria" w:hAnsi="Cambria" w:cstheme="majorHAnsi"/>
          <w:color w:val="222222"/>
          <w:shd w:val="clear" w:color="auto" w:fill="FFFFFF"/>
        </w:rPr>
        <w:t>т</w:t>
      </w:r>
      <w:r w:rsidRPr="001C2B87">
        <w:rPr>
          <w:rFonts w:ascii="Cambria" w:hAnsi="Cambria" w:cstheme="majorHAnsi"/>
          <w:color w:val="222222"/>
          <w:shd w:val="clear" w:color="auto" w:fill="FFFFFF"/>
        </w:rPr>
        <w:t xml:space="preserve"> финансовото </w:t>
      </w:r>
      <w:r w:rsidR="00D64B05">
        <w:rPr>
          <w:rFonts w:ascii="Cambria" w:hAnsi="Cambria" w:cstheme="majorHAnsi"/>
          <w:color w:val="222222"/>
          <w:shd w:val="clear" w:color="auto" w:fill="FFFFFF"/>
        </w:rPr>
        <w:t xml:space="preserve">им </w:t>
      </w:r>
      <w:r w:rsidR="001C2B87" w:rsidRPr="001C2B87">
        <w:rPr>
          <w:rFonts w:ascii="Cambria" w:hAnsi="Cambria" w:cstheme="majorHAnsi"/>
          <w:color w:val="222222"/>
          <w:shd w:val="clear" w:color="auto" w:fill="FFFFFF"/>
        </w:rPr>
        <w:t>състояние</w:t>
      </w:r>
      <w:r w:rsidR="00A97326">
        <w:rPr>
          <w:rFonts w:ascii="Cambria" w:hAnsi="Cambria" w:cstheme="majorHAnsi"/>
          <w:color w:val="222222"/>
          <w:shd w:val="clear" w:color="auto" w:fill="FFFFFF"/>
        </w:rPr>
        <w:t xml:space="preserve"> и какво е въздействието </w:t>
      </w:r>
      <w:r w:rsidR="00A244DD">
        <w:rPr>
          <w:rFonts w:ascii="Cambria" w:hAnsi="Cambria" w:cstheme="majorHAnsi"/>
          <w:color w:val="222222"/>
          <w:shd w:val="clear" w:color="auto" w:fill="FFFFFF"/>
        </w:rPr>
        <w:t>на дейностите им</w:t>
      </w:r>
      <w:r w:rsidR="00A97326">
        <w:rPr>
          <w:rFonts w:ascii="Cambria" w:hAnsi="Cambria" w:cstheme="majorHAnsi"/>
          <w:color w:val="222222"/>
          <w:shd w:val="clear" w:color="auto" w:fill="FFFFFF"/>
        </w:rPr>
        <w:t xml:space="preserve"> върху </w:t>
      </w:r>
      <w:r w:rsidR="00871831">
        <w:rPr>
          <w:rFonts w:ascii="Cambria" w:hAnsi="Cambria" w:cstheme="majorHAnsi"/>
          <w:color w:val="222222"/>
          <w:shd w:val="clear" w:color="auto" w:fill="FFFFFF"/>
        </w:rPr>
        <w:t xml:space="preserve">обществото </w:t>
      </w:r>
      <w:r w:rsidRPr="001C2B87">
        <w:rPr>
          <w:rFonts w:ascii="Cambria" w:hAnsi="Cambria" w:cstheme="majorHAnsi"/>
          <w:color w:val="222222"/>
          <w:shd w:val="clear" w:color="auto" w:fill="FFFFFF"/>
        </w:rPr>
        <w:t xml:space="preserve">и околната среда. </w:t>
      </w:r>
      <w:r w:rsidR="00D64B05">
        <w:rPr>
          <w:rFonts w:ascii="Cambria" w:hAnsi="Cambria" w:cstheme="majorHAnsi"/>
          <w:color w:val="222222"/>
          <w:shd w:val="clear" w:color="auto" w:fill="FFFFFF"/>
        </w:rPr>
        <w:t xml:space="preserve">Въпреки тези задължения, ЕС отчита пропуски в качеството на оповестената информация и липса на съпоставимост </w:t>
      </w:r>
      <w:r w:rsidR="00F647A8">
        <w:rPr>
          <w:rFonts w:ascii="Cambria" w:hAnsi="Cambria" w:cstheme="majorHAnsi"/>
          <w:color w:val="222222"/>
          <w:shd w:val="clear" w:color="auto" w:fill="FFFFFF"/>
        </w:rPr>
        <w:t xml:space="preserve">между нефинансовите отчети на предприятията </w:t>
      </w:r>
      <w:r w:rsidR="00D64B05">
        <w:rPr>
          <w:rFonts w:ascii="Cambria" w:hAnsi="Cambria" w:cstheme="majorHAnsi"/>
          <w:color w:val="222222"/>
          <w:shd w:val="clear" w:color="auto" w:fill="FFFFFF"/>
        </w:rPr>
        <w:t>– предизвикателства</w:t>
      </w:r>
      <w:r w:rsidR="00F647A8">
        <w:rPr>
          <w:rFonts w:ascii="Cambria" w:hAnsi="Cambria" w:cstheme="majorHAnsi"/>
          <w:color w:val="222222"/>
          <w:shd w:val="clear" w:color="auto" w:fill="FFFFFF"/>
        </w:rPr>
        <w:t>,</w:t>
      </w:r>
      <w:r w:rsidR="00D64B05">
        <w:rPr>
          <w:rFonts w:ascii="Cambria" w:hAnsi="Cambria" w:cstheme="majorHAnsi"/>
          <w:color w:val="222222"/>
          <w:shd w:val="clear" w:color="auto" w:fill="FFFFFF"/>
        </w:rPr>
        <w:t xml:space="preserve"> които</w:t>
      </w:r>
      <w:r w:rsidR="00F647A8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C316F7">
        <w:rPr>
          <w:rFonts w:ascii="Cambria" w:hAnsi="Cambria" w:cstheme="majorHAnsi"/>
          <w:color w:val="222222"/>
          <w:shd w:val="clear" w:color="auto" w:fill="FFFFFF"/>
        </w:rPr>
        <w:t>възпрепятстват</w:t>
      </w:r>
      <w:r w:rsidR="00F647A8">
        <w:rPr>
          <w:rFonts w:ascii="Cambria" w:hAnsi="Cambria" w:cstheme="majorHAnsi"/>
          <w:color w:val="222222"/>
          <w:shd w:val="clear" w:color="auto" w:fill="FFFFFF"/>
        </w:rPr>
        <w:t xml:space="preserve"> инвеститорите</w:t>
      </w:r>
      <w:r w:rsidR="00D64B05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F647A8">
        <w:rPr>
          <w:rFonts w:ascii="Cambria" w:hAnsi="Cambria" w:cstheme="majorHAnsi"/>
          <w:color w:val="222222"/>
          <w:shd w:val="clear" w:color="auto" w:fill="FFFFFF"/>
        </w:rPr>
        <w:t>да оценят свързаните с устойчивостта рискове</w:t>
      </w:r>
      <w:r w:rsidR="00D64B05">
        <w:rPr>
          <w:rFonts w:ascii="Cambria" w:hAnsi="Cambria" w:cstheme="majorHAnsi"/>
          <w:color w:val="222222"/>
          <w:shd w:val="clear" w:color="auto" w:fill="FFFFFF"/>
        </w:rPr>
        <w:t xml:space="preserve"> и </w:t>
      </w:r>
      <w:r w:rsidR="00F647A8">
        <w:rPr>
          <w:rFonts w:ascii="Cambria" w:hAnsi="Cambria" w:cstheme="majorHAnsi"/>
          <w:color w:val="222222"/>
          <w:shd w:val="clear" w:color="auto" w:fill="FFFFFF"/>
        </w:rPr>
        <w:t>запла</w:t>
      </w:r>
      <w:r w:rsidR="00BC5D8B">
        <w:rPr>
          <w:rFonts w:ascii="Cambria" w:hAnsi="Cambria" w:cstheme="majorHAnsi"/>
          <w:color w:val="222222"/>
          <w:shd w:val="clear" w:color="auto" w:fill="FFFFFF"/>
        </w:rPr>
        <w:t>хите за</w:t>
      </w:r>
      <w:r w:rsidR="00F647A8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D64B05">
        <w:rPr>
          <w:rFonts w:ascii="Cambria" w:hAnsi="Cambria" w:cstheme="majorHAnsi"/>
          <w:color w:val="222222"/>
          <w:shd w:val="clear" w:color="auto" w:fill="FFFFFF"/>
        </w:rPr>
        <w:t>финансовата стабилност</w:t>
      </w:r>
      <w:r w:rsidR="005F0085">
        <w:rPr>
          <w:rFonts w:ascii="Cambria" w:hAnsi="Cambria" w:cstheme="majorHAnsi"/>
          <w:color w:val="222222"/>
          <w:shd w:val="clear" w:color="auto" w:fill="FFFFFF"/>
        </w:rPr>
        <w:t>.</w:t>
      </w:r>
    </w:p>
    <w:p w14:paraId="7519CDCB" w14:textId="24DBB9E1" w:rsidR="005C505C" w:rsidRDefault="00D64B05" w:rsidP="00110BFF">
      <w:pPr>
        <w:ind w:firstLine="360"/>
        <w:jc w:val="both"/>
        <w:rPr>
          <w:rFonts w:ascii="Cambria" w:hAnsi="Cambria" w:cstheme="majorHAnsi"/>
          <w:color w:val="222222"/>
          <w:shd w:val="clear" w:color="auto" w:fill="FFFFFF"/>
        </w:rPr>
      </w:pPr>
      <w:r>
        <w:rPr>
          <w:rFonts w:ascii="Cambria" w:hAnsi="Cambria" w:cstheme="majorHAnsi"/>
          <w:color w:val="222222"/>
          <w:shd w:val="clear" w:color="auto" w:fill="FFFFFF"/>
        </w:rPr>
        <w:t xml:space="preserve">С приемането на Плана </w:t>
      </w:r>
      <w:r w:rsidR="00B306BA">
        <w:rPr>
          <w:rFonts w:ascii="Cambria" w:hAnsi="Cambria" w:cstheme="majorHAnsi"/>
          <w:color w:val="222222"/>
          <w:shd w:val="clear" w:color="auto" w:fill="FFFFFF"/>
        </w:rPr>
        <w:t xml:space="preserve">през </w:t>
      </w:r>
      <w:r w:rsidR="00A244DD">
        <w:rPr>
          <w:rFonts w:ascii="Cambria" w:hAnsi="Cambria" w:cstheme="majorHAnsi"/>
          <w:color w:val="222222"/>
          <w:shd w:val="clear" w:color="auto" w:fill="FFFFFF"/>
        </w:rPr>
        <w:t xml:space="preserve">2020 г. </w:t>
      </w:r>
      <w:r w:rsidR="00F647A8">
        <w:rPr>
          <w:rFonts w:ascii="Cambria" w:hAnsi="Cambria" w:cstheme="majorHAnsi"/>
          <w:color w:val="222222"/>
          <w:shd w:val="clear" w:color="auto" w:fill="FFFFFF"/>
        </w:rPr>
        <w:t>се увеличава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 нуждата от съпоставима</w:t>
      </w:r>
      <w:r w:rsidR="00F647A8">
        <w:rPr>
          <w:rFonts w:ascii="Cambria" w:hAnsi="Cambria" w:cstheme="majorHAnsi"/>
          <w:color w:val="222222"/>
          <w:shd w:val="clear" w:color="auto" w:fill="FFFFFF"/>
        </w:rPr>
        <w:t xml:space="preserve">, </w:t>
      </w:r>
      <w:r w:rsidR="00871831">
        <w:rPr>
          <w:rFonts w:ascii="Cambria" w:hAnsi="Cambria" w:cstheme="majorHAnsi"/>
          <w:color w:val="222222"/>
          <w:shd w:val="clear" w:color="auto" w:fill="FFFFFF"/>
        </w:rPr>
        <w:t xml:space="preserve">историческа </w:t>
      </w:r>
      <w:r w:rsidR="00F647A8">
        <w:rPr>
          <w:rFonts w:ascii="Cambria" w:hAnsi="Cambria" w:cstheme="majorHAnsi"/>
          <w:color w:val="222222"/>
          <w:shd w:val="clear" w:color="auto" w:fill="FFFFFF"/>
        </w:rPr>
        <w:t>и прогнозна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 информация</w:t>
      </w:r>
      <w:r w:rsidR="00F647A8">
        <w:rPr>
          <w:rFonts w:ascii="Cambria" w:hAnsi="Cambria" w:cstheme="majorHAnsi"/>
          <w:color w:val="222222"/>
          <w:shd w:val="clear" w:color="auto" w:fill="FFFFFF"/>
        </w:rPr>
        <w:t xml:space="preserve">. Предложената </w:t>
      </w:r>
      <w:r w:rsidR="00871831">
        <w:rPr>
          <w:rFonts w:ascii="Cambria" w:hAnsi="Cambria" w:cstheme="majorHAnsi"/>
          <w:color w:val="222222"/>
          <w:shd w:val="clear" w:color="auto" w:fill="FFFFFF"/>
        </w:rPr>
        <w:t>„</w:t>
      </w:r>
      <w:r w:rsidR="00871831">
        <w:rPr>
          <w:rFonts w:ascii="Cambria" w:hAnsi="Cambria" w:cstheme="majorHAnsi"/>
          <w:color w:val="222222"/>
          <w:shd w:val="clear" w:color="auto" w:fill="FFFFFF"/>
          <w:lang w:val="fr-FR"/>
        </w:rPr>
        <w:t>CSRD</w:t>
      </w:r>
      <w:r w:rsidR="00871831">
        <w:rPr>
          <w:rFonts w:ascii="Cambria" w:hAnsi="Cambria" w:cstheme="majorHAnsi"/>
          <w:color w:val="222222"/>
          <w:shd w:val="clear" w:color="auto" w:fill="FFFFFF"/>
        </w:rPr>
        <w:t xml:space="preserve">“ </w:t>
      </w:r>
      <w:r w:rsidR="00F647A8">
        <w:rPr>
          <w:rFonts w:ascii="Cambria" w:hAnsi="Cambria" w:cstheme="majorHAnsi"/>
          <w:color w:val="222222"/>
          <w:shd w:val="clear" w:color="auto" w:fill="FFFFFF"/>
        </w:rPr>
        <w:t xml:space="preserve">Директива </w:t>
      </w:r>
      <w:r w:rsidR="00F647A8" w:rsidRPr="0034477B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1C2B87">
        <w:rPr>
          <w:rFonts w:ascii="Cambria" w:hAnsi="Cambria" w:cstheme="majorHAnsi"/>
          <w:color w:val="222222"/>
          <w:shd w:val="clear" w:color="auto" w:fill="FFFFFF"/>
        </w:rPr>
        <w:t>има за цел да гарантира информационните потребности на потребителите на нефинансова информация</w:t>
      </w:r>
      <w:r w:rsidR="00F647A8" w:rsidRPr="0034477B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F647A8">
        <w:rPr>
          <w:rFonts w:ascii="Cambria" w:hAnsi="Cambria" w:cstheme="majorHAnsi"/>
          <w:color w:val="222222"/>
          <w:shd w:val="clear" w:color="auto" w:fill="FFFFFF"/>
        </w:rPr>
        <w:t>като въвежда общи стандарти за отчитане</w:t>
      </w:r>
      <w:r w:rsidR="005C505C">
        <w:rPr>
          <w:rFonts w:ascii="Cambria" w:hAnsi="Cambria" w:cstheme="majorHAnsi"/>
          <w:color w:val="222222"/>
          <w:shd w:val="clear" w:color="auto" w:fill="FFFFFF"/>
        </w:rPr>
        <w:t xml:space="preserve"> във връзка с екологични, социални и управленски фактори (</w:t>
      </w:r>
      <w:r w:rsidR="005C505C">
        <w:rPr>
          <w:rFonts w:ascii="Cambria" w:hAnsi="Cambria" w:cstheme="majorHAnsi"/>
          <w:color w:val="222222"/>
          <w:shd w:val="clear" w:color="auto" w:fill="FFFFFF"/>
          <w:lang w:val="fr-FR"/>
        </w:rPr>
        <w:t>ESG</w:t>
      </w:r>
      <w:r w:rsidR="005C505C">
        <w:rPr>
          <w:rFonts w:ascii="Cambria" w:hAnsi="Cambria" w:cstheme="majorHAnsi"/>
          <w:color w:val="222222"/>
          <w:shd w:val="clear" w:color="auto" w:fill="FFFFFF"/>
        </w:rPr>
        <w:t xml:space="preserve"> управление)</w:t>
      </w:r>
      <w:r w:rsidR="00F647A8">
        <w:rPr>
          <w:rFonts w:ascii="Cambria" w:hAnsi="Cambria" w:cstheme="majorHAnsi"/>
          <w:color w:val="222222"/>
          <w:shd w:val="clear" w:color="auto" w:fill="FFFFFF"/>
        </w:rPr>
        <w:t xml:space="preserve">. </w:t>
      </w:r>
      <w:r w:rsidR="00CF6F9B">
        <w:rPr>
          <w:rFonts w:ascii="Cambria" w:hAnsi="Cambria" w:cstheme="majorHAnsi"/>
          <w:color w:val="222222"/>
          <w:shd w:val="clear" w:color="auto" w:fill="FFFFFF"/>
        </w:rPr>
        <w:t>Директивата</w:t>
      </w:r>
      <w:r w:rsidR="005F0085">
        <w:rPr>
          <w:rFonts w:ascii="Cambria" w:hAnsi="Cambria" w:cstheme="majorHAnsi"/>
          <w:color w:val="222222"/>
          <w:shd w:val="clear" w:color="auto" w:fill="FFFFFF"/>
        </w:rPr>
        <w:t xml:space="preserve"> значително разширява</w:t>
      </w:r>
      <w:r w:rsidR="00CF6F9B">
        <w:rPr>
          <w:rFonts w:ascii="Cambria" w:hAnsi="Cambria" w:cstheme="majorHAnsi"/>
          <w:color w:val="222222"/>
          <w:shd w:val="clear" w:color="auto" w:fill="FFFFFF"/>
        </w:rPr>
        <w:t xml:space="preserve"> кръга на</w:t>
      </w:r>
      <w:r w:rsidR="005F0085">
        <w:rPr>
          <w:rFonts w:ascii="Cambria" w:hAnsi="Cambria" w:cstheme="majorHAnsi"/>
          <w:color w:val="222222"/>
          <w:shd w:val="clear" w:color="auto" w:fill="FFFFFF"/>
        </w:rPr>
        <w:t xml:space="preserve"> задължените лица</w:t>
      </w:r>
      <w:r w:rsidR="00CF6F9B">
        <w:rPr>
          <w:rFonts w:ascii="Cambria" w:hAnsi="Cambria" w:cstheme="majorHAnsi"/>
          <w:color w:val="222222"/>
          <w:shd w:val="clear" w:color="auto" w:fill="FFFFFF"/>
        </w:rPr>
        <w:t xml:space="preserve"> до всички големи предприятия</w:t>
      </w:r>
      <w:r w:rsidR="00A97326">
        <w:rPr>
          <w:rFonts w:ascii="Cambria" w:hAnsi="Cambria" w:cstheme="majorHAnsi"/>
          <w:color w:val="222222"/>
          <w:shd w:val="clear" w:color="auto" w:fill="FFFFFF"/>
        </w:rPr>
        <w:t xml:space="preserve"> и всички предприятия, регистрирани на регулиран пазар в ЕС</w:t>
      </w:r>
      <w:r w:rsidR="00703AF1">
        <w:rPr>
          <w:rFonts w:ascii="Cambria" w:hAnsi="Cambria" w:cstheme="majorHAnsi"/>
          <w:color w:val="222222"/>
          <w:shd w:val="clear" w:color="auto" w:fill="FFFFFF"/>
        </w:rPr>
        <w:t>,</w:t>
      </w:r>
      <w:r w:rsidR="00A97326">
        <w:rPr>
          <w:rStyle w:val="FootnoteReference"/>
          <w:rFonts w:ascii="Cambria" w:hAnsi="Cambria" w:cstheme="majorHAnsi"/>
          <w:color w:val="222222"/>
          <w:shd w:val="clear" w:color="auto" w:fill="FFFFFF"/>
        </w:rPr>
        <w:footnoteReference w:id="5"/>
      </w:r>
      <w:r w:rsidR="00703AF1">
        <w:rPr>
          <w:rFonts w:ascii="Cambria" w:hAnsi="Cambria" w:cstheme="majorHAnsi"/>
          <w:color w:val="222222"/>
          <w:shd w:val="clear" w:color="auto" w:fill="FFFFFF"/>
        </w:rPr>
        <w:t xml:space="preserve"> които имат над 250 служители.</w:t>
      </w:r>
      <w:r w:rsidR="008E7D62">
        <w:rPr>
          <w:rStyle w:val="FootnoteReference"/>
          <w:rFonts w:ascii="Cambria" w:hAnsi="Cambria" w:cstheme="majorHAnsi"/>
          <w:color w:val="222222"/>
          <w:shd w:val="clear" w:color="auto" w:fill="FFFFFF"/>
        </w:rPr>
        <w:footnoteReference w:id="6"/>
      </w:r>
      <w:r w:rsidR="00703AF1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C66A99">
        <w:rPr>
          <w:rFonts w:ascii="Cambria" w:hAnsi="Cambria" w:cstheme="majorHAnsi"/>
          <w:color w:val="222222"/>
          <w:shd w:val="clear" w:color="auto" w:fill="FFFFFF"/>
        </w:rPr>
        <w:t xml:space="preserve">Очаква се разпоредбите да </w:t>
      </w:r>
      <w:r w:rsidR="00871831">
        <w:rPr>
          <w:rFonts w:ascii="Cambria" w:hAnsi="Cambria" w:cstheme="majorHAnsi"/>
          <w:color w:val="222222"/>
          <w:shd w:val="clear" w:color="auto" w:fill="FFFFFF"/>
        </w:rPr>
        <w:t xml:space="preserve">влязат в сила  от началото на </w:t>
      </w:r>
      <w:r w:rsidR="00C66A99">
        <w:rPr>
          <w:rFonts w:ascii="Cambria" w:hAnsi="Cambria" w:cstheme="majorHAnsi"/>
          <w:color w:val="222222"/>
          <w:shd w:val="clear" w:color="auto" w:fill="FFFFFF"/>
        </w:rPr>
        <w:t>2023 г.,</w:t>
      </w:r>
      <w:r w:rsidR="001A4D4D">
        <w:rPr>
          <w:rStyle w:val="FootnoteReference"/>
          <w:rFonts w:ascii="Cambria" w:hAnsi="Cambria" w:cstheme="majorHAnsi"/>
          <w:color w:val="222222"/>
          <w:shd w:val="clear" w:color="auto" w:fill="FFFFFF"/>
        </w:rPr>
        <w:footnoteReference w:id="7"/>
      </w:r>
      <w:r w:rsidR="00C66A99">
        <w:rPr>
          <w:rFonts w:ascii="Cambria" w:hAnsi="Cambria" w:cstheme="majorHAnsi"/>
          <w:color w:val="222222"/>
          <w:shd w:val="clear" w:color="auto" w:fill="FFFFFF"/>
        </w:rPr>
        <w:t xml:space="preserve"> като стандартите ще бъдат публикувани </w:t>
      </w:r>
      <w:r w:rsidR="0034477B">
        <w:rPr>
          <w:rFonts w:ascii="Cambria" w:hAnsi="Cambria" w:cstheme="majorHAnsi"/>
          <w:color w:val="222222"/>
          <w:shd w:val="clear" w:color="auto" w:fill="FFFFFF"/>
        </w:rPr>
        <w:t xml:space="preserve">през октомври, </w:t>
      </w:r>
      <w:r w:rsidR="00C66A99">
        <w:rPr>
          <w:rFonts w:ascii="Cambria" w:hAnsi="Cambria" w:cstheme="majorHAnsi"/>
          <w:color w:val="222222"/>
          <w:shd w:val="clear" w:color="auto" w:fill="FFFFFF"/>
        </w:rPr>
        <w:t>2022 г.</w:t>
      </w:r>
      <w:r w:rsidR="00C66A99" w:rsidRPr="00AF3F04">
        <w:rPr>
          <w:rStyle w:val="FootnoteReference"/>
          <w:rFonts w:ascii="Cambria" w:hAnsi="Cambria" w:cstheme="majorHAnsi"/>
          <w:color w:val="222222"/>
          <w:shd w:val="clear" w:color="auto" w:fill="FFFFFF"/>
        </w:rPr>
        <w:t xml:space="preserve"> </w:t>
      </w:r>
      <w:r w:rsidR="00C66A99">
        <w:rPr>
          <w:rStyle w:val="FootnoteReference"/>
          <w:rFonts w:ascii="Cambria" w:hAnsi="Cambria" w:cstheme="majorHAnsi"/>
          <w:color w:val="222222"/>
          <w:shd w:val="clear" w:color="auto" w:fill="FFFFFF"/>
        </w:rPr>
        <w:footnoteReference w:id="8"/>
      </w:r>
    </w:p>
    <w:p w14:paraId="276836F5" w14:textId="4E2B8C45" w:rsidR="00703AF1" w:rsidRDefault="005C505C" w:rsidP="005C505C">
      <w:pPr>
        <w:ind w:firstLine="360"/>
        <w:jc w:val="both"/>
        <w:rPr>
          <w:rFonts w:ascii="Cambria" w:hAnsi="Cambria" w:cstheme="majorHAnsi"/>
          <w:color w:val="222222"/>
          <w:shd w:val="clear" w:color="auto" w:fill="FFFFFF"/>
        </w:rPr>
      </w:pPr>
      <w:r w:rsidRPr="00AD36FE">
        <w:rPr>
          <w:rFonts w:ascii="Cambria" w:hAnsi="Cambria" w:cstheme="majorHAnsi"/>
          <w:color w:val="222222"/>
          <w:shd w:val="clear" w:color="auto" w:fill="FFFFFF"/>
        </w:rPr>
        <w:lastRenderedPageBreak/>
        <w:t>Директивата</w:t>
      </w:r>
      <w:r w:rsidRPr="0034477B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Pr="00AD36FE">
        <w:rPr>
          <w:rFonts w:ascii="Cambria" w:hAnsi="Cambria" w:cstheme="majorHAnsi"/>
          <w:color w:val="222222"/>
          <w:shd w:val="clear" w:color="auto" w:fill="FFFFFF"/>
        </w:rPr>
        <w:t xml:space="preserve">изисква </w:t>
      </w:r>
      <w:r w:rsidR="004020F0">
        <w:rPr>
          <w:rFonts w:ascii="Cambria" w:hAnsi="Cambria" w:cstheme="majorHAnsi"/>
          <w:color w:val="222222"/>
          <w:shd w:val="clear" w:color="auto" w:fill="FFFFFF"/>
        </w:rPr>
        <w:t xml:space="preserve">оповестяването на по-детайлна </w:t>
      </w:r>
      <w:r w:rsidRPr="00AD36FE">
        <w:rPr>
          <w:rFonts w:ascii="Cambria" w:hAnsi="Cambria" w:cstheme="majorHAnsi"/>
          <w:color w:val="222222"/>
          <w:shd w:val="clear" w:color="auto" w:fill="FFFFFF"/>
        </w:rPr>
        <w:t>информаци</w:t>
      </w:r>
      <w:r w:rsidR="004020F0">
        <w:rPr>
          <w:rFonts w:ascii="Cambria" w:hAnsi="Cambria" w:cstheme="majorHAnsi"/>
          <w:color w:val="222222"/>
          <w:shd w:val="clear" w:color="auto" w:fill="FFFFFF"/>
        </w:rPr>
        <w:t>я</w:t>
      </w:r>
      <w:r w:rsidRPr="00AD36FE">
        <w:rPr>
          <w:rFonts w:ascii="Cambria" w:hAnsi="Cambria" w:cstheme="majorHAnsi"/>
          <w:color w:val="222222"/>
          <w:shd w:val="clear" w:color="auto" w:fill="FFFFFF"/>
        </w:rPr>
        <w:t xml:space="preserve"> за устойчивостта </w:t>
      </w:r>
      <w:r w:rsidR="004020F0">
        <w:rPr>
          <w:rFonts w:ascii="Cambria" w:hAnsi="Cambria" w:cstheme="majorHAnsi"/>
          <w:color w:val="222222"/>
          <w:shd w:val="clear" w:color="auto" w:fill="FFFFFF"/>
        </w:rPr>
        <w:t xml:space="preserve">и определянето на </w:t>
      </w:r>
      <w:r w:rsidR="00FF47A4">
        <w:rPr>
          <w:rFonts w:ascii="Cambria" w:hAnsi="Cambria" w:cstheme="majorHAnsi"/>
          <w:color w:val="222222"/>
          <w:shd w:val="clear" w:color="auto" w:fill="FFFFFF"/>
        </w:rPr>
        <w:t>количествени и качествени показатели</w:t>
      </w:r>
      <w:r w:rsidR="0038784A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EA559F">
        <w:rPr>
          <w:rFonts w:ascii="Cambria" w:hAnsi="Cambria" w:cstheme="majorHAnsi"/>
          <w:color w:val="222222"/>
          <w:shd w:val="clear" w:color="auto" w:fill="FFFFFF"/>
        </w:rPr>
        <w:t xml:space="preserve">и за разлика от </w:t>
      </w:r>
      <w:r w:rsidR="004020F0">
        <w:rPr>
          <w:rFonts w:ascii="Cambria" w:hAnsi="Cambria" w:cstheme="majorHAnsi"/>
          <w:color w:val="222222"/>
          <w:shd w:val="clear" w:color="auto" w:fill="FFFFFF"/>
        </w:rPr>
        <w:t>настоящата Директивата за нефинансова информация</w:t>
      </w:r>
      <w:r w:rsidR="00EA559F" w:rsidRPr="0034477B">
        <w:rPr>
          <w:rFonts w:ascii="Cambria" w:hAnsi="Cambria" w:cstheme="majorHAnsi"/>
          <w:color w:val="222222"/>
          <w:shd w:val="clear" w:color="auto" w:fill="FFFFFF"/>
        </w:rPr>
        <w:t xml:space="preserve">, </w:t>
      </w:r>
      <w:r w:rsidR="004020F0">
        <w:rPr>
          <w:rFonts w:ascii="Cambria" w:hAnsi="Cambria" w:cstheme="majorHAnsi"/>
          <w:color w:val="222222"/>
          <w:shd w:val="clear" w:color="auto" w:fill="FFFFFF"/>
        </w:rPr>
        <w:t xml:space="preserve">новите разпоредби ще </w:t>
      </w:r>
      <w:r w:rsidR="00EA559F">
        <w:rPr>
          <w:rFonts w:ascii="Cambria" w:hAnsi="Cambria" w:cstheme="majorHAnsi"/>
          <w:color w:val="222222"/>
          <w:shd w:val="clear" w:color="auto" w:fill="FFFFFF"/>
        </w:rPr>
        <w:t>изисква</w:t>
      </w:r>
      <w:r w:rsidR="004020F0">
        <w:rPr>
          <w:rFonts w:ascii="Cambria" w:hAnsi="Cambria" w:cstheme="majorHAnsi"/>
          <w:color w:val="222222"/>
          <w:shd w:val="clear" w:color="auto" w:fill="FFFFFF"/>
        </w:rPr>
        <w:t>т</w:t>
      </w:r>
      <w:r w:rsidR="0038784A">
        <w:rPr>
          <w:rFonts w:ascii="Cambria" w:hAnsi="Cambria" w:cstheme="majorHAnsi"/>
          <w:color w:val="222222"/>
          <w:shd w:val="clear" w:color="auto" w:fill="FFFFFF"/>
        </w:rPr>
        <w:t xml:space="preserve"> предприятията да</w:t>
      </w:r>
      <w:r w:rsidR="00110BFF">
        <w:rPr>
          <w:rFonts w:ascii="Cambria" w:hAnsi="Cambria" w:cstheme="majorHAnsi"/>
          <w:color w:val="222222"/>
          <w:shd w:val="clear" w:color="auto" w:fill="FFFFFF"/>
        </w:rPr>
        <w:t xml:space="preserve"> следват </w:t>
      </w:r>
      <w:r w:rsidR="0034477B">
        <w:rPr>
          <w:rFonts w:ascii="Cambria" w:hAnsi="Cambria" w:cstheme="majorHAnsi"/>
          <w:color w:val="222222"/>
          <w:shd w:val="clear" w:color="auto" w:fill="FFFFFF"/>
        </w:rPr>
        <w:t xml:space="preserve">заложените </w:t>
      </w:r>
      <w:r w:rsidR="004607BE">
        <w:rPr>
          <w:rFonts w:ascii="Cambria" w:hAnsi="Cambria" w:cstheme="majorHAnsi"/>
          <w:color w:val="222222"/>
          <w:shd w:val="clear" w:color="auto" w:fill="FFFFFF"/>
        </w:rPr>
        <w:t>стандарти</w:t>
      </w:r>
      <w:r w:rsidR="004020F0">
        <w:rPr>
          <w:rFonts w:ascii="Cambria" w:hAnsi="Cambria" w:cstheme="majorHAnsi"/>
          <w:color w:val="222222"/>
          <w:shd w:val="clear" w:color="auto" w:fill="FFFFFF"/>
        </w:rPr>
        <w:t xml:space="preserve"> за </w:t>
      </w:r>
      <w:r w:rsidR="0034477B">
        <w:rPr>
          <w:rFonts w:ascii="Cambria" w:hAnsi="Cambria" w:cstheme="majorHAnsi"/>
          <w:color w:val="222222"/>
          <w:shd w:val="clear" w:color="auto" w:fill="FFFFFF"/>
        </w:rPr>
        <w:t>отчитане</w:t>
      </w:r>
      <w:r w:rsidR="00110BFF">
        <w:rPr>
          <w:rFonts w:ascii="Cambria" w:hAnsi="Cambria" w:cstheme="majorHAnsi"/>
          <w:color w:val="222222"/>
          <w:shd w:val="clear" w:color="auto" w:fill="FFFFFF"/>
        </w:rPr>
        <w:t>,</w:t>
      </w:r>
      <w:r w:rsidR="00A244DD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110BFF">
        <w:rPr>
          <w:rFonts w:ascii="Cambria" w:hAnsi="Cambria" w:cstheme="majorHAnsi"/>
          <w:color w:val="222222"/>
          <w:shd w:val="clear" w:color="auto" w:fill="FFFFFF"/>
        </w:rPr>
        <w:t>да</w:t>
      </w:r>
      <w:r w:rsidR="0038784A">
        <w:rPr>
          <w:rFonts w:ascii="Cambria" w:hAnsi="Cambria" w:cstheme="majorHAnsi"/>
          <w:color w:val="222222"/>
          <w:shd w:val="clear" w:color="auto" w:fill="FFFFFF"/>
        </w:rPr>
        <w:t xml:space="preserve"> оповестяват своята стратегия и цели за устойчивост</w:t>
      </w:r>
      <w:r w:rsidR="00110BFF">
        <w:rPr>
          <w:rFonts w:ascii="Cambria" w:hAnsi="Cambria" w:cstheme="majorHAnsi"/>
          <w:color w:val="222222"/>
          <w:shd w:val="clear" w:color="auto" w:fill="FFFFFF"/>
        </w:rPr>
        <w:t>, да включват</w:t>
      </w:r>
      <w:r w:rsidR="0038784A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4020F0">
        <w:rPr>
          <w:rFonts w:ascii="Cambria" w:hAnsi="Cambria" w:cstheme="majorHAnsi"/>
          <w:color w:val="222222"/>
          <w:shd w:val="clear" w:color="auto" w:fill="FFFFFF"/>
        </w:rPr>
        <w:t xml:space="preserve">историческа </w:t>
      </w:r>
      <w:r w:rsidR="00110BFF">
        <w:rPr>
          <w:rFonts w:ascii="Cambria" w:hAnsi="Cambria" w:cstheme="majorHAnsi"/>
          <w:color w:val="222222"/>
          <w:shd w:val="clear" w:color="auto" w:fill="FFFFFF"/>
        </w:rPr>
        <w:t xml:space="preserve">и прогнозна информация, </w:t>
      </w:r>
      <w:r w:rsidR="00483256">
        <w:rPr>
          <w:rFonts w:ascii="Cambria" w:hAnsi="Cambria" w:cstheme="majorHAnsi"/>
          <w:color w:val="222222"/>
          <w:shd w:val="clear" w:color="auto" w:fill="FFFFFF"/>
        </w:rPr>
        <w:t xml:space="preserve">нематериалните си активи, </w:t>
      </w:r>
      <w:r w:rsidR="00110BFF">
        <w:rPr>
          <w:rFonts w:ascii="Cambria" w:hAnsi="Cambria" w:cstheme="majorHAnsi"/>
          <w:color w:val="222222"/>
          <w:shd w:val="clear" w:color="auto" w:fill="FFFFFF"/>
        </w:rPr>
        <w:t>както</w:t>
      </w:r>
      <w:r w:rsidR="0038784A">
        <w:rPr>
          <w:rFonts w:ascii="Cambria" w:hAnsi="Cambria" w:cstheme="majorHAnsi"/>
          <w:color w:val="222222"/>
          <w:shd w:val="clear" w:color="auto" w:fill="FFFFFF"/>
        </w:rPr>
        <w:t xml:space="preserve"> и </w:t>
      </w:r>
      <w:r w:rsidR="00110BFF">
        <w:rPr>
          <w:rFonts w:ascii="Cambria" w:hAnsi="Cambria" w:cstheme="majorHAnsi"/>
          <w:color w:val="222222"/>
          <w:shd w:val="clear" w:color="auto" w:fill="FFFFFF"/>
        </w:rPr>
        <w:t>да посочват информация</w:t>
      </w:r>
      <w:r w:rsidR="00A244DD">
        <w:rPr>
          <w:rFonts w:ascii="Cambria" w:hAnsi="Cambria" w:cstheme="majorHAnsi"/>
          <w:color w:val="222222"/>
          <w:shd w:val="clear" w:color="auto" w:fill="FFFFFF"/>
        </w:rPr>
        <w:t xml:space="preserve"> за устойчивостта</w:t>
      </w:r>
      <w:r w:rsidR="00110BFF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A244DD">
        <w:rPr>
          <w:rFonts w:ascii="Cambria" w:hAnsi="Cambria" w:cstheme="majorHAnsi"/>
          <w:color w:val="222222"/>
          <w:shd w:val="clear" w:color="auto" w:fill="FFFFFF"/>
        </w:rPr>
        <w:t>по</w:t>
      </w:r>
      <w:r w:rsidR="00110BFF">
        <w:rPr>
          <w:rFonts w:ascii="Cambria" w:hAnsi="Cambria" w:cstheme="majorHAnsi"/>
          <w:color w:val="222222"/>
          <w:shd w:val="clear" w:color="auto" w:fill="FFFFFF"/>
        </w:rPr>
        <w:t xml:space="preserve"> цялата верига за създаване на стойност.</w:t>
      </w:r>
      <w:r w:rsidR="00090875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9624D8">
        <w:rPr>
          <w:rFonts w:ascii="Cambria" w:hAnsi="Cambria" w:cstheme="majorHAnsi"/>
          <w:color w:val="222222"/>
          <w:shd w:val="clear" w:color="auto" w:fill="FFFFFF"/>
        </w:rPr>
        <w:t xml:space="preserve">Един от най-новите елементи е оповестяването на информация за интелектуален, човешки и </w:t>
      </w:r>
      <w:proofErr w:type="spellStart"/>
      <w:r w:rsidR="009624D8">
        <w:rPr>
          <w:rFonts w:ascii="Cambria" w:hAnsi="Cambria" w:cstheme="majorHAnsi"/>
          <w:color w:val="222222"/>
          <w:shd w:val="clear" w:color="auto" w:fill="FFFFFF"/>
        </w:rPr>
        <w:t>репутационен</w:t>
      </w:r>
      <w:proofErr w:type="spellEnd"/>
      <w:r w:rsidR="009624D8">
        <w:rPr>
          <w:rFonts w:ascii="Cambria" w:hAnsi="Cambria" w:cstheme="majorHAnsi"/>
          <w:color w:val="222222"/>
          <w:shd w:val="clear" w:color="auto" w:fill="FFFFFF"/>
        </w:rPr>
        <w:t xml:space="preserve"> капитал. </w:t>
      </w:r>
      <w:r w:rsidR="004020F0">
        <w:rPr>
          <w:rFonts w:ascii="Cambria" w:hAnsi="Cambria" w:cstheme="majorHAnsi"/>
          <w:color w:val="222222"/>
          <w:shd w:val="clear" w:color="auto" w:fill="FFFFFF"/>
        </w:rPr>
        <w:t xml:space="preserve">За да повиши доверието, </w:t>
      </w:r>
      <w:r w:rsidR="0034477B">
        <w:rPr>
          <w:rFonts w:ascii="Cambria" w:hAnsi="Cambria" w:cstheme="majorHAnsi"/>
          <w:color w:val="222222"/>
          <w:shd w:val="clear" w:color="auto" w:fill="FFFFFF"/>
        </w:rPr>
        <w:t>н</w:t>
      </w:r>
      <w:r w:rsidR="00090875">
        <w:rPr>
          <w:rFonts w:ascii="Cambria" w:hAnsi="Cambria" w:cstheme="majorHAnsi"/>
          <w:color w:val="222222"/>
          <w:shd w:val="clear" w:color="auto" w:fill="FFFFFF"/>
        </w:rPr>
        <w:t xml:space="preserve">е на последно място </w:t>
      </w:r>
      <w:r w:rsidR="008E7D62">
        <w:rPr>
          <w:rFonts w:ascii="Cambria" w:hAnsi="Cambria" w:cstheme="majorHAnsi"/>
          <w:color w:val="222222"/>
          <w:shd w:val="clear" w:color="auto" w:fill="FFFFFF"/>
        </w:rPr>
        <w:t xml:space="preserve">предложението предвижда и изискване за задължителен одит, </w:t>
      </w:r>
      <w:r>
        <w:rPr>
          <w:rFonts w:ascii="Cambria" w:hAnsi="Cambria" w:cstheme="majorHAnsi"/>
          <w:color w:val="222222"/>
          <w:shd w:val="clear" w:color="auto" w:fill="FFFFFF"/>
        </w:rPr>
        <w:t>който</w:t>
      </w:r>
      <w:r w:rsidR="004607BE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D34077">
        <w:rPr>
          <w:rFonts w:ascii="Cambria" w:hAnsi="Cambria" w:cstheme="majorHAnsi"/>
          <w:color w:val="222222"/>
          <w:shd w:val="clear" w:color="auto" w:fill="FFFFFF"/>
        </w:rPr>
        <w:t>има за цел да повиши доверието в нефинансовите отчети</w:t>
      </w:r>
      <w:r w:rsidR="008E7D62">
        <w:rPr>
          <w:rFonts w:ascii="Cambria" w:hAnsi="Cambria" w:cstheme="majorHAnsi"/>
          <w:color w:val="222222"/>
          <w:shd w:val="clear" w:color="auto" w:fill="FFFFFF"/>
        </w:rPr>
        <w:t>.</w:t>
      </w:r>
    </w:p>
    <w:p w14:paraId="307196BC" w14:textId="4A8E8495" w:rsidR="00E67BBF" w:rsidRPr="00FC5F1E" w:rsidRDefault="00D34077" w:rsidP="00E67BBF">
      <w:pPr>
        <w:jc w:val="both"/>
        <w:rPr>
          <w:rFonts w:ascii="Cambria" w:hAnsi="Cambria" w:cstheme="majorHAnsi"/>
          <w:i/>
          <w:iCs/>
          <w:color w:val="222222"/>
          <w:u w:val="single"/>
          <w:shd w:val="clear" w:color="auto" w:fill="FFFFFF"/>
        </w:rPr>
      </w:pPr>
      <w:r>
        <w:rPr>
          <w:rFonts w:ascii="Cambria" w:hAnsi="Cambria" w:cstheme="majorHAnsi"/>
          <w:i/>
          <w:iCs/>
          <w:color w:val="222222"/>
          <w:u w:val="single"/>
          <w:shd w:val="clear" w:color="auto" w:fill="FFFFFF"/>
        </w:rPr>
        <w:t xml:space="preserve">Устойчиви инвестиции на </w:t>
      </w:r>
      <w:r w:rsidR="00E67BBF" w:rsidRPr="00FC5F1E">
        <w:rPr>
          <w:rFonts w:ascii="Cambria" w:hAnsi="Cambria" w:cstheme="majorHAnsi"/>
          <w:i/>
          <w:iCs/>
          <w:color w:val="222222"/>
          <w:u w:val="single"/>
          <w:shd w:val="clear" w:color="auto" w:fill="FFFFFF"/>
        </w:rPr>
        <w:t>капиталовите пазари</w:t>
      </w:r>
    </w:p>
    <w:p w14:paraId="10B06545" w14:textId="558016D6" w:rsidR="00E67BBF" w:rsidRPr="00E67BBF" w:rsidRDefault="00E67BBF" w:rsidP="00E67BBF">
      <w:pPr>
        <w:ind w:firstLine="360"/>
        <w:jc w:val="both"/>
        <w:rPr>
          <w:rFonts w:ascii="Cambria" w:hAnsi="Cambria" w:cstheme="majorHAnsi"/>
          <w:color w:val="222222"/>
          <w:shd w:val="clear" w:color="auto" w:fill="FFFFFF"/>
        </w:rPr>
      </w:pPr>
      <w:r>
        <w:rPr>
          <w:rFonts w:ascii="Cambria" w:hAnsi="Cambria" w:cstheme="majorHAnsi"/>
          <w:color w:val="222222"/>
          <w:shd w:val="clear" w:color="auto" w:fill="FFFFFF"/>
        </w:rPr>
        <w:t xml:space="preserve">Част от потребителите на нефинансова информация са участниците на финансовите пазари. Те попадат под Регламента </w:t>
      </w:r>
      <w:r w:rsidR="00D34077" w:rsidRPr="00D34077">
        <w:rPr>
          <w:rFonts w:ascii="Cambria" w:hAnsi="Cambria" w:cstheme="majorHAnsi"/>
          <w:color w:val="222222"/>
          <w:shd w:val="clear" w:color="auto" w:fill="FFFFFF"/>
        </w:rPr>
        <w:t xml:space="preserve">относно оповестяването на информация във връзка с устойчивостта в сектора на финансовите услуги </w:t>
      </w:r>
      <w:r w:rsidR="00D34077">
        <w:rPr>
          <w:rFonts w:ascii="Cambria" w:hAnsi="Cambria" w:cstheme="majorHAnsi"/>
          <w:color w:val="222222"/>
          <w:shd w:val="clear" w:color="auto" w:fill="FFFFFF"/>
        </w:rPr>
        <w:t>(„</w:t>
      </w:r>
      <w:r>
        <w:rPr>
          <w:rFonts w:ascii="Cambria" w:hAnsi="Cambria" w:cstheme="majorHAnsi"/>
          <w:color w:val="222222"/>
          <w:shd w:val="clear" w:color="auto" w:fill="FFFFFF"/>
          <w:lang w:val="en-US"/>
        </w:rPr>
        <w:t>SFD</w:t>
      </w:r>
      <w:r>
        <w:rPr>
          <w:rFonts w:ascii="Cambria" w:hAnsi="Cambria" w:cstheme="majorHAnsi"/>
          <w:color w:val="222222"/>
          <w:shd w:val="clear" w:color="auto" w:fill="FFFFFF"/>
          <w:lang w:val="fr-FR"/>
        </w:rPr>
        <w:t>R</w:t>
      </w:r>
      <w:r w:rsidR="00D34077">
        <w:rPr>
          <w:rFonts w:ascii="Cambria" w:hAnsi="Cambria" w:cstheme="majorHAnsi"/>
          <w:color w:val="222222"/>
          <w:shd w:val="clear" w:color="auto" w:fill="FFFFFF"/>
        </w:rPr>
        <w:t>“)</w:t>
      </w:r>
      <w:r>
        <w:rPr>
          <w:rFonts w:ascii="Cambria" w:hAnsi="Cambria" w:cstheme="majorHAnsi"/>
          <w:color w:val="222222"/>
          <w:shd w:val="clear" w:color="auto" w:fill="FFFFFF"/>
        </w:rPr>
        <w:t>, който създава хармонизирани правила относно типа</w:t>
      </w:r>
      <w:r w:rsidR="004607BE">
        <w:rPr>
          <w:rFonts w:ascii="Cambria" w:hAnsi="Cambria" w:cstheme="majorHAnsi"/>
          <w:color w:val="222222"/>
          <w:shd w:val="clear" w:color="auto" w:fill="FFFFFF"/>
        </w:rPr>
        <w:t xml:space="preserve"> на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 информация и начинът, по който </w:t>
      </w:r>
      <w:r w:rsidR="00D34077">
        <w:rPr>
          <w:rFonts w:ascii="Cambria" w:hAnsi="Cambria" w:cstheme="majorHAnsi"/>
          <w:color w:val="222222"/>
          <w:shd w:val="clear" w:color="auto" w:fill="FFFFFF"/>
        </w:rPr>
        <w:t xml:space="preserve">инвестиционните посредници, застрахователи и другите участници, предлагащи </w:t>
      </w:r>
      <w:r w:rsidR="00F923CD">
        <w:rPr>
          <w:rFonts w:ascii="Cambria" w:hAnsi="Cambria" w:cstheme="majorHAnsi"/>
          <w:color w:val="222222"/>
          <w:shd w:val="clear" w:color="auto" w:fill="FFFFFF"/>
        </w:rPr>
        <w:t xml:space="preserve">„устойчиви/зелени“ </w:t>
      </w:r>
      <w:r w:rsidR="00D34077">
        <w:rPr>
          <w:rFonts w:ascii="Cambria" w:hAnsi="Cambria" w:cstheme="majorHAnsi"/>
          <w:color w:val="222222"/>
          <w:shd w:val="clear" w:color="auto" w:fill="FFFFFF"/>
        </w:rPr>
        <w:t xml:space="preserve">инвестиционни продукти 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оповестяват информация за устойчивостта. </w:t>
      </w:r>
      <w:r w:rsidR="00C316F7">
        <w:rPr>
          <w:rFonts w:ascii="Cambria" w:hAnsi="Cambria" w:cstheme="majorHAnsi"/>
          <w:color w:val="222222"/>
          <w:shd w:val="clear" w:color="auto" w:fill="FFFFFF"/>
        </w:rPr>
        <w:t>Наред с други</w:t>
      </w:r>
      <w:r w:rsidR="00D71109">
        <w:rPr>
          <w:rFonts w:ascii="Cambria" w:hAnsi="Cambria" w:cstheme="majorHAnsi"/>
          <w:color w:val="222222"/>
          <w:shd w:val="clear" w:color="auto" w:fill="FFFFFF"/>
        </w:rPr>
        <w:t xml:space="preserve"> задължения,</w:t>
      </w:r>
      <w:r w:rsidR="00C316F7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Регламентът задължава участниците на финансовите пазари и финансовите съветници да оповестяват как отчитат </w:t>
      </w:r>
      <w:r w:rsidR="00F923CD">
        <w:rPr>
          <w:rFonts w:ascii="Cambria" w:hAnsi="Cambria" w:cstheme="majorHAnsi"/>
          <w:color w:val="222222"/>
          <w:shd w:val="clear" w:color="auto" w:fill="FFFFFF"/>
          <w:lang w:val="en-US"/>
        </w:rPr>
        <w:t>ESG</w:t>
      </w:r>
      <w:r w:rsidR="00F923CD" w:rsidRPr="0034477B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>
        <w:rPr>
          <w:rFonts w:ascii="Cambria" w:hAnsi="Cambria" w:cstheme="majorHAnsi"/>
          <w:color w:val="222222"/>
          <w:shd w:val="clear" w:color="auto" w:fill="FFFFFF"/>
        </w:rPr>
        <w:t>рисковете, които могат да повлияят негативно на инвестиционните продукти</w:t>
      </w:r>
      <w:r w:rsidR="00C316F7">
        <w:rPr>
          <w:rFonts w:ascii="Cambria" w:hAnsi="Cambria" w:cstheme="majorHAnsi"/>
          <w:color w:val="222222"/>
          <w:shd w:val="clear" w:color="auto" w:fill="FFFFFF"/>
        </w:rPr>
        <w:t xml:space="preserve"> и</w:t>
      </w:r>
      <w:r w:rsidR="00D71109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C316F7">
        <w:rPr>
          <w:rFonts w:ascii="Cambria" w:hAnsi="Cambria" w:cstheme="majorHAnsi"/>
          <w:color w:val="222222"/>
          <w:shd w:val="clear" w:color="auto" w:fill="FFFFFF"/>
        </w:rPr>
        <w:t xml:space="preserve">какви са 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неблагоприятните въздействия на инвестициите им върху </w:t>
      </w:r>
      <w:r w:rsidR="00F923CD">
        <w:rPr>
          <w:rFonts w:ascii="Cambria" w:hAnsi="Cambria" w:cstheme="majorHAnsi"/>
          <w:color w:val="222222"/>
          <w:shd w:val="clear" w:color="auto" w:fill="FFFFFF"/>
        </w:rPr>
        <w:t>съответните</w:t>
      </w:r>
      <w:r w:rsidR="00F923CD" w:rsidRPr="0034477B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>
        <w:rPr>
          <w:rFonts w:ascii="Cambria" w:hAnsi="Cambria" w:cstheme="majorHAnsi"/>
          <w:color w:val="222222"/>
          <w:shd w:val="clear" w:color="auto" w:fill="FFFFFF"/>
          <w:lang w:val="fr-FR"/>
        </w:rPr>
        <w:t>ESG</w:t>
      </w:r>
      <w:r w:rsidRPr="0034477B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>
        <w:rPr>
          <w:rFonts w:ascii="Cambria" w:hAnsi="Cambria" w:cstheme="majorHAnsi"/>
          <w:color w:val="222222"/>
          <w:shd w:val="clear" w:color="auto" w:fill="FFFFFF"/>
        </w:rPr>
        <w:t>фактор</w:t>
      </w:r>
      <w:r w:rsidR="00D71109">
        <w:rPr>
          <w:rFonts w:ascii="Cambria" w:hAnsi="Cambria" w:cstheme="majorHAnsi"/>
          <w:color w:val="222222"/>
          <w:shd w:val="clear" w:color="auto" w:fill="FFFFFF"/>
        </w:rPr>
        <w:t>и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. Регламентът влезе в сила от март 2021 г. като инвеститорите за задължени да публикуват поетапно информация </w:t>
      </w:r>
      <w:r w:rsidR="00D71109">
        <w:rPr>
          <w:rFonts w:ascii="Cambria" w:hAnsi="Cambria" w:cstheme="majorHAnsi"/>
          <w:color w:val="222222"/>
          <w:shd w:val="clear" w:color="auto" w:fill="FFFFFF"/>
        </w:rPr>
        <w:t xml:space="preserve">за устойчивостта </w:t>
      </w:r>
      <w:r>
        <w:rPr>
          <w:rFonts w:ascii="Cambria" w:hAnsi="Cambria" w:cstheme="majorHAnsi"/>
          <w:color w:val="222222"/>
          <w:shd w:val="clear" w:color="auto" w:fill="FFFFFF"/>
        </w:rPr>
        <w:t>на интернет страниците им и</w:t>
      </w:r>
      <w:r w:rsidR="00D71109">
        <w:rPr>
          <w:rFonts w:ascii="Cambria" w:hAnsi="Cambria" w:cstheme="majorHAnsi"/>
          <w:color w:val="222222"/>
          <w:shd w:val="clear" w:color="auto" w:fill="FFFFFF"/>
        </w:rPr>
        <w:t xml:space="preserve"> в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 периодичните доклади.</w:t>
      </w:r>
    </w:p>
    <w:p w14:paraId="789FA83E" w14:textId="6027D7D2" w:rsidR="00E67BBF" w:rsidRPr="00E67BBF" w:rsidRDefault="00E67BBF" w:rsidP="00E67BBF">
      <w:pPr>
        <w:jc w:val="both"/>
        <w:rPr>
          <w:rFonts w:ascii="Cambria" w:hAnsi="Cambria" w:cstheme="majorHAnsi"/>
          <w:i/>
          <w:iCs/>
          <w:color w:val="222222"/>
          <w:u w:val="single"/>
          <w:shd w:val="clear" w:color="auto" w:fill="FFFFFF"/>
        </w:rPr>
      </w:pPr>
      <w:r>
        <w:rPr>
          <w:rFonts w:ascii="Cambria" w:hAnsi="Cambria" w:cstheme="majorHAnsi"/>
          <w:i/>
          <w:iCs/>
          <w:color w:val="222222"/>
          <w:u w:val="single"/>
          <w:shd w:val="clear" w:color="auto" w:fill="FFFFFF"/>
        </w:rPr>
        <w:t xml:space="preserve">Отключване на устойчиви </w:t>
      </w:r>
      <w:r w:rsidR="006138A0">
        <w:rPr>
          <w:rFonts w:ascii="Cambria" w:hAnsi="Cambria" w:cstheme="majorHAnsi"/>
          <w:i/>
          <w:iCs/>
          <w:color w:val="222222"/>
          <w:u w:val="single"/>
          <w:shd w:val="clear" w:color="auto" w:fill="FFFFFF"/>
        </w:rPr>
        <w:t>инвестиции</w:t>
      </w:r>
    </w:p>
    <w:p w14:paraId="3E47FF31" w14:textId="2F6F6849" w:rsidR="00AF3F04" w:rsidRDefault="00AF3F04" w:rsidP="00AF3F04">
      <w:pPr>
        <w:ind w:firstLine="360"/>
        <w:jc w:val="both"/>
        <w:rPr>
          <w:rFonts w:ascii="Cambria" w:hAnsi="Cambria" w:cstheme="majorHAnsi"/>
          <w:color w:val="222222"/>
          <w:shd w:val="clear" w:color="auto" w:fill="FFFFFF"/>
        </w:rPr>
      </w:pPr>
      <w:r>
        <w:rPr>
          <w:rFonts w:ascii="Cambria" w:hAnsi="Cambria" w:cstheme="majorHAnsi"/>
          <w:color w:val="222222"/>
          <w:shd w:val="clear" w:color="auto" w:fill="FFFFFF"/>
        </w:rPr>
        <w:t>Регламентът за Таксономията има за цел да насочи вниманието на участниците на финансовите пазари в икономическите дейности, които отговарят на критериите за екологична устойчивост.  Регламентът и двата делегирани акта, които го съпровождат, конкретизират над 100 икономически дейности, които допринасят към една от 6-те екологични цели на ЕС:  смекчаване/адаптиране на/към изменението на климата; устойчиво ползване и опазване на водните и морските ресурси; преход към кръгова икономика; предотвратяване и контрол на замърсяването; опазване и възстановяване на биологичното разнообразие и екосистемите. Дейностите обхващат няколко сектора, измежду които са енергетика,</w:t>
      </w:r>
      <w:r w:rsidR="00596999" w:rsidRPr="00596999">
        <w:rPr>
          <w:rStyle w:val="FootnoteReference"/>
          <w:rFonts w:ascii="Cambria" w:hAnsi="Cambria" w:cstheme="majorHAnsi"/>
          <w:color w:val="222222"/>
          <w:shd w:val="clear" w:color="auto" w:fill="FFFFFF"/>
        </w:rPr>
        <w:t xml:space="preserve"> </w:t>
      </w:r>
      <w:r w:rsidR="00596999">
        <w:rPr>
          <w:rStyle w:val="FootnoteReference"/>
          <w:rFonts w:ascii="Cambria" w:hAnsi="Cambria" w:cstheme="majorHAnsi"/>
          <w:color w:val="222222"/>
          <w:shd w:val="clear" w:color="auto" w:fill="FFFFFF"/>
        </w:rPr>
        <w:footnoteReference w:id="9"/>
      </w:r>
      <w:r>
        <w:rPr>
          <w:rFonts w:ascii="Cambria" w:hAnsi="Cambria" w:cstheme="majorHAnsi"/>
          <w:color w:val="222222"/>
          <w:shd w:val="clear" w:color="auto" w:fill="FFFFFF"/>
        </w:rPr>
        <w:t xml:space="preserve"> производство, доставяне на води, транспорт, горско стопанство, строителство и други.</w:t>
      </w:r>
    </w:p>
    <w:p w14:paraId="6B15BFCF" w14:textId="3DC3CEA0" w:rsidR="00AF3F04" w:rsidRDefault="00AF3F04" w:rsidP="00AF3F04">
      <w:pPr>
        <w:ind w:firstLine="708"/>
        <w:jc w:val="both"/>
        <w:rPr>
          <w:rFonts w:ascii="Cambria" w:hAnsi="Cambria" w:cstheme="majorHAnsi"/>
          <w:color w:val="222222"/>
          <w:shd w:val="clear" w:color="auto" w:fill="FFFFFF"/>
        </w:rPr>
      </w:pPr>
      <w:r>
        <w:rPr>
          <w:rFonts w:ascii="Cambria" w:hAnsi="Cambria" w:cstheme="majorHAnsi"/>
          <w:color w:val="222222"/>
          <w:shd w:val="clear" w:color="auto" w:fill="FFFFFF"/>
        </w:rPr>
        <w:t xml:space="preserve">Обхватът на Таксономията се увеличава с времето отчитайки готовността на финансовите участници, наличието на финанси и развитието на нови технологични </w:t>
      </w:r>
      <w:r w:rsidRPr="00E67BBF">
        <w:rPr>
          <w:rFonts w:ascii="Cambria" w:hAnsi="Cambria" w:cstheme="majorHAnsi"/>
          <w:color w:val="222222"/>
          <w:shd w:val="clear" w:color="auto" w:fill="FFFFFF"/>
        </w:rPr>
        <w:t>решения. За 202</w:t>
      </w:r>
      <w:r w:rsidR="0034477B">
        <w:rPr>
          <w:rFonts w:ascii="Cambria" w:hAnsi="Cambria" w:cstheme="majorHAnsi"/>
          <w:color w:val="222222"/>
          <w:shd w:val="clear" w:color="auto" w:fill="FFFFFF"/>
        </w:rPr>
        <w:t>2</w:t>
      </w:r>
      <w:r w:rsidRPr="00E67BBF">
        <w:rPr>
          <w:rFonts w:ascii="Cambria" w:hAnsi="Cambria" w:cstheme="majorHAnsi"/>
          <w:color w:val="222222"/>
          <w:shd w:val="clear" w:color="auto" w:fill="FFFFFF"/>
        </w:rPr>
        <w:t xml:space="preserve"> г. задълженията засягат всички предприятия и компании-майки </w:t>
      </w:r>
      <w:r w:rsidR="00E67BBF" w:rsidRPr="00E67BBF">
        <w:rPr>
          <w:rFonts w:ascii="Cambria" w:hAnsi="Cambria" w:cstheme="majorHAnsi"/>
          <w:color w:val="222222"/>
          <w:shd w:val="clear" w:color="auto" w:fill="FFFFFF"/>
        </w:rPr>
        <w:t>к</w:t>
      </w:r>
      <w:r w:rsidRPr="00E67BBF">
        <w:rPr>
          <w:rFonts w:ascii="Cambria" w:hAnsi="Cambria" w:cstheme="majorHAnsi"/>
          <w:color w:val="222222"/>
          <w:shd w:val="clear" w:color="auto" w:fill="FFFFFF"/>
        </w:rPr>
        <w:t xml:space="preserve">оито по закон трябва да оповестяват </w:t>
      </w:r>
      <w:r w:rsidR="006138A0">
        <w:rPr>
          <w:rFonts w:ascii="Cambria" w:hAnsi="Cambria" w:cstheme="majorHAnsi"/>
          <w:color w:val="222222"/>
          <w:shd w:val="clear" w:color="auto" w:fill="FFFFFF"/>
        </w:rPr>
        <w:t xml:space="preserve">нефинансова </w:t>
      </w:r>
      <w:r w:rsidRPr="00E67BBF">
        <w:rPr>
          <w:rFonts w:ascii="Cambria" w:hAnsi="Cambria" w:cstheme="majorHAnsi"/>
          <w:color w:val="222222"/>
          <w:shd w:val="clear" w:color="auto" w:fill="FFFFFF"/>
        </w:rPr>
        <w:t>информация</w:t>
      </w:r>
      <w:r w:rsidR="006138A0">
        <w:rPr>
          <w:rFonts w:ascii="Cambria" w:hAnsi="Cambria" w:cstheme="majorHAnsi"/>
          <w:color w:val="222222"/>
          <w:shd w:val="clear" w:color="auto" w:fill="FFFFFF"/>
        </w:rPr>
        <w:t xml:space="preserve">, а </w:t>
      </w:r>
      <w:r w:rsidR="00F55AAE">
        <w:rPr>
          <w:rFonts w:ascii="Cambria" w:hAnsi="Cambria" w:cstheme="majorHAnsi"/>
          <w:color w:val="222222"/>
          <w:shd w:val="clear" w:color="auto" w:fill="FFFFFF"/>
        </w:rPr>
        <w:t>впоследствие</w:t>
      </w:r>
      <w:r w:rsidRPr="00E67BBF">
        <w:rPr>
          <w:rFonts w:ascii="Cambria" w:hAnsi="Cambria" w:cstheme="majorHAnsi"/>
          <w:color w:val="222222"/>
          <w:shd w:val="clear" w:color="auto" w:fill="FFFFFF"/>
        </w:rPr>
        <w:t xml:space="preserve"> обхватът ще бъде значително разширен </w:t>
      </w:r>
      <w:r w:rsidR="006138A0">
        <w:rPr>
          <w:rFonts w:ascii="Cambria" w:hAnsi="Cambria" w:cstheme="majorHAnsi"/>
          <w:color w:val="222222"/>
          <w:shd w:val="clear" w:color="auto" w:fill="FFFFFF"/>
        </w:rPr>
        <w:t>до тези, които попадат под</w:t>
      </w:r>
      <w:r w:rsidR="006138A0" w:rsidRPr="0034477B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6138A0">
        <w:rPr>
          <w:rFonts w:ascii="Cambria" w:hAnsi="Cambria" w:cstheme="majorHAnsi"/>
          <w:color w:val="222222"/>
          <w:shd w:val="clear" w:color="auto" w:fill="FFFFFF"/>
        </w:rPr>
        <w:t xml:space="preserve">предложената </w:t>
      </w:r>
      <w:r w:rsidR="006138A0">
        <w:rPr>
          <w:rFonts w:ascii="Cambria" w:hAnsi="Cambria" w:cstheme="majorHAnsi"/>
          <w:color w:val="222222"/>
          <w:shd w:val="clear" w:color="auto" w:fill="FFFFFF"/>
          <w:lang w:val="fr-FR"/>
        </w:rPr>
        <w:t>CSRD</w:t>
      </w:r>
      <w:r w:rsidRPr="00E67BBF">
        <w:rPr>
          <w:rFonts w:ascii="Cambria" w:hAnsi="Cambria" w:cstheme="majorHAnsi"/>
          <w:color w:val="222222"/>
          <w:shd w:val="clear" w:color="auto" w:fill="FFFFFF"/>
        </w:rPr>
        <w:t>.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 Обемът на информация, която трябва да се оповестява също се увеличава поетапно.</w:t>
      </w:r>
      <w:r w:rsidR="00E67BBF" w:rsidRPr="0034477B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>
        <w:rPr>
          <w:rFonts w:ascii="Cambria" w:hAnsi="Cambria" w:cstheme="majorHAnsi"/>
          <w:color w:val="222222"/>
          <w:shd w:val="clear" w:color="auto" w:fill="FFFFFF"/>
        </w:rPr>
        <w:t>Задължителното отчитане на дейностите, които са „</w:t>
      </w:r>
      <w:r>
        <w:rPr>
          <w:rFonts w:ascii="Cambria" w:hAnsi="Cambria" w:cstheme="majorHAnsi"/>
          <w:i/>
          <w:iCs/>
          <w:color w:val="222222"/>
          <w:shd w:val="clear" w:color="auto" w:fill="FFFFFF"/>
        </w:rPr>
        <w:t>допустими“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4607BE">
        <w:rPr>
          <w:rFonts w:ascii="Cambria" w:hAnsi="Cambria" w:cstheme="majorHAnsi"/>
          <w:color w:val="222222"/>
          <w:shd w:val="clear" w:color="auto" w:fill="FFFFFF"/>
        </w:rPr>
        <w:t xml:space="preserve"> за 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първите две екологични цели вече се прилага от началото на тази година. </w:t>
      </w:r>
      <w:r w:rsidR="00FD6E78">
        <w:rPr>
          <w:rFonts w:ascii="Cambria" w:hAnsi="Cambria" w:cstheme="majorHAnsi"/>
          <w:color w:val="222222"/>
          <w:shd w:val="clear" w:color="auto" w:fill="FFFFFF"/>
        </w:rPr>
        <w:t>По план, о</w:t>
      </w:r>
      <w:r>
        <w:rPr>
          <w:rFonts w:ascii="Cambria" w:hAnsi="Cambria" w:cstheme="majorHAnsi"/>
          <w:color w:val="222222"/>
          <w:shd w:val="clear" w:color="auto" w:fill="FFFFFF"/>
        </w:rPr>
        <w:t>т ФГ 2023 г., предприятията ще трябва да оповестяват „</w:t>
      </w:r>
      <w:r>
        <w:rPr>
          <w:rFonts w:ascii="Cambria" w:hAnsi="Cambria" w:cstheme="majorHAnsi"/>
          <w:i/>
          <w:iCs/>
          <w:color w:val="222222"/>
          <w:shd w:val="clear" w:color="auto" w:fill="FFFFFF"/>
        </w:rPr>
        <w:t>съобразените“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4607BE">
        <w:rPr>
          <w:rFonts w:ascii="Cambria" w:hAnsi="Cambria" w:cstheme="majorHAnsi"/>
          <w:color w:val="222222"/>
          <w:shd w:val="clear" w:color="auto" w:fill="FFFFFF"/>
        </w:rPr>
        <w:t>икономически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 дейности </w:t>
      </w:r>
      <w:r w:rsidR="004607BE">
        <w:rPr>
          <w:rFonts w:ascii="Cambria" w:hAnsi="Cambria" w:cstheme="majorHAnsi"/>
          <w:color w:val="222222"/>
          <w:shd w:val="clear" w:color="auto" w:fill="FFFFFF"/>
        </w:rPr>
        <w:t xml:space="preserve">с всички 6 цели 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– </w:t>
      </w:r>
      <w:r w:rsidR="004607BE">
        <w:rPr>
          <w:rFonts w:ascii="Cambria" w:hAnsi="Cambria" w:cstheme="majorHAnsi"/>
          <w:color w:val="222222"/>
          <w:shd w:val="clear" w:color="auto" w:fill="FFFFFF"/>
        </w:rPr>
        <w:t>изискване</w:t>
      </w:r>
      <w:r>
        <w:rPr>
          <w:rFonts w:ascii="Cambria" w:hAnsi="Cambria" w:cstheme="majorHAnsi"/>
          <w:color w:val="222222"/>
          <w:shd w:val="clear" w:color="auto" w:fill="FFFFFF"/>
        </w:rPr>
        <w:t>, което значително разширява обема на информация.</w:t>
      </w:r>
    </w:p>
    <w:p w14:paraId="3C6C4D34" w14:textId="13A4E8CE" w:rsidR="00AF3F04" w:rsidRPr="0034477B" w:rsidRDefault="00AF3F04" w:rsidP="00AF3F04">
      <w:pPr>
        <w:ind w:firstLine="708"/>
        <w:jc w:val="both"/>
        <w:rPr>
          <w:rFonts w:ascii="Cambria" w:hAnsi="Cambria" w:cstheme="majorHAnsi"/>
          <w:color w:val="222222"/>
          <w:shd w:val="clear" w:color="auto" w:fill="FFFFFF"/>
        </w:rPr>
      </w:pPr>
      <w:r>
        <w:rPr>
          <w:rFonts w:ascii="Cambria" w:hAnsi="Cambria" w:cstheme="majorHAnsi"/>
          <w:color w:val="222222"/>
          <w:shd w:val="clear" w:color="auto" w:fill="FFFFFF"/>
        </w:rPr>
        <w:lastRenderedPageBreak/>
        <w:t xml:space="preserve">Разликата между </w:t>
      </w:r>
      <w:r>
        <w:rPr>
          <w:rFonts w:ascii="Cambria" w:hAnsi="Cambria" w:cstheme="majorHAnsi"/>
          <w:i/>
          <w:iCs/>
          <w:color w:val="222222"/>
          <w:shd w:val="clear" w:color="auto" w:fill="FFFFFF"/>
        </w:rPr>
        <w:t xml:space="preserve">„допустимост“ 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и </w:t>
      </w:r>
      <w:r>
        <w:rPr>
          <w:rFonts w:ascii="Cambria" w:hAnsi="Cambria" w:cstheme="majorHAnsi"/>
          <w:i/>
          <w:iCs/>
          <w:color w:val="222222"/>
          <w:shd w:val="clear" w:color="auto" w:fill="FFFFFF"/>
        </w:rPr>
        <w:t>„съобразност“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 е в 4-степенния анализ за определянето на една икономическа дейност като устойчива. Ако дейността е посочена в Таксономията, тя е „</w:t>
      </w:r>
      <w:r w:rsidRPr="00C7437C">
        <w:rPr>
          <w:rFonts w:ascii="Cambria" w:hAnsi="Cambria" w:cstheme="majorHAnsi"/>
          <w:i/>
          <w:iCs/>
          <w:color w:val="222222"/>
          <w:shd w:val="clear" w:color="auto" w:fill="FFFFFF"/>
        </w:rPr>
        <w:t>допустима</w:t>
      </w:r>
      <w:r>
        <w:rPr>
          <w:rFonts w:ascii="Cambria" w:hAnsi="Cambria" w:cstheme="majorHAnsi"/>
          <w:color w:val="222222"/>
          <w:shd w:val="clear" w:color="auto" w:fill="FFFFFF"/>
        </w:rPr>
        <w:t>.“ Ако тя отговаря на техническите критерии за  дадена „зелена“ дейност, не нанася значителни вреди на определените екологични цели и спазва</w:t>
      </w:r>
      <w:r w:rsidRPr="003A3C14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>
        <w:rPr>
          <w:rFonts w:ascii="Cambria" w:hAnsi="Cambria" w:cstheme="majorHAnsi"/>
          <w:color w:val="222222"/>
          <w:shd w:val="clear" w:color="auto" w:fill="FFFFFF"/>
        </w:rPr>
        <w:t>минималните гаранции в областта на правата на човека и трудовите права, тогава тя се счита за „съобразена.“ Задължението на предприятията е да оповестят дела на „</w:t>
      </w:r>
      <w:r w:rsidRPr="00C7437C">
        <w:rPr>
          <w:rFonts w:ascii="Cambria" w:hAnsi="Cambria" w:cstheme="majorHAnsi"/>
          <w:i/>
          <w:iCs/>
          <w:color w:val="222222"/>
          <w:shd w:val="clear" w:color="auto" w:fill="FFFFFF"/>
        </w:rPr>
        <w:t>допустимите</w:t>
      </w:r>
      <w:r>
        <w:rPr>
          <w:rFonts w:ascii="Cambria" w:hAnsi="Cambria" w:cstheme="majorHAnsi"/>
          <w:color w:val="222222"/>
          <w:shd w:val="clear" w:color="auto" w:fill="FFFFFF"/>
        </w:rPr>
        <w:t>“ и „</w:t>
      </w:r>
      <w:r>
        <w:rPr>
          <w:rFonts w:ascii="Cambria" w:hAnsi="Cambria" w:cstheme="majorHAnsi"/>
          <w:i/>
          <w:iCs/>
          <w:color w:val="222222"/>
          <w:shd w:val="clear" w:color="auto" w:fill="FFFFFF"/>
        </w:rPr>
        <w:t>съобразните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“ икономически дейности от общия си оборот, капиталовите и оперативните разходи, както и </w:t>
      </w:r>
      <w:r w:rsidR="004607BE">
        <w:rPr>
          <w:rFonts w:ascii="Cambria" w:hAnsi="Cambria" w:cstheme="majorHAnsi"/>
          <w:color w:val="222222"/>
          <w:shd w:val="clear" w:color="auto" w:fill="FFFFFF"/>
        </w:rPr>
        <w:t>свързана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 качествена информация. </w:t>
      </w:r>
    </w:p>
    <w:p w14:paraId="7874B7E3" w14:textId="6D87D413" w:rsidR="00FC2F13" w:rsidRPr="0034477B" w:rsidRDefault="00AF3F04" w:rsidP="00A60038">
      <w:pPr>
        <w:jc w:val="both"/>
        <w:rPr>
          <w:rFonts w:ascii="Cambria" w:hAnsi="Cambria" w:cstheme="majorHAnsi"/>
          <w:b/>
          <w:bCs/>
          <w:color w:val="222222"/>
          <w:shd w:val="clear" w:color="auto" w:fill="FFFFFF"/>
        </w:rPr>
      </w:pPr>
      <w:r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982E70">
        <w:rPr>
          <w:rFonts w:ascii="Cambria" w:hAnsi="Cambria" w:cstheme="majorHAnsi"/>
          <w:color w:val="222222"/>
          <w:shd w:val="clear" w:color="auto" w:fill="FFFFFF"/>
        </w:rPr>
        <w:tab/>
      </w:r>
      <w:r>
        <w:rPr>
          <w:rFonts w:ascii="Cambria" w:hAnsi="Cambria" w:cstheme="majorHAnsi"/>
          <w:color w:val="222222"/>
          <w:shd w:val="clear" w:color="auto" w:fill="FFFFFF"/>
        </w:rPr>
        <w:t xml:space="preserve">Тук е важно да отбележим, че техническите показатели в Таксономията могат да бъдат използвани за определянето на стратегически цели от предприятия, които искат да станат устойчиви и да привлекат инвестиции. В този смисъл, ако дадена икономическа дейност е определена за допустима, но не отговаря на техническите критерии за „съобразност“, Таксономията признава инвестиции, които са </w:t>
      </w:r>
      <w:r w:rsidR="000058B7">
        <w:rPr>
          <w:rFonts w:ascii="Cambria" w:hAnsi="Cambria" w:cstheme="majorHAnsi"/>
          <w:color w:val="222222"/>
          <w:shd w:val="clear" w:color="auto" w:fill="FFFFFF"/>
        </w:rPr>
        <w:t xml:space="preserve">насочени към тяхното постигане. </w:t>
      </w:r>
      <w:r>
        <w:rPr>
          <w:rFonts w:ascii="Cambria" w:hAnsi="Cambria" w:cstheme="majorHAnsi"/>
          <w:color w:val="222222"/>
          <w:shd w:val="clear" w:color="auto" w:fill="FFFFFF"/>
        </w:rPr>
        <w:t>Така ЕС „възнаграждава“ предприятията ориентирани към бъдещето, които взимат предвид климатичните рискове и поемат по пътя към екологична устойчивост.</w:t>
      </w:r>
    </w:p>
    <w:p w14:paraId="269A64AD" w14:textId="2397250A" w:rsidR="00A60038" w:rsidRPr="0034477B" w:rsidRDefault="00A60038" w:rsidP="00A60038">
      <w:pPr>
        <w:jc w:val="both"/>
        <w:rPr>
          <w:rFonts w:ascii="Cambria" w:hAnsi="Cambria" w:cstheme="majorHAnsi"/>
          <w:b/>
          <w:bCs/>
          <w:color w:val="222222"/>
          <w:shd w:val="clear" w:color="auto" w:fill="FFFFFF"/>
        </w:rPr>
      </w:pPr>
      <w:r w:rsidRPr="004607BE">
        <w:rPr>
          <w:rFonts w:ascii="Cambria" w:hAnsi="Cambria" w:cstheme="majorHAnsi"/>
          <w:b/>
          <w:bCs/>
          <w:color w:val="222222"/>
          <w:u w:val="single"/>
          <w:shd w:val="clear" w:color="auto" w:fill="FFFFFF"/>
        </w:rPr>
        <w:t>Българският бизнес и възможните следващи стъпки</w:t>
      </w:r>
    </w:p>
    <w:p w14:paraId="3AA2D544" w14:textId="47C1FB8F" w:rsidR="00D01ED9" w:rsidRPr="004607BE" w:rsidRDefault="00D01ED9" w:rsidP="00D01ED9">
      <w:pPr>
        <w:ind w:firstLine="360"/>
        <w:jc w:val="both"/>
        <w:rPr>
          <w:rFonts w:ascii="Cambria" w:hAnsi="Cambria" w:cstheme="majorHAnsi"/>
          <w:color w:val="222222"/>
          <w:shd w:val="clear" w:color="auto" w:fill="FFFFFF"/>
        </w:rPr>
      </w:pPr>
      <w:r w:rsidRPr="004607BE">
        <w:rPr>
          <w:rFonts w:ascii="Cambria" w:hAnsi="Cambria" w:cstheme="majorHAnsi"/>
          <w:color w:val="222222"/>
          <w:shd w:val="clear" w:color="auto" w:fill="FFFFFF"/>
        </w:rPr>
        <w:t>Българските</w:t>
      </w:r>
      <w:r w:rsidR="00E67BBF" w:rsidRPr="004607BE">
        <w:rPr>
          <w:rFonts w:ascii="Cambria" w:hAnsi="Cambria" w:cstheme="majorHAnsi"/>
          <w:color w:val="222222"/>
          <w:shd w:val="clear" w:color="auto" w:fill="FFFFFF"/>
        </w:rPr>
        <w:t xml:space="preserve"> предприятия </w:t>
      </w:r>
      <w:r w:rsidRPr="004607BE">
        <w:rPr>
          <w:rFonts w:ascii="Cambria" w:hAnsi="Cambria" w:cstheme="majorHAnsi"/>
          <w:color w:val="222222"/>
          <w:shd w:val="clear" w:color="auto" w:fill="FFFFFF"/>
        </w:rPr>
        <w:t>ще трябва да отделят време</w:t>
      </w:r>
      <w:r w:rsidR="00896E69">
        <w:rPr>
          <w:rFonts w:ascii="Cambria" w:hAnsi="Cambria" w:cstheme="majorHAnsi"/>
          <w:color w:val="222222"/>
          <w:shd w:val="clear" w:color="auto" w:fill="FFFFFF"/>
        </w:rPr>
        <w:t xml:space="preserve"> и усилия</w:t>
      </w:r>
      <w:r w:rsidR="00A60038" w:rsidRPr="004607BE">
        <w:rPr>
          <w:rFonts w:ascii="Cambria" w:hAnsi="Cambria" w:cstheme="majorHAnsi"/>
          <w:color w:val="222222"/>
          <w:shd w:val="clear" w:color="auto" w:fill="FFFFFF"/>
        </w:rPr>
        <w:t>,</w:t>
      </w:r>
      <w:r w:rsidR="00886CB1" w:rsidRPr="004607BE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Pr="004607BE">
        <w:rPr>
          <w:rFonts w:ascii="Cambria" w:hAnsi="Cambria" w:cstheme="majorHAnsi"/>
          <w:color w:val="222222"/>
          <w:shd w:val="clear" w:color="auto" w:fill="FFFFFF"/>
        </w:rPr>
        <w:t>за</w:t>
      </w:r>
      <w:r w:rsidR="00E67BBF" w:rsidRPr="004607BE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Pr="004607BE">
        <w:rPr>
          <w:rFonts w:ascii="Cambria" w:hAnsi="Cambria" w:cstheme="majorHAnsi"/>
          <w:color w:val="222222"/>
          <w:shd w:val="clear" w:color="auto" w:fill="FFFFFF"/>
        </w:rPr>
        <w:t xml:space="preserve">да отговорят на </w:t>
      </w:r>
      <w:r w:rsidR="00E67BBF" w:rsidRPr="004607BE">
        <w:rPr>
          <w:rFonts w:ascii="Cambria" w:hAnsi="Cambria" w:cstheme="majorHAnsi"/>
          <w:color w:val="222222"/>
          <w:shd w:val="clear" w:color="auto" w:fill="FFFFFF"/>
        </w:rPr>
        <w:t xml:space="preserve">разширените изисквания за оповестяване </w:t>
      </w:r>
      <w:r w:rsidR="00F923CD">
        <w:rPr>
          <w:rFonts w:ascii="Cambria" w:hAnsi="Cambria" w:cstheme="majorHAnsi"/>
          <w:color w:val="222222"/>
          <w:shd w:val="clear" w:color="auto" w:fill="FFFFFF"/>
        </w:rPr>
        <w:t>съгласно</w:t>
      </w:r>
      <w:r w:rsidR="00F923CD" w:rsidRPr="004607BE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E67BBF" w:rsidRPr="004607BE">
        <w:rPr>
          <w:rFonts w:ascii="Cambria" w:hAnsi="Cambria" w:cstheme="majorHAnsi"/>
          <w:color w:val="222222"/>
          <w:shd w:val="clear" w:color="auto" w:fill="FFFFFF"/>
        </w:rPr>
        <w:t>CSRD</w:t>
      </w:r>
      <w:r w:rsidR="002023E6" w:rsidRPr="004607BE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A60038" w:rsidRPr="004607BE">
        <w:rPr>
          <w:rFonts w:ascii="Cambria" w:hAnsi="Cambria" w:cstheme="majorHAnsi"/>
          <w:color w:val="222222"/>
          <w:shd w:val="clear" w:color="auto" w:fill="FFFFFF"/>
        </w:rPr>
        <w:t>и</w:t>
      </w:r>
      <w:r w:rsidR="002023E6" w:rsidRPr="004607BE">
        <w:rPr>
          <w:rFonts w:ascii="Cambria" w:hAnsi="Cambria" w:cstheme="majorHAnsi"/>
          <w:color w:val="222222"/>
          <w:shd w:val="clear" w:color="auto" w:fill="FFFFFF"/>
        </w:rPr>
        <w:t xml:space="preserve"> Таксономията.</w:t>
      </w:r>
      <w:r w:rsidR="000E2759" w:rsidRPr="004607BE">
        <w:rPr>
          <w:rFonts w:ascii="Cambria" w:hAnsi="Cambria" w:cstheme="majorHAnsi"/>
          <w:color w:val="222222"/>
          <w:shd w:val="clear" w:color="auto" w:fill="FFFFFF"/>
        </w:rPr>
        <w:t xml:space="preserve"> Готови ли са те за новите ангажименти?</w:t>
      </w:r>
    </w:p>
    <w:p w14:paraId="0C91380C" w14:textId="0EDFCBA6" w:rsidR="00896E69" w:rsidRDefault="00896E69" w:rsidP="00FA7105">
      <w:pPr>
        <w:ind w:firstLine="360"/>
        <w:jc w:val="both"/>
        <w:rPr>
          <w:rFonts w:ascii="Cambria" w:hAnsi="Cambria" w:cstheme="majorHAnsi"/>
          <w:color w:val="222222"/>
          <w:shd w:val="clear" w:color="auto" w:fill="FFFFFF"/>
        </w:rPr>
      </w:pPr>
      <w:r>
        <w:rPr>
          <w:rFonts w:ascii="Cambria" w:hAnsi="Cambria" w:cstheme="majorHAnsi"/>
          <w:color w:val="222222"/>
          <w:shd w:val="clear" w:color="auto" w:fill="FFFFFF"/>
        </w:rPr>
        <w:t>Проучване</w:t>
      </w:r>
      <w:r w:rsidR="00D01ED9" w:rsidRPr="004607BE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F923CD">
        <w:rPr>
          <w:rFonts w:ascii="Cambria" w:hAnsi="Cambria" w:cstheme="majorHAnsi"/>
          <w:color w:val="222222"/>
          <w:shd w:val="clear" w:color="auto" w:fill="FFFFFF"/>
        </w:rPr>
        <w:t>на</w:t>
      </w:r>
      <w:r w:rsidR="00F923CD" w:rsidRPr="004607BE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D01ED9" w:rsidRPr="004607BE">
        <w:rPr>
          <w:rFonts w:ascii="Cambria" w:hAnsi="Cambria" w:cstheme="majorHAnsi"/>
          <w:color w:val="222222"/>
          <w:shd w:val="clear" w:color="auto" w:fill="FFFFFF"/>
        </w:rPr>
        <w:t>Българската</w:t>
      </w:r>
      <w:r w:rsidR="002023E6" w:rsidRPr="004607BE">
        <w:rPr>
          <w:rFonts w:ascii="Cambria" w:hAnsi="Cambria" w:cstheme="majorHAnsi"/>
          <w:color w:val="222222"/>
          <w:shd w:val="clear" w:color="auto" w:fill="FFFFFF"/>
        </w:rPr>
        <w:t xml:space="preserve"> фондова борса</w:t>
      </w:r>
      <w:r w:rsidR="006138A0" w:rsidRPr="004607BE">
        <w:rPr>
          <w:rFonts w:ascii="Cambria" w:hAnsi="Cambria" w:cstheme="majorHAnsi"/>
          <w:color w:val="222222"/>
          <w:shd w:val="clear" w:color="auto" w:fill="FFFFFF"/>
        </w:rPr>
        <w:t xml:space="preserve"> от 2021 г.,</w:t>
      </w:r>
      <w:r w:rsidR="00596999">
        <w:rPr>
          <w:rStyle w:val="FootnoteReference"/>
          <w:rFonts w:ascii="Cambria" w:hAnsi="Cambria" w:cstheme="majorHAnsi"/>
          <w:color w:val="222222"/>
          <w:shd w:val="clear" w:color="auto" w:fill="FFFFFF"/>
        </w:rPr>
        <w:footnoteReference w:id="10"/>
      </w:r>
      <w:r w:rsidR="006138A0" w:rsidRPr="004607BE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посочва, че фирмите </w:t>
      </w:r>
      <w:r w:rsidR="00F923CD">
        <w:rPr>
          <w:rFonts w:ascii="Cambria" w:hAnsi="Cambria" w:cstheme="majorHAnsi"/>
          <w:color w:val="222222"/>
          <w:shd w:val="clear" w:color="auto" w:fill="FFFFFF"/>
        </w:rPr>
        <w:t xml:space="preserve">до известна степен са наясно с </w:t>
      </w:r>
      <w:r w:rsidR="006138A0" w:rsidRPr="004607BE">
        <w:rPr>
          <w:rFonts w:ascii="Cambria" w:hAnsi="Cambria" w:cstheme="majorHAnsi"/>
          <w:color w:val="222222"/>
          <w:shd w:val="clear" w:color="auto" w:fill="FFFFFF"/>
        </w:rPr>
        <w:t xml:space="preserve">предстоящите промени свързани с ESG-управлението. В </w:t>
      </w:r>
      <w:r w:rsidR="00D71109">
        <w:rPr>
          <w:rFonts w:ascii="Cambria" w:hAnsi="Cambria" w:cstheme="majorHAnsi"/>
          <w:color w:val="222222"/>
          <w:shd w:val="clear" w:color="auto" w:fill="FFFFFF"/>
        </w:rPr>
        <w:t>него</w:t>
      </w:r>
      <w:r w:rsidR="006138A0" w:rsidRPr="004607BE">
        <w:rPr>
          <w:rFonts w:ascii="Cambria" w:hAnsi="Cambria" w:cstheme="majorHAnsi"/>
          <w:color w:val="222222"/>
          <w:shd w:val="clear" w:color="auto" w:fill="FFFFFF"/>
        </w:rPr>
        <w:t xml:space="preserve"> се посочва, че</w:t>
      </w:r>
      <w:r w:rsidR="00D01ED9" w:rsidRPr="004607BE">
        <w:rPr>
          <w:rFonts w:ascii="Cambria" w:hAnsi="Cambria" w:cstheme="majorHAnsi"/>
          <w:color w:val="222222"/>
          <w:shd w:val="clear" w:color="auto" w:fill="FFFFFF"/>
        </w:rPr>
        <w:t xml:space="preserve"> почти 60% от респондентите </w:t>
      </w:r>
      <w:r w:rsidR="002023E6" w:rsidRPr="004607BE">
        <w:rPr>
          <w:rFonts w:ascii="Cambria" w:hAnsi="Cambria" w:cstheme="majorHAnsi"/>
          <w:color w:val="222222"/>
          <w:shd w:val="clear" w:color="auto" w:fill="FFFFFF"/>
        </w:rPr>
        <w:t>извършват ESG мониторинг и отчитане</w:t>
      </w:r>
      <w:r w:rsidR="00D01ED9" w:rsidRPr="004607BE">
        <w:rPr>
          <w:rFonts w:ascii="Cambria" w:hAnsi="Cambria" w:cstheme="majorHAnsi"/>
          <w:color w:val="222222"/>
          <w:shd w:val="clear" w:color="auto" w:fill="FFFFFF"/>
        </w:rPr>
        <w:t xml:space="preserve">, но по-голямата част от участниците </w:t>
      </w:r>
      <w:r w:rsidR="000E2759" w:rsidRPr="004607BE">
        <w:rPr>
          <w:rFonts w:ascii="Cambria" w:hAnsi="Cambria" w:cstheme="majorHAnsi"/>
          <w:color w:val="222222"/>
          <w:shd w:val="clear" w:color="auto" w:fill="FFFFFF"/>
        </w:rPr>
        <w:t xml:space="preserve">в анкетата не </w:t>
      </w:r>
      <w:r w:rsidR="00F923CD">
        <w:rPr>
          <w:rFonts w:ascii="Cambria" w:hAnsi="Cambria" w:cstheme="majorHAnsi"/>
          <w:color w:val="222222"/>
          <w:shd w:val="clear" w:color="auto" w:fill="FFFFFF"/>
        </w:rPr>
        <w:t xml:space="preserve">прилагат все още </w:t>
      </w:r>
      <w:r w:rsidR="000E2759" w:rsidRPr="004607BE">
        <w:rPr>
          <w:rFonts w:ascii="Cambria" w:hAnsi="Cambria" w:cstheme="majorHAnsi"/>
          <w:color w:val="222222"/>
          <w:shd w:val="clear" w:color="auto" w:fill="FFFFFF"/>
        </w:rPr>
        <w:t xml:space="preserve">количествени измерители за определяне на напредъка на поставените ESG цели. </w:t>
      </w:r>
      <w:r w:rsidR="00780DEE" w:rsidRPr="004607BE">
        <w:rPr>
          <w:rFonts w:ascii="Cambria" w:hAnsi="Cambria" w:cstheme="majorHAnsi"/>
          <w:color w:val="222222"/>
          <w:shd w:val="clear" w:color="auto" w:fill="FFFFFF"/>
        </w:rPr>
        <w:t>Интересн</w:t>
      </w:r>
      <w:r w:rsidR="00A60038" w:rsidRPr="004607BE">
        <w:rPr>
          <w:rFonts w:ascii="Cambria" w:hAnsi="Cambria" w:cstheme="majorHAnsi"/>
          <w:color w:val="222222"/>
          <w:shd w:val="clear" w:color="auto" w:fill="FFFFFF"/>
        </w:rPr>
        <w:t>и</w:t>
      </w:r>
      <w:r w:rsidR="00780DEE" w:rsidRPr="004607BE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A60038" w:rsidRPr="004607BE">
        <w:rPr>
          <w:rFonts w:ascii="Cambria" w:hAnsi="Cambria" w:cstheme="majorHAnsi"/>
          <w:color w:val="222222"/>
          <w:shd w:val="clear" w:color="auto" w:fill="FFFFFF"/>
        </w:rPr>
        <w:t>са</w:t>
      </w:r>
      <w:r w:rsidR="00780DEE" w:rsidRPr="004607BE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A60038" w:rsidRPr="004607BE">
        <w:rPr>
          <w:rFonts w:ascii="Cambria" w:hAnsi="Cambria" w:cstheme="majorHAnsi"/>
          <w:color w:val="222222"/>
          <w:shd w:val="clear" w:color="auto" w:fill="FFFFFF"/>
        </w:rPr>
        <w:t xml:space="preserve">и </w:t>
      </w:r>
      <w:r w:rsidR="00780DEE" w:rsidRPr="004607BE">
        <w:rPr>
          <w:rFonts w:ascii="Cambria" w:hAnsi="Cambria" w:cstheme="majorHAnsi"/>
          <w:color w:val="222222"/>
          <w:shd w:val="clear" w:color="auto" w:fill="FFFFFF"/>
        </w:rPr>
        <w:t>резултат</w:t>
      </w:r>
      <w:r w:rsidR="00A60038" w:rsidRPr="004607BE">
        <w:rPr>
          <w:rFonts w:ascii="Cambria" w:hAnsi="Cambria" w:cstheme="majorHAnsi"/>
          <w:color w:val="222222"/>
          <w:shd w:val="clear" w:color="auto" w:fill="FFFFFF"/>
        </w:rPr>
        <w:t>ите на Инициативата за корпоративна прозрачност, която изследва</w:t>
      </w:r>
      <w:r w:rsidR="00780DEE" w:rsidRPr="004607BE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A60038" w:rsidRPr="004607BE">
        <w:rPr>
          <w:rFonts w:ascii="Cambria" w:hAnsi="Cambria" w:cstheme="majorHAnsi"/>
          <w:color w:val="222222"/>
          <w:shd w:val="clear" w:color="auto" w:fill="FFFFFF"/>
        </w:rPr>
        <w:t>нефинансовата информация на задължените предприятията в България.</w:t>
      </w:r>
      <w:r w:rsidR="00596999">
        <w:rPr>
          <w:rStyle w:val="FootnoteReference"/>
          <w:rFonts w:ascii="Cambria" w:hAnsi="Cambria" w:cstheme="majorHAnsi"/>
          <w:color w:val="222222"/>
          <w:shd w:val="clear" w:color="auto" w:fill="FFFFFF"/>
        </w:rPr>
        <w:footnoteReference w:id="11"/>
      </w:r>
      <w:r w:rsidR="00A60038" w:rsidRPr="004607BE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>
        <w:rPr>
          <w:rFonts w:ascii="Cambria" w:hAnsi="Cambria" w:cstheme="majorHAnsi"/>
          <w:color w:val="222222"/>
          <w:shd w:val="clear" w:color="auto" w:fill="FFFFFF"/>
        </w:rPr>
        <w:t>В тях</w:t>
      </w:r>
      <w:r w:rsidR="00886CB1" w:rsidRPr="004607BE">
        <w:rPr>
          <w:rFonts w:ascii="Cambria" w:hAnsi="Cambria" w:cstheme="majorHAnsi"/>
          <w:color w:val="222222"/>
          <w:shd w:val="clear" w:color="auto" w:fill="FFFFFF"/>
        </w:rPr>
        <w:t xml:space="preserve"> също</w:t>
      </w:r>
      <w:r w:rsidR="006138A0" w:rsidRPr="004607BE">
        <w:rPr>
          <w:rFonts w:ascii="Cambria" w:hAnsi="Cambria" w:cstheme="majorHAnsi"/>
          <w:color w:val="222222"/>
          <w:shd w:val="clear" w:color="auto" w:fill="FFFFFF"/>
        </w:rPr>
        <w:t xml:space="preserve"> се</w:t>
      </w:r>
      <w:r w:rsidR="00886CB1" w:rsidRPr="004607BE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FA7105" w:rsidRPr="004607BE">
        <w:rPr>
          <w:rFonts w:ascii="Cambria" w:hAnsi="Cambria" w:cstheme="majorHAnsi"/>
          <w:color w:val="222222"/>
          <w:shd w:val="clear" w:color="auto" w:fill="FFFFFF"/>
        </w:rPr>
        <w:t>посочват</w:t>
      </w:r>
      <w:r w:rsidR="00886CB1" w:rsidRPr="004607BE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F923CD">
        <w:rPr>
          <w:rFonts w:ascii="Cambria" w:hAnsi="Cambria" w:cstheme="majorHAnsi"/>
          <w:color w:val="222222"/>
          <w:shd w:val="clear" w:color="auto" w:fill="FFFFFF"/>
        </w:rPr>
        <w:t xml:space="preserve">пропуски </w:t>
      </w:r>
      <w:r w:rsidR="00886CB1" w:rsidRPr="004607BE">
        <w:rPr>
          <w:rFonts w:ascii="Cambria" w:hAnsi="Cambria" w:cstheme="majorHAnsi"/>
          <w:color w:val="222222"/>
          <w:shd w:val="clear" w:color="auto" w:fill="FFFFFF"/>
        </w:rPr>
        <w:t>в съдържанието</w:t>
      </w:r>
      <w:r w:rsidR="00FA7105" w:rsidRPr="004607BE">
        <w:rPr>
          <w:rFonts w:ascii="Cambria" w:hAnsi="Cambria" w:cstheme="majorHAnsi"/>
          <w:color w:val="222222"/>
          <w:shd w:val="clear" w:color="auto" w:fill="FFFFFF"/>
        </w:rPr>
        <w:t xml:space="preserve"> на докладите, като се отбелязва, че </w:t>
      </w:r>
      <w:r w:rsidR="003169B1" w:rsidRPr="004607BE">
        <w:rPr>
          <w:rFonts w:ascii="Cambria" w:hAnsi="Cambria" w:cstheme="majorHAnsi"/>
          <w:color w:val="222222"/>
          <w:shd w:val="clear" w:color="auto" w:fill="FFFFFF"/>
        </w:rPr>
        <w:t>дружествата все още не са въвели системи за събиране, анализ и отчитане на данни</w:t>
      </w:r>
      <w:r w:rsidR="00F923CD">
        <w:rPr>
          <w:rFonts w:ascii="Cambria" w:hAnsi="Cambria" w:cstheme="majorHAnsi"/>
          <w:color w:val="222222"/>
          <w:shd w:val="clear" w:color="auto" w:fill="FFFFFF"/>
        </w:rPr>
        <w:t>,</w:t>
      </w:r>
      <w:r w:rsidR="00886CB1" w:rsidRPr="004607BE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F923CD">
        <w:rPr>
          <w:rFonts w:ascii="Cambria" w:hAnsi="Cambria" w:cstheme="majorHAnsi"/>
          <w:color w:val="222222"/>
          <w:shd w:val="clear" w:color="auto" w:fill="FFFFFF"/>
        </w:rPr>
        <w:t>както и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 че „относително малко компании“ докладват за целите и рисковете от климатичните промени в контекста на зеления преход. </w:t>
      </w:r>
    </w:p>
    <w:p w14:paraId="5A3B3B6E" w14:textId="4D17D52C" w:rsidR="00886CB1" w:rsidRPr="00D71109" w:rsidRDefault="00F923CD" w:rsidP="00D71109">
      <w:pPr>
        <w:ind w:firstLine="360"/>
        <w:jc w:val="both"/>
      </w:pPr>
      <w:r>
        <w:rPr>
          <w:rFonts w:ascii="Cambria" w:hAnsi="Cambria" w:cstheme="majorHAnsi"/>
          <w:color w:val="222222"/>
          <w:shd w:val="clear" w:color="auto" w:fill="FFFFFF"/>
        </w:rPr>
        <w:t>Нарастващите изисквани</w:t>
      </w:r>
      <w:r w:rsidR="00AA1063">
        <w:rPr>
          <w:rFonts w:ascii="Cambria" w:hAnsi="Cambria" w:cstheme="majorHAnsi"/>
          <w:color w:val="222222"/>
          <w:shd w:val="clear" w:color="auto" w:fill="FFFFFF"/>
        </w:rPr>
        <w:t>я</w:t>
      </w:r>
      <w:r>
        <w:rPr>
          <w:rFonts w:ascii="Cambria" w:hAnsi="Cambria" w:cstheme="majorHAnsi"/>
          <w:color w:val="222222"/>
          <w:shd w:val="clear" w:color="auto" w:fill="FFFFFF"/>
        </w:rPr>
        <w:t xml:space="preserve"> за </w:t>
      </w:r>
      <w:r w:rsidR="00AA1063">
        <w:rPr>
          <w:rFonts w:ascii="Cambria" w:hAnsi="Cambria" w:cstheme="majorHAnsi"/>
          <w:color w:val="222222"/>
          <w:shd w:val="clear" w:color="auto" w:fill="FFFFFF"/>
        </w:rPr>
        <w:t xml:space="preserve">отчитане във връзка с устойчивостта са както предизвикателство така и </w:t>
      </w:r>
      <w:r w:rsidR="00896E69" w:rsidRPr="00D71109">
        <w:rPr>
          <w:rFonts w:ascii="Cambria" w:hAnsi="Cambria" w:cstheme="majorHAnsi"/>
          <w:color w:val="222222"/>
          <w:shd w:val="clear" w:color="auto" w:fill="FFFFFF"/>
        </w:rPr>
        <w:t>възможност</w:t>
      </w:r>
      <w:r w:rsidR="00AA1063">
        <w:rPr>
          <w:rFonts w:ascii="Cambria" w:hAnsi="Cambria" w:cstheme="majorHAnsi"/>
          <w:color w:val="222222"/>
          <w:shd w:val="clear" w:color="auto" w:fill="FFFFFF"/>
        </w:rPr>
        <w:t xml:space="preserve"> за предприятията да се отличат, да бъде по-прозрачни и да привлекат нови партньори</w:t>
      </w:r>
      <w:r w:rsidR="00896E69" w:rsidRPr="00D71109">
        <w:rPr>
          <w:rFonts w:ascii="Cambria" w:hAnsi="Cambria" w:cstheme="majorHAnsi"/>
          <w:color w:val="222222"/>
          <w:shd w:val="clear" w:color="auto" w:fill="FFFFFF"/>
        </w:rPr>
        <w:t>.</w:t>
      </w:r>
      <w:r w:rsidR="000B7B35" w:rsidRPr="00D71109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AA1063">
        <w:rPr>
          <w:rFonts w:ascii="Cambria" w:hAnsi="Cambria" w:cstheme="majorHAnsi"/>
          <w:color w:val="222222"/>
          <w:shd w:val="clear" w:color="auto" w:fill="FFFFFF"/>
        </w:rPr>
        <w:t>Тези</w:t>
      </w:r>
      <w:r w:rsidR="000B7B35" w:rsidRPr="00D71109">
        <w:rPr>
          <w:rFonts w:ascii="Cambria" w:hAnsi="Cambria" w:cstheme="majorHAnsi"/>
          <w:color w:val="222222"/>
          <w:shd w:val="clear" w:color="auto" w:fill="FFFFFF"/>
        </w:rPr>
        <w:t xml:space="preserve">, които </w:t>
      </w:r>
      <w:r w:rsidR="00AA1063">
        <w:rPr>
          <w:rFonts w:ascii="Cambria" w:hAnsi="Cambria" w:cstheme="majorHAnsi"/>
          <w:color w:val="222222"/>
          <w:shd w:val="clear" w:color="auto" w:fill="FFFFFF"/>
        </w:rPr>
        <w:t xml:space="preserve">заложат устойчиви цели в своите </w:t>
      </w:r>
      <w:r w:rsidR="000B7B35" w:rsidRPr="00D71109">
        <w:rPr>
          <w:rFonts w:ascii="Cambria" w:hAnsi="Cambria" w:cstheme="majorHAnsi"/>
          <w:color w:val="222222"/>
          <w:shd w:val="clear" w:color="auto" w:fill="FFFFFF"/>
        </w:rPr>
        <w:t>стратеги</w:t>
      </w:r>
      <w:r w:rsidR="00AA1063">
        <w:rPr>
          <w:rFonts w:ascii="Cambria" w:hAnsi="Cambria" w:cstheme="majorHAnsi"/>
          <w:color w:val="222222"/>
          <w:shd w:val="clear" w:color="auto" w:fill="FFFFFF"/>
        </w:rPr>
        <w:t>и,</w:t>
      </w:r>
      <w:r w:rsidR="000B7B35" w:rsidRPr="00D71109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AA1063">
        <w:rPr>
          <w:rFonts w:ascii="Cambria" w:hAnsi="Cambria" w:cstheme="majorHAnsi"/>
          <w:color w:val="222222"/>
          <w:shd w:val="clear" w:color="auto" w:fill="FFFFFF"/>
        </w:rPr>
        <w:t xml:space="preserve">с </w:t>
      </w:r>
      <w:r w:rsidR="000B7B35" w:rsidRPr="00D71109">
        <w:rPr>
          <w:rFonts w:ascii="Cambria" w:hAnsi="Cambria" w:cstheme="majorHAnsi"/>
          <w:color w:val="222222"/>
          <w:shd w:val="clear" w:color="auto" w:fill="FFFFFF"/>
        </w:rPr>
        <w:t>ориентация</w:t>
      </w:r>
      <w:r w:rsidR="00D71109">
        <w:rPr>
          <w:rFonts w:ascii="Cambria" w:hAnsi="Cambria" w:cstheme="majorHAnsi"/>
          <w:color w:val="222222"/>
          <w:shd w:val="clear" w:color="auto" w:fill="FFFFFF"/>
        </w:rPr>
        <w:t xml:space="preserve"> към бъдещето</w:t>
      </w:r>
      <w:r w:rsidR="00AA1063">
        <w:rPr>
          <w:rFonts w:ascii="Cambria" w:hAnsi="Cambria" w:cstheme="majorHAnsi"/>
          <w:color w:val="222222"/>
          <w:shd w:val="clear" w:color="auto" w:fill="FFFFFF"/>
        </w:rPr>
        <w:t>,</w:t>
      </w:r>
      <w:r w:rsidR="00D71109">
        <w:rPr>
          <w:rFonts w:ascii="Cambria" w:hAnsi="Cambria" w:cstheme="majorHAnsi"/>
          <w:color w:val="222222"/>
          <w:shd w:val="clear" w:color="auto" w:fill="FFFFFF"/>
        </w:rPr>
        <w:t xml:space="preserve"> </w:t>
      </w:r>
      <w:r w:rsidR="00AA1063">
        <w:rPr>
          <w:rFonts w:ascii="Cambria" w:hAnsi="Cambria" w:cstheme="majorHAnsi"/>
          <w:color w:val="222222"/>
          <w:shd w:val="clear" w:color="auto" w:fill="FFFFFF"/>
        </w:rPr>
        <w:t xml:space="preserve">ще </w:t>
      </w:r>
      <w:r w:rsidR="000B7B35" w:rsidRPr="00D71109">
        <w:rPr>
          <w:rFonts w:ascii="Cambria" w:hAnsi="Cambria" w:cstheme="majorHAnsi"/>
          <w:color w:val="222222"/>
          <w:shd w:val="clear" w:color="auto" w:fill="FFFFFF"/>
        </w:rPr>
        <w:t>създават до</w:t>
      </w:r>
      <w:r w:rsidR="000058B7" w:rsidRPr="00D71109">
        <w:rPr>
          <w:rFonts w:ascii="Cambria" w:hAnsi="Cambria" w:cstheme="majorHAnsi"/>
          <w:color w:val="222222"/>
          <w:shd w:val="clear" w:color="auto" w:fill="FFFFFF"/>
        </w:rPr>
        <w:t>п</w:t>
      </w:r>
      <w:r w:rsidR="000B7B35" w:rsidRPr="00D71109">
        <w:rPr>
          <w:rFonts w:ascii="Cambria" w:hAnsi="Cambria" w:cstheme="majorHAnsi"/>
          <w:color w:val="222222"/>
          <w:shd w:val="clear" w:color="auto" w:fill="FFFFFF"/>
        </w:rPr>
        <w:t>ълнителна стойност за бизнеса си</w:t>
      </w:r>
      <w:r w:rsidR="00AA1063">
        <w:rPr>
          <w:rFonts w:ascii="Cambria" w:hAnsi="Cambria" w:cstheme="majorHAnsi"/>
          <w:color w:val="222222"/>
          <w:shd w:val="clear" w:color="auto" w:fill="FFFFFF"/>
        </w:rPr>
        <w:t xml:space="preserve"> -</w:t>
      </w:r>
      <w:r w:rsidR="000B7B35" w:rsidRPr="00D71109">
        <w:rPr>
          <w:rFonts w:ascii="Cambria" w:hAnsi="Cambria" w:cstheme="majorHAnsi"/>
          <w:color w:val="222222"/>
          <w:shd w:val="clear" w:color="auto" w:fill="FFFFFF"/>
        </w:rPr>
        <w:t xml:space="preserve"> установяване на </w:t>
      </w:r>
      <w:r w:rsidR="00C72AB5" w:rsidRPr="00D71109">
        <w:rPr>
          <w:rFonts w:ascii="Cambria" w:hAnsi="Cambria" w:cstheme="majorHAnsi"/>
          <w:color w:val="222222"/>
          <w:shd w:val="clear" w:color="auto" w:fill="FFFFFF"/>
        </w:rPr>
        <w:t xml:space="preserve">прозрачни бизнес </w:t>
      </w:r>
      <w:r w:rsidR="000B7B35" w:rsidRPr="00D71109">
        <w:rPr>
          <w:rFonts w:ascii="Cambria" w:hAnsi="Cambria" w:cstheme="majorHAnsi"/>
          <w:color w:val="222222"/>
          <w:shd w:val="clear" w:color="auto" w:fill="FFFFFF"/>
        </w:rPr>
        <w:t>отношения с доставчици и партньори, по-добри възможности за финансиране</w:t>
      </w:r>
      <w:r w:rsidR="00CF0703">
        <w:rPr>
          <w:rFonts w:ascii="Cambria" w:hAnsi="Cambria" w:cstheme="majorHAnsi"/>
          <w:color w:val="222222"/>
          <w:shd w:val="clear" w:color="auto" w:fill="FFFFFF"/>
        </w:rPr>
        <w:t xml:space="preserve">, </w:t>
      </w:r>
      <w:r w:rsidR="00CF0703" w:rsidRPr="00D71109">
        <w:rPr>
          <w:rFonts w:ascii="Cambria" w:hAnsi="Cambria" w:cstheme="majorHAnsi"/>
          <w:color w:val="222222"/>
          <w:shd w:val="clear" w:color="auto" w:fill="FFFFFF"/>
        </w:rPr>
        <w:t>по-</w:t>
      </w:r>
      <w:r w:rsidR="00CF0703">
        <w:rPr>
          <w:rFonts w:ascii="Cambria" w:hAnsi="Cambria" w:cstheme="majorHAnsi"/>
          <w:color w:val="222222"/>
          <w:shd w:val="clear" w:color="auto" w:fill="FFFFFF"/>
        </w:rPr>
        <w:t xml:space="preserve">добър имидж на </w:t>
      </w:r>
      <w:r w:rsidR="00CF0703" w:rsidRPr="00D71109">
        <w:rPr>
          <w:rFonts w:ascii="Cambria" w:hAnsi="Cambria" w:cstheme="majorHAnsi"/>
          <w:color w:val="222222"/>
          <w:shd w:val="clear" w:color="auto" w:fill="FFFFFF"/>
        </w:rPr>
        <w:t>работодател</w:t>
      </w:r>
      <w:r w:rsidR="000B7B35" w:rsidRPr="00D71109">
        <w:rPr>
          <w:rFonts w:ascii="Cambria" w:hAnsi="Cambria" w:cstheme="majorHAnsi"/>
          <w:color w:val="222222"/>
          <w:shd w:val="clear" w:color="auto" w:fill="FFFFFF"/>
        </w:rPr>
        <w:t xml:space="preserve"> и</w:t>
      </w:r>
      <w:r w:rsidR="00C72AB5" w:rsidRPr="00D71109">
        <w:rPr>
          <w:rFonts w:ascii="Cambria" w:hAnsi="Cambria" w:cstheme="majorHAnsi"/>
          <w:color w:val="222222"/>
          <w:shd w:val="clear" w:color="auto" w:fill="FFFFFF"/>
        </w:rPr>
        <w:t xml:space="preserve"> от там</w:t>
      </w:r>
      <w:r w:rsidR="000B7B35" w:rsidRPr="00D71109">
        <w:rPr>
          <w:rFonts w:ascii="Cambria" w:hAnsi="Cambria" w:cstheme="majorHAnsi"/>
          <w:color w:val="222222"/>
          <w:shd w:val="clear" w:color="auto" w:fill="FFFFFF"/>
        </w:rPr>
        <w:t xml:space="preserve"> по-високо доверие на </w:t>
      </w:r>
      <w:r w:rsidR="00D71109">
        <w:rPr>
          <w:rFonts w:ascii="Cambria" w:hAnsi="Cambria" w:cstheme="majorHAnsi"/>
          <w:color w:val="222222"/>
          <w:shd w:val="clear" w:color="auto" w:fill="FFFFFF"/>
        </w:rPr>
        <w:t xml:space="preserve">кредиторите, потребителите и обществото в компанията. </w:t>
      </w:r>
    </w:p>
    <w:p w14:paraId="04DEA694" w14:textId="12A0FF57" w:rsidR="00987C41" w:rsidRPr="000D5223" w:rsidRDefault="00987C41">
      <w:pPr>
        <w:rPr>
          <w:b/>
          <w:bCs/>
        </w:rPr>
      </w:pPr>
    </w:p>
    <w:sectPr w:rsidR="00987C41" w:rsidRPr="000D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CD88C" w14:textId="77777777" w:rsidR="00837145" w:rsidRDefault="00837145" w:rsidP="00CC00C6">
      <w:pPr>
        <w:spacing w:after="0" w:line="240" w:lineRule="auto"/>
      </w:pPr>
      <w:r>
        <w:separator/>
      </w:r>
    </w:p>
  </w:endnote>
  <w:endnote w:type="continuationSeparator" w:id="0">
    <w:p w14:paraId="4BB7A846" w14:textId="77777777" w:rsidR="00837145" w:rsidRDefault="00837145" w:rsidP="00CC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DC2D9" w14:textId="77777777" w:rsidR="00837145" w:rsidRDefault="00837145" w:rsidP="00CC00C6">
      <w:pPr>
        <w:spacing w:after="0" w:line="240" w:lineRule="auto"/>
      </w:pPr>
      <w:r>
        <w:separator/>
      </w:r>
    </w:p>
  </w:footnote>
  <w:footnote w:type="continuationSeparator" w:id="0">
    <w:p w14:paraId="41CDE38E" w14:textId="77777777" w:rsidR="00837145" w:rsidRDefault="00837145" w:rsidP="00CC00C6">
      <w:pPr>
        <w:spacing w:after="0" w:line="240" w:lineRule="auto"/>
      </w:pPr>
      <w:r>
        <w:continuationSeparator/>
      </w:r>
    </w:p>
  </w:footnote>
  <w:footnote w:id="1">
    <w:p w14:paraId="592704B2" w14:textId="65870768" w:rsidR="005F05C2" w:rsidRDefault="005F05C2">
      <w:pPr>
        <w:pStyle w:val="FootnoteText"/>
      </w:pPr>
      <w:r>
        <w:rPr>
          <w:rStyle w:val="FootnoteReference"/>
        </w:rPr>
        <w:footnoteRef/>
      </w:r>
      <w:r>
        <w:t xml:space="preserve"> Предложение за Директива на Европейския Парламент и на Съвета за </w:t>
      </w:r>
      <w:proofErr w:type="spellStart"/>
      <w:r>
        <w:t>за</w:t>
      </w:r>
      <w:proofErr w:type="spellEnd"/>
      <w:r>
        <w:t xml:space="preserve"> изменение на Директива 2013/34/ЕС, Директива 2004/109/ЕО, Директива 2006/43/ЕО и Регламент (ЕО) № 537/2014 относно отчитането на предприятията във връзка с устойчивостта</w:t>
      </w:r>
    </w:p>
  </w:footnote>
  <w:footnote w:id="2">
    <w:p w14:paraId="05E27123" w14:textId="635A3FE5" w:rsidR="005F05C2" w:rsidRDefault="005F05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C2F13">
        <w:t>Регламент (ЕС) 2019/2088 на Европейския парламент и на Съвета от 27 ноември 2019 година относно оповестяването на информация във връзка с устойчивостта в сектора на финансовите услуги</w:t>
      </w:r>
    </w:p>
  </w:footnote>
  <w:footnote w:id="3">
    <w:p w14:paraId="335E47C3" w14:textId="336C0F92" w:rsidR="005F05C2" w:rsidRDefault="005F05C2">
      <w:pPr>
        <w:pStyle w:val="FootnoteText"/>
      </w:pPr>
      <w:r>
        <w:rPr>
          <w:rStyle w:val="FootnoteReference"/>
        </w:rPr>
        <w:footnoteRef/>
      </w:r>
      <w:r>
        <w:t xml:space="preserve"> Таксономия на ЕС, отчитане на предприятията във връзка с устойчивостта, предпочитания по отношение на устойчивостта и доверителни задължения: Насочване на финансирането към Европейския зелен пакт</w:t>
      </w:r>
    </w:p>
  </w:footnote>
  <w:footnote w:id="4">
    <w:p w14:paraId="01E0EAD2" w14:textId="46D8F9D6" w:rsidR="005F05C2" w:rsidRDefault="005F05C2">
      <w:pPr>
        <w:pStyle w:val="FootnoteText"/>
      </w:pPr>
      <w:r>
        <w:rPr>
          <w:rStyle w:val="FootnoteReference"/>
        </w:rPr>
        <w:footnoteRef/>
      </w:r>
      <w:r>
        <w:t xml:space="preserve"> Това </w:t>
      </w:r>
      <w:r w:rsidRPr="00596999">
        <w:t xml:space="preserve">са листвани предприятия, </w:t>
      </w:r>
      <w:r>
        <w:t xml:space="preserve">кредитни институции, застрахователи, пенсионноосигурителните дружества и управляваните от тях фондове, инвестиционни посредници и други по смисъла на </w:t>
      </w:r>
      <w:r w:rsidRPr="00596999">
        <w:t>Закона за счетоводството,  §22 от допълнителните разпоредби</w:t>
      </w:r>
      <w:r>
        <w:t>.</w:t>
      </w:r>
    </w:p>
  </w:footnote>
  <w:footnote w:id="5">
    <w:p w14:paraId="638E8E94" w14:textId="62E7CF3D" w:rsidR="005F05C2" w:rsidRDefault="005F05C2">
      <w:pPr>
        <w:pStyle w:val="FootnoteText"/>
      </w:pPr>
      <w:r>
        <w:rPr>
          <w:rStyle w:val="FootnoteReference"/>
        </w:rPr>
        <w:footnoteRef/>
      </w:r>
      <w:r>
        <w:t xml:space="preserve"> С изключение на регистрираните на регулирани пазари микропредприятия.</w:t>
      </w:r>
    </w:p>
  </w:footnote>
  <w:footnote w:id="6">
    <w:p w14:paraId="02D5067D" w14:textId="49178788" w:rsidR="005F05C2" w:rsidRDefault="005F05C2">
      <w:pPr>
        <w:pStyle w:val="FootnoteText"/>
      </w:pPr>
      <w:r>
        <w:rPr>
          <w:rStyle w:val="FootnoteReference"/>
        </w:rPr>
        <w:footnoteRef/>
      </w:r>
      <w:r>
        <w:t xml:space="preserve"> От 1 януари 2026 г. задълженията ще се прилагат и към малките и среди предприятия, които са регистрирани на регулираните пазари.</w:t>
      </w:r>
    </w:p>
  </w:footnote>
  <w:footnote w:id="7">
    <w:p w14:paraId="21A135F5" w14:textId="5CC20097" w:rsidR="005F05C2" w:rsidRPr="001A4D4D" w:rsidRDefault="005F05C2">
      <w:pPr>
        <w:pStyle w:val="FootnoteText"/>
      </w:pPr>
      <w:r>
        <w:rPr>
          <w:rStyle w:val="FootnoteReference"/>
        </w:rPr>
        <w:footnoteRef/>
      </w:r>
      <w:r>
        <w:t xml:space="preserve"> Според последната позиция на Европейския съвет</w:t>
      </w:r>
      <w:r w:rsidR="00221E28">
        <w:t xml:space="preserve"> от 18.02.2022 г.</w:t>
      </w:r>
      <w:r>
        <w:t xml:space="preserve">, този срок </w:t>
      </w:r>
      <w:r w:rsidR="00F63D4F">
        <w:t>може да бъде</w:t>
      </w:r>
      <w:r>
        <w:t xml:space="preserve"> измест</w:t>
      </w:r>
      <w:r w:rsidR="00F63D4F">
        <w:t>ен</w:t>
      </w:r>
      <w:r>
        <w:t xml:space="preserve"> с една година: отчитане през 2025 г. на данните за 2024 г.</w:t>
      </w:r>
      <w:r w:rsidR="00CB6328">
        <w:t>:</w:t>
      </w:r>
      <w:r w:rsidR="009D3841">
        <w:t xml:space="preserve"> </w:t>
      </w:r>
      <w:r w:rsidR="00904AD5" w:rsidRPr="00904AD5">
        <w:t>https://data.consilium.europa.eu/doc/document/ST-6292-2022-INIT/en/pdf</w:t>
      </w:r>
      <w:r w:rsidR="009D3841" w:rsidRPr="009D3841">
        <w:t>.</w:t>
      </w:r>
    </w:p>
  </w:footnote>
  <w:footnote w:id="8">
    <w:p w14:paraId="1D05D0C3" w14:textId="3C11B863" w:rsidR="005F05C2" w:rsidRDefault="005F05C2" w:rsidP="00C66A99">
      <w:pPr>
        <w:pStyle w:val="FootnoteText"/>
      </w:pPr>
      <w:r>
        <w:rPr>
          <w:rStyle w:val="FootnoteReference"/>
        </w:rPr>
        <w:footnoteRef/>
      </w:r>
      <w:r>
        <w:t xml:space="preserve"> Вече има индикации за тяхното съдържание</w:t>
      </w:r>
      <w:r w:rsidR="00781369">
        <w:t>:</w:t>
      </w:r>
      <w:r>
        <w:t xml:space="preserve"> </w:t>
      </w:r>
      <w:r w:rsidR="004C3A72" w:rsidRPr="00916721">
        <w:rPr>
          <w:lang w:val="fr-FR"/>
        </w:rPr>
        <w:t>EFRAG</w:t>
      </w:r>
      <w:r w:rsidR="004C3A72" w:rsidRPr="00916721">
        <w:t xml:space="preserve"> </w:t>
      </w:r>
      <w:r w:rsidR="004C3A72">
        <w:t>периодично публикува</w:t>
      </w:r>
      <w:r w:rsidR="00781369">
        <w:t xml:space="preserve"> пакети от</w:t>
      </w:r>
      <w:r w:rsidR="004C3A72">
        <w:t xml:space="preserve"> </w:t>
      </w:r>
      <w:r w:rsidR="00781369">
        <w:t xml:space="preserve">работни документи, които съдържат драфтове на индикаторите за </w:t>
      </w:r>
      <w:r w:rsidR="005854CB">
        <w:t>отчетност:</w:t>
      </w:r>
      <w:r w:rsidR="00781369">
        <w:t xml:space="preserve"> </w:t>
      </w:r>
      <w:hyperlink r:id="rId1" w:history="1">
        <w:r w:rsidR="00781369" w:rsidRPr="00FC21FC">
          <w:t>https://www.efrag.org/Activities/2105191406363055/Sustainability-reporting-standards-interim-draft</w:t>
        </w:r>
      </w:hyperlink>
      <w:r w:rsidR="004C3A72">
        <w:t xml:space="preserve"> </w:t>
      </w:r>
    </w:p>
  </w:footnote>
  <w:footnote w:id="9">
    <w:p w14:paraId="33BD60A9" w14:textId="54B8C6BB" w:rsidR="005F05C2" w:rsidRPr="0034477B" w:rsidRDefault="005F05C2" w:rsidP="00596999">
      <w:pPr>
        <w:pStyle w:val="FootnoteText"/>
      </w:pPr>
      <w:r>
        <w:rPr>
          <w:rStyle w:val="FootnoteReference"/>
        </w:rPr>
        <w:footnoteRef/>
      </w:r>
      <w:r>
        <w:t>По последни данни, ЕС има планове да включи и някои газови и ядрени енергийни проекти в Таксономията</w:t>
      </w:r>
    </w:p>
  </w:footnote>
  <w:footnote w:id="10">
    <w:p w14:paraId="69E7C434" w14:textId="01E97E63" w:rsidR="005F05C2" w:rsidRDefault="005F05C2">
      <w:pPr>
        <w:pStyle w:val="FootnoteText"/>
      </w:pPr>
      <w:r>
        <w:rPr>
          <w:rStyle w:val="FootnoteReference"/>
        </w:rPr>
        <w:footnoteRef/>
      </w:r>
      <w:r>
        <w:t xml:space="preserve"> https://gfecentre.org/docs/VUZF_Lab_BSE_Research_ March_2021_bg.pdf</w:t>
      </w:r>
    </w:p>
  </w:footnote>
  <w:footnote w:id="11">
    <w:p w14:paraId="78A87D07" w14:textId="396E975E" w:rsidR="005F05C2" w:rsidRDefault="005F05C2">
      <w:pPr>
        <w:pStyle w:val="FootnoteText"/>
      </w:pPr>
      <w:r>
        <w:rPr>
          <w:rStyle w:val="FootnoteReference"/>
        </w:rPr>
        <w:footnoteRef/>
      </w:r>
      <w:r>
        <w:t xml:space="preserve"> Корпоративна прозрачност на българските компании 2021 г., </w:t>
      </w:r>
      <w:r w:rsidRPr="00596999">
        <w:t>https://www.csrab.com/bg/products/csr-%D0%B0%D0%BD%D0%B0%D0%BB%D0%B8%D0%B7%D0%B8.html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65E8"/>
    <w:multiLevelType w:val="hybridMultilevel"/>
    <w:tmpl w:val="C2A27216"/>
    <w:lvl w:ilvl="0" w:tplc="F78417E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106A"/>
    <w:multiLevelType w:val="multilevel"/>
    <w:tmpl w:val="D1F0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74189"/>
    <w:multiLevelType w:val="hybridMultilevel"/>
    <w:tmpl w:val="CF0ED5EC"/>
    <w:lvl w:ilvl="0" w:tplc="A54ABB2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140E4"/>
    <w:multiLevelType w:val="multilevel"/>
    <w:tmpl w:val="6A6C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71E27"/>
    <w:multiLevelType w:val="hybridMultilevel"/>
    <w:tmpl w:val="CFB009A6"/>
    <w:lvl w:ilvl="0" w:tplc="3DD699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47E3"/>
    <w:multiLevelType w:val="hybridMultilevel"/>
    <w:tmpl w:val="0D583DFE"/>
    <w:lvl w:ilvl="0" w:tplc="87506C2A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430D9"/>
    <w:multiLevelType w:val="hybridMultilevel"/>
    <w:tmpl w:val="4A7E2544"/>
    <w:lvl w:ilvl="0" w:tplc="3DD699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6776B"/>
    <w:multiLevelType w:val="hybridMultilevel"/>
    <w:tmpl w:val="843EB1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31EC"/>
    <w:multiLevelType w:val="hybridMultilevel"/>
    <w:tmpl w:val="AEA2EF78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8549FA"/>
    <w:multiLevelType w:val="hybridMultilevel"/>
    <w:tmpl w:val="21122252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28227F"/>
    <w:multiLevelType w:val="hybridMultilevel"/>
    <w:tmpl w:val="A5FAF6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91B2C"/>
    <w:multiLevelType w:val="hybridMultilevel"/>
    <w:tmpl w:val="30C0942E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9C4923"/>
    <w:multiLevelType w:val="multilevel"/>
    <w:tmpl w:val="FE70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2722B"/>
    <w:multiLevelType w:val="hybridMultilevel"/>
    <w:tmpl w:val="F08253CE"/>
    <w:lvl w:ilvl="0" w:tplc="C07E11A2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C755C"/>
    <w:multiLevelType w:val="hybridMultilevel"/>
    <w:tmpl w:val="46A811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14"/>
  </w:num>
  <w:num w:numId="9">
    <w:abstractNumId w:val="2"/>
  </w:num>
  <w:num w:numId="10">
    <w:abstractNumId w:val="12"/>
  </w:num>
  <w:num w:numId="11">
    <w:abstractNumId w:val="3"/>
  </w:num>
  <w:num w:numId="12">
    <w:abstractNumId w:val="1"/>
  </w:num>
  <w:num w:numId="13">
    <w:abstractNumId w:val="1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23"/>
    <w:rsid w:val="000058B7"/>
    <w:rsid w:val="00017983"/>
    <w:rsid w:val="0002057A"/>
    <w:rsid w:val="00031656"/>
    <w:rsid w:val="000448E3"/>
    <w:rsid w:val="000627F2"/>
    <w:rsid w:val="000712DC"/>
    <w:rsid w:val="00086786"/>
    <w:rsid w:val="00090319"/>
    <w:rsid w:val="00090875"/>
    <w:rsid w:val="0009785C"/>
    <w:rsid w:val="000B2744"/>
    <w:rsid w:val="000B7B35"/>
    <w:rsid w:val="000D5223"/>
    <w:rsid w:val="000D54CB"/>
    <w:rsid w:val="000E2759"/>
    <w:rsid w:val="000E3627"/>
    <w:rsid w:val="000E739A"/>
    <w:rsid w:val="00110BFF"/>
    <w:rsid w:val="001117FF"/>
    <w:rsid w:val="00113035"/>
    <w:rsid w:val="00121E82"/>
    <w:rsid w:val="00132456"/>
    <w:rsid w:val="001408FA"/>
    <w:rsid w:val="00147A91"/>
    <w:rsid w:val="00152E84"/>
    <w:rsid w:val="001751B4"/>
    <w:rsid w:val="00194545"/>
    <w:rsid w:val="001A384A"/>
    <w:rsid w:val="001A4D4D"/>
    <w:rsid w:val="001A66EF"/>
    <w:rsid w:val="001B33D5"/>
    <w:rsid w:val="001C2B87"/>
    <w:rsid w:val="001C5114"/>
    <w:rsid w:val="001F42A1"/>
    <w:rsid w:val="002013BE"/>
    <w:rsid w:val="002023E6"/>
    <w:rsid w:val="00221E28"/>
    <w:rsid w:val="00223668"/>
    <w:rsid w:val="002600F9"/>
    <w:rsid w:val="00270D24"/>
    <w:rsid w:val="002711E8"/>
    <w:rsid w:val="00297222"/>
    <w:rsid w:val="002B1FBB"/>
    <w:rsid w:val="002B50E4"/>
    <w:rsid w:val="002B684C"/>
    <w:rsid w:val="002C2606"/>
    <w:rsid w:val="002C4532"/>
    <w:rsid w:val="003169B1"/>
    <w:rsid w:val="00341C60"/>
    <w:rsid w:val="0034477B"/>
    <w:rsid w:val="0038784A"/>
    <w:rsid w:val="003A07A8"/>
    <w:rsid w:val="003A1EF7"/>
    <w:rsid w:val="003A3527"/>
    <w:rsid w:val="003A3C14"/>
    <w:rsid w:val="003D049A"/>
    <w:rsid w:val="003D5192"/>
    <w:rsid w:val="003E4B3F"/>
    <w:rsid w:val="003F2373"/>
    <w:rsid w:val="003F4F3F"/>
    <w:rsid w:val="004020F0"/>
    <w:rsid w:val="00405F8C"/>
    <w:rsid w:val="00430318"/>
    <w:rsid w:val="004411D2"/>
    <w:rsid w:val="00445705"/>
    <w:rsid w:val="00450768"/>
    <w:rsid w:val="004607BE"/>
    <w:rsid w:val="0047409D"/>
    <w:rsid w:val="00475476"/>
    <w:rsid w:val="00475A44"/>
    <w:rsid w:val="004762BC"/>
    <w:rsid w:val="0048185C"/>
    <w:rsid w:val="00483256"/>
    <w:rsid w:val="004861D5"/>
    <w:rsid w:val="004C07F2"/>
    <w:rsid w:val="004C14BD"/>
    <w:rsid w:val="004C3A72"/>
    <w:rsid w:val="004D76F3"/>
    <w:rsid w:val="004F049A"/>
    <w:rsid w:val="00543500"/>
    <w:rsid w:val="00546663"/>
    <w:rsid w:val="00574496"/>
    <w:rsid w:val="00583C79"/>
    <w:rsid w:val="005854CB"/>
    <w:rsid w:val="00585CBC"/>
    <w:rsid w:val="005942E5"/>
    <w:rsid w:val="00596999"/>
    <w:rsid w:val="005B0451"/>
    <w:rsid w:val="005B42D4"/>
    <w:rsid w:val="005C505C"/>
    <w:rsid w:val="005C539A"/>
    <w:rsid w:val="005E5FA6"/>
    <w:rsid w:val="005E6457"/>
    <w:rsid w:val="005F0085"/>
    <w:rsid w:val="005F05C2"/>
    <w:rsid w:val="005F10A2"/>
    <w:rsid w:val="005F526F"/>
    <w:rsid w:val="005F63A1"/>
    <w:rsid w:val="006138A0"/>
    <w:rsid w:val="00614D4F"/>
    <w:rsid w:val="00623EB3"/>
    <w:rsid w:val="006472F9"/>
    <w:rsid w:val="006514E9"/>
    <w:rsid w:val="00671E18"/>
    <w:rsid w:val="00684242"/>
    <w:rsid w:val="006E3536"/>
    <w:rsid w:val="00703AF1"/>
    <w:rsid w:val="0070542D"/>
    <w:rsid w:val="007064C9"/>
    <w:rsid w:val="00711608"/>
    <w:rsid w:val="007125F7"/>
    <w:rsid w:val="00714F88"/>
    <w:rsid w:val="00744496"/>
    <w:rsid w:val="00757FA2"/>
    <w:rsid w:val="00773CA0"/>
    <w:rsid w:val="00780DEE"/>
    <w:rsid w:val="00781369"/>
    <w:rsid w:val="00782D21"/>
    <w:rsid w:val="007A0D9D"/>
    <w:rsid w:val="007B2710"/>
    <w:rsid w:val="007C0ED2"/>
    <w:rsid w:val="007C21EC"/>
    <w:rsid w:val="007D103F"/>
    <w:rsid w:val="007F388C"/>
    <w:rsid w:val="007F6292"/>
    <w:rsid w:val="00823247"/>
    <w:rsid w:val="00826717"/>
    <w:rsid w:val="00835270"/>
    <w:rsid w:val="00837145"/>
    <w:rsid w:val="00850837"/>
    <w:rsid w:val="0085247D"/>
    <w:rsid w:val="0085327D"/>
    <w:rsid w:val="00871831"/>
    <w:rsid w:val="00885067"/>
    <w:rsid w:val="00886CB1"/>
    <w:rsid w:val="00891A2A"/>
    <w:rsid w:val="00896E69"/>
    <w:rsid w:val="008B4536"/>
    <w:rsid w:val="008B6609"/>
    <w:rsid w:val="008E6542"/>
    <w:rsid w:val="008E7D62"/>
    <w:rsid w:val="008F4EFA"/>
    <w:rsid w:val="008F5B3F"/>
    <w:rsid w:val="00904AD5"/>
    <w:rsid w:val="009052CE"/>
    <w:rsid w:val="0091581D"/>
    <w:rsid w:val="00916721"/>
    <w:rsid w:val="00921D8B"/>
    <w:rsid w:val="00922BE9"/>
    <w:rsid w:val="00926A97"/>
    <w:rsid w:val="009624D8"/>
    <w:rsid w:val="009625A2"/>
    <w:rsid w:val="00963029"/>
    <w:rsid w:val="00982E70"/>
    <w:rsid w:val="00985867"/>
    <w:rsid w:val="00987C41"/>
    <w:rsid w:val="00992C0C"/>
    <w:rsid w:val="009A5344"/>
    <w:rsid w:val="009B6DEE"/>
    <w:rsid w:val="009D3841"/>
    <w:rsid w:val="009E1E6F"/>
    <w:rsid w:val="00A00B1E"/>
    <w:rsid w:val="00A07E37"/>
    <w:rsid w:val="00A244DD"/>
    <w:rsid w:val="00A26103"/>
    <w:rsid w:val="00A30856"/>
    <w:rsid w:val="00A60038"/>
    <w:rsid w:val="00A643E6"/>
    <w:rsid w:val="00A71DC1"/>
    <w:rsid w:val="00A84A51"/>
    <w:rsid w:val="00A90D25"/>
    <w:rsid w:val="00A97326"/>
    <w:rsid w:val="00AA1063"/>
    <w:rsid w:val="00AA308E"/>
    <w:rsid w:val="00AA4335"/>
    <w:rsid w:val="00AA4764"/>
    <w:rsid w:val="00AA7929"/>
    <w:rsid w:val="00AC276F"/>
    <w:rsid w:val="00AC53BD"/>
    <w:rsid w:val="00AD36FE"/>
    <w:rsid w:val="00AE45AB"/>
    <w:rsid w:val="00AF3F04"/>
    <w:rsid w:val="00B15B3F"/>
    <w:rsid w:val="00B2722D"/>
    <w:rsid w:val="00B306BA"/>
    <w:rsid w:val="00B42CC9"/>
    <w:rsid w:val="00B43322"/>
    <w:rsid w:val="00B46844"/>
    <w:rsid w:val="00B81A9E"/>
    <w:rsid w:val="00B821F8"/>
    <w:rsid w:val="00B91738"/>
    <w:rsid w:val="00B97338"/>
    <w:rsid w:val="00BA179E"/>
    <w:rsid w:val="00BC5991"/>
    <w:rsid w:val="00BC5D8B"/>
    <w:rsid w:val="00BD3282"/>
    <w:rsid w:val="00BF2723"/>
    <w:rsid w:val="00C012CA"/>
    <w:rsid w:val="00C2281D"/>
    <w:rsid w:val="00C316F7"/>
    <w:rsid w:val="00C363A9"/>
    <w:rsid w:val="00C47935"/>
    <w:rsid w:val="00C62F9F"/>
    <w:rsid w:val="00C66A99"/>
    <w:rsid w:val="00C72AB5"/>
    <w:rsid w:val="00C73C2C"/>
    <w:rsid w:val="00C7437C"/>
    <w:rsid w:val="00C86158"/>
    <w:rsid w:val="00C90094"/>
    <w:rsid w:val="00CB0BEA"/>
    <w:rsid w:val="00CB6328"/>
    <w:rsid w:val="00CC00C6"/>
    <w:rsid w:val="00CE3F9B"/>
    <w:rsid w:val="00CF0703"/>
    <w:rsid w:val="00CF2261"/>
    <w:rsid w:val="00CF6F9B"/>
    <w:rsid w:val="00D01ED9"/>
    <w:rsid w:val="00D05D09"/>
    <w:rsid w:val="00D22A28"/>
    <w:rsid w:val="00D25638"/>
    <w:rsid w:val="00D33283"/>
    <w:rsid w:val="00D34077"/>
    <w:rsid w:val="00D64B05"/>
    <w:rsid w:val="00D71109"/>
    <w:rsid w:val="00D84A38"/>
    <w:rsid w:val="00D85CFB"/>
    <w:rsid w:val="00D93D62"/>
    <w:rsid w:val="00DE72C4"/>
    <w:rsid w:val="00DF2A32"/>
    <w:rsid w:val="00E01A09"/>
    <w:rsid w:val="00E36467"/>
    <w:rsid w:val="00E67BBF"/>
    <w:rsid w:val="00E74B6C"/>
    <w:rsid w:val="00EA559F"/>
    <w:rsid w:val="00ED416D"/>
    <w:rsid w:val="00EE1EEA"/>
    <w:rsid w:val="00EE4A6A"/>
    <w:rsid w:val="00F44849"/>
    <w:rsid w:val="00F52BC1"/>
    <w:rsid w:val="00F55AAE"/>
    <w:rsid w:val="00F63D4F"/>
    <w:rsid w:val="00F647A8"/>
    <w:rsid w:val="00F916AB"/>
    <w:rsid w:val="00F91784"/>
    <w:rsid w:val="00F923CD"/>
    <w:rsid w:val="00FA7105"/>
    <w:rsid w:val="00FB487B"/>
    <w:rsid w:val="00FB72DD"/>
    <w:rsid w:val="00FB7F3C"/>
    <w:rsid w:val="00FC21FC"/>
    <w:rsid w:val="00FC2F13"/>
    <w:rsid w:val="00FC5F1E"/>
    <w:rsid w:val="00FC6BEB"/>
    <w:rsid w:val="00FD6E78"/>
    <w:rsid w:val="00FE3C55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1F662D"/>
  <w15:chartTrackingRefBased/>
  <w15:docId w15:val="{C0D5C511-6017-4A74-AD57-E869959C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20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2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0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C00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0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00C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02057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057A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igc-table-cell-span">
    <w:name w:val="igc-table-cell-span"/>
    <w:basedOn w:val="DefaultParagraphFont"/>
    <w:rsid w:val="00AE45AB"/>
  </w:style>
  <w:style w:type="character" w:customStyle="1" w:styleId="Heading1Char">
    <w:name w:val="Heading 1 Char"/>
    <w:basedOn w:val="DefaultParagraphFont"/>
    <w:link w:val="Heading1"/>
    <w:uiPriority w:val="9"/>
    <w:rsid w:val="00FB7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2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44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4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496"/>
    <w:rPr>
      <w:b/>
      <w:bCs/>
      <w:sz w:val="20"/>
      <w:szCs w:val="20"/>
    </w:rPr>
  </w:style>
  <w:style w:type="paragraph" w:customStyle="1" w:styleId="chrome">
    <w:name w:val="chrome"/>
    <w:basedOn w:val="Normal"/>
    <w:rsid w:val="000E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0E739A"/>
    <w:rPr>
      <w:b/>
      <w:bCs/>
    </w:rPr>
  </w:style>
  <w:style w:type="character" w:styleId="Emphasis">
    <w:name w:val="Emphasis"/>
    <w:basedOn w:val="DefaultParagraphFont"/>
    <w:uiPriority w:val="20"/>
    <w:qFormat/>
    <w:rsid w:val="0059699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B6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1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200">
          <w:marLeft w:val="16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8363">
          <w:marLeft w:val="16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82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9661">
              <w:marLeft w:val="16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frag.org/Activities/2105191406363055/Sustainability-reporting-standards-interim-dra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73253-F335-4A9E-808B-B8130875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Maria-Elena Kisyova (BG)</dc:creator>
  <cp:keywords/>
  <dc:description/>
  <cp:lastModifiedBy>Boryana Dimova</cp:lastModifiedBy>
  <cp:revision>8</cp:revision>
  <dcterms:created xsi:type="dcterms:W3CDTF">2022-03-21T12:51:00Z</dcterms:created>
  <dcterms:modified xsi:type="dcterms:W3CDTF">2022-03-25T18:33:00Z</dcterms:modified>
</cp:coreProperties>
</file>