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7616" w14:textId="5EEF2626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</w:p>
    <w:p w14:paraId="1EE17CAB" w14:textId="537640F0" w:rsidR="00683F9D" w:rsidRPr="00B34CC0" w:rsidRDefault="00F30B26" w:rsidP="00683F9D">
      <w:pPr>
        <w:shd w:val="clear" w:color="auto" w:fill="A41F35"/>
        <w:spacing w:before="465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:lang w:val="bg-BG"/>
        </w:rPr>
        <w:t>Информационен бюлетин на Съвета по международни счетоводни стандарти (IASB) – март 2022 г.</w:t>
      </w:r>
    </w:p>
    <w:p w14:paraId="179758E6" w14:textId="77777777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</w:p>
    <w:p w14:paraId="24B01D86" w14:textId="156FC350" w:rsidR="00683F9D" w:rsidRPr="00B34CC0" w:rsidRDefault="003B7EA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Настоящият бюлетин на Съвета по международни счетоводни стандарти (IASB) представя предварителните решения на Съвета. Проектите, засегнати от тези решения могат да бъдат намерени в </w:t>
      </w:r>
      <w:hyperlink r:id="rId5" w:history="1">
        <w:r w:rsidRPr="00B34CC0">
          <w:rPr>
            <w:rStyle w:val="Hyperlink"/>
            <w:rFonts w:ascii="Helvetica" w:eastAsia="Times New Roman" w:hAnsi="Helvetica" w:cs="Helvetica"/>
            <w:sz w:val="24"/>
            <w:szCs w:val="24"/>
            <w:lang w:val="bg-BG"/>
          </w:rPr>
          <w:t>работната програма</w:t>
        </w:r>
      </w:hyperlink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 Окончателните решения на Съвета по международни счетоводни стандарти относно МСФО стандарти (IFRS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proofErr w:type="spellStart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Standards</w:t>
      </w:r>
      <w:proofErr w:type="spellEnd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), Изменения и Разяснения (IFRIC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proofErr w:type="spellStart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Interpretations</w:t>
      </w:r>
      <w:proofErr w:type="spellEnd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се подлагат на официално гласуване, съгласно предвиденото в </w:t>
      </w:r>
      <w:r w:rsidRPr="00B34CC0">
        <w:rPr>
          <w:rFonts w:ascii="Helvetica" w:eastAsia="Times New Roman" w:hAnsi="Helvetica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Фондация МСФО (IFRS </w:t>
      </w:r>
      <w:proofErr w:type="spellStart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Foundation</w:t>
      </w:r>
      <w:proofErr w:type="spellEnd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13695F65" w14:textId="765EC3AE" w:rsidR="00683F9D" w:rsidRPr="00B34CC0" w:rsidRDefault="003B7EA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проведе заседание на </w:t>
      </w:r>
      <w:hyperlink r:id="rId6" w:history="1"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22–24 </w:t>
        </w:r>
        <w:r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март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</w:hyperlink>
      <w:r w:rsidRPr="00B34CC0"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 xml:space="preserve"> г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D568077" w14:textId="7A4B8E0E" w:rsidR="00683F9D" w:rsidRPr="00B34CC0" w:rsidRDefault="00BE40A3" w:rsidP="00683F9D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Съдържание</w:t>
      </w:r>
    </w:p>
    <w:p w14:paraId="3A8B2AC3" w14:textId="63CC713A" w:rsidR="00683F9D" w:rsidRPr="00B34CC0" w:rsidRDefault="003B7EA7" w:rsidP="00683F9D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Изследователска работа и изготвяне и въвеждане на стандарти</w:t>
      </w:r>
    </w:p>
    <w:p w14:paraId="07F44E9D" w14:textId="6785D77E" w:rsidR="00683F9D" w:rsidRPr="00B34CC0" w:rsidRDefault="006E7BDF" w:rsidP="0068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7" w:anchor="1" w:history="1"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Преглед след въвеждане на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9—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класифициране и оценяване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3)</w:t>
        </w:r>
      </w:hyperlink>
    </w:p>
    <w:p w14:paraId="4278935C" w14:textId="3626A4D2" w:rsidR="00683F9D" w:rsidRPr="00B34CC0" w:rsidRDefault="006E7BDF" w:rsidP="0068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8" w:anchor="2" w:history="1">
        <w:r w:rsidR="003B7EA7" w:rsidRPr="00B34CC0">
          <w:rPr>
            <w:lang w:val="bg-BG"/>
          </w:rPr>
          <w:t xml:space="preserve"> 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Финансови инструменти с характеристики на собствен капитал 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5)</w:t>
        </w:r>
      </w:hyperlink>
    </w:p>
    <w:p w14:paraId="26B9FE59" w14:textId="3EA26C80" w:rsidR="00683F9D" w:rsidRPr="00B34CC0" w:rsidRDefault="006E7BDF" w:rsidP="0068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9" w:anchor="3" w:history="1"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Коментар на ръководството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15)</w:t>
        </w:r>
      </w:hyperlink>
    </w:p>
    <w:p w14:paraId="485F7293" w14:textId="339F3003" w:rsidR="00683F9D" w:rsidRPr="00B34CC0" w:rsidRDefault="006E7BDF" w:rsidP="0068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0" w:anchor="4" w:history="1"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Добивни дейности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19)</w:t>
        </w:r>
      </w:hyperlink>
    </w:p>
    <w:p w14:paraId="10BB4DDE" w14:textId="34391DF5" w:rsidR="00683F9D" w:rsidRPr="00B34CC0" w:rsidRDefault="006E7BDF" w:rsidP="0068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1" w:anchor="5" w:history="1"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Основни финансови отчети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21)</w:t>
        </w:r>
      </w:hyperlink>
    </w:p>
    <w:p w14:paraId="7CA6F6AA" w14:textId="428D768C" w:rsidR="00683F9D" w:rsidRPr="00B34CC0" w:rsidRDefault="006E7BDF" w:rsidP="0068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2" w:anchor="6" w:history="1"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Бизнес комбинации под общ контрол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23)</w:t>
        </w:r>
      </w:hyperlink>
    </w:p>
    <w:p w14:paraId="2C51E0BA" w14:textId="1766FB47" w:rsidR="00683F9D" w:rsidRPr="00B34CC0" w:rsidRDefault="006E7BDF" w:rsidP="0068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3" w:anchor="7" w:history="1">
        <w:r w:rsidR="003B7EA7" w:rsidRPr="00B34CC0">
          <w:rPr>
            <w:lang w:val="bg-BG"/>
          </w:rPr>
          <w:t xml:space="preserve"> 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Втори всеобхватен преглед на счетоводния стандарт МСФО за МСП 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30)</w:t>
        </w:r>
      </w:hyperlink>
    </w:p>
    <w:p w14:paraId="5C271AE8" w14:textId="673BBEDF" w:rsidR="00683F9D" w:rsidRPr="00B34CC0" w:rsidRDefault="003B7EA7" w:rsidP="00683F9D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Поддържане и последователно прилагане</w:t>
      </w:r>
    </w:p>
    <w:p w14:paraId="6340203A" w14:textId="1BBBB310" w:rsidR="00683F9D" w:rsidRPr="00B34CC0" w:rsidRDefault="006E7BDF" w:rsidP="00683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4" w:anchor="8" w:history="1">
        <w:r w:rsidR="003B7EA7" w:rsidRPr="00B34CC0">
          <w:rPr>
            <w:lang w:val="bg-BG"/>
          </w:rPr>
          <w:t xml:space="preserve"> 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Поддържане и последователно прилагане 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12)</w:t>
        </w:r>
      </w:hyperlink>
    </w:p>
    <w:p w14:paraId="2E214B21" w14:textId="60D85571" w:rsidR="00683F9D" w:rsidRPr="00B34CC0" w:rsidRDefault="006E7BDF" w:rsidP="00683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5" w:anchor="9" w:history="1">
        <w:r w:rsidR="003B7EA7" w:rsidRPr="00B34CC0">
          <w:rPr>
            <w:rFonts w:ascii="Helvetica" w:eastAsia="Times New Roman" w:hAnsi="Helvetica" w:cs="Helvetica"/>
            <w:b/>
            <w:bCs/>
            <w:color w:val="CD3333"/>
            <w:sz w:val="26"/>
            <w:szCs w:val="26"/>
            <w:lang w:val="bg-BG"/>
          </w:rPr>
          <w:t xml:space="preserve"> 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Целеви операции по дългосрочно рефинансиране III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9 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МСС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20): 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Финализиране на решението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12A)</w:t>
        </w:r>
      </w:hyperlink>
    </w:p>
    <w:p w14:paraId="4E4C06B5" w14:textId="030F56E8" w:rsidR="00683F9D" w:rsidRPr="00B34CC0" w:rsidRDefault="006E7BDF" w:rsidP="00683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6" w:anchor="10" w:history="1"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Актуална информация от КРМСФО за февруари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г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B20CE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Б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55AA1FCD" w14:textId="5D7F024F" w:rsidR="00683F9D" w:rsidRPr="00B34CC0" w:rsidRDefault="003B7EA7" w:rsidP="00683F9D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lastRenderedPageBreak/>
        <w:t>Стратегия и общо управление</w:t>
      </w:r>
    </w:p>
    <w:p w14:paraId="7A92D156" w14:textId="4A84C7E2" w:rsidR="00683F9D" w:rsidRPr="00B34CC0" w:rsidRDefault="006E7BDF" w:rsidP="00683F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7" w:anchor="11" w:history="1">
        <w:r w:rsidR="003B7EA7" w:rsidRPr="00B34CC0">
          <w:rPr>
            <w:lang w:val="bg-BG"/>
          </w:rPr>
          <w:t xml:space="preserve"> </w:t>
        </w:r>
        <w:r w:rsidR="003B7EA7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Трето допитване във връзка с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44B32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24)</w:t>
        </w:r>
      </w:hyperlink>
    </w:p>
    <w:p w14:paraId="6D75D696" w14:textId="39FD9793" w:rsidR="00683F9D" w:rsidRPr="00B34CC0" w:rsidRDefault="00DA0A97" w:rsidP="00683F9D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Изследователска работа и изготвяне и въвеждане на стандарти</w:t>
      </w:r>
    </w:p>
    <w:p w14:paraId="5CB62C8E" w14:textId="121494A1" w:rsidR="00683F9D" w:rsidRPr="00B34CC0" w:rsidRDefault="00EF4238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Преглед след въвеждане на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9—</w:t>
      </w: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класифициране и оценяване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3)</w:t>
      </w:r>
    </w:p>
    <w:p w14:paraId="53D82B5C" w14:textId="35CA6521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23 март 2022 г. IASB проведе заседание, за да обсъди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7045837" w14:textId="21F0B6B4" w:rsidR="00683F9D" w:rsidRPr="00B34CC0" w:rsidRDefault="006A714D" w:rsidP="00683F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Обобщение на предоставените като обратна информация становища във връзка с Искането за предоставяне на информация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BE40A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Преглед след въвеждане на</w:t>
      </w:r>
      <w:r w:rsidR="00683F9D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9—</w:t>
      </w:r>
      <w:r w:rsidR="00EF4238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класифициране и оценяване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="00EF4238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6CB9101E" w14:textId="088865E3" w:rsidR="00683F9D" w:rsidRPr="00B34CC0" w:rsidRDefault="006A714D" w:rsidP="00683F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План за следващата фаза на проекта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2AC3C72" w14:textId="42A6DA43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497AA77" w14:textId="0C833E1B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9739B40" w14:textId="4AD53D73" w:rsidR="00683F9D" w:rsidRPr="00B34CC0" w:rsidRDefault="006A714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анализира обратната информация във връзка с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317E88C" w14:textId="38DE393E" w:rsidR="00683F9D" w:rsidRPr="00B34CC0" w:rsidRDefault="006A714D" w:rsidP="00683F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Характеристики на договорните парични потоци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включително финансови активи с характеристики, свързани с устойчивото развитие и договорно свързани инструменти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);</w:t>
      </w:r>
    </w:p>
    <w:p w14:paraId="27413E45" w14:textId="3A5AFA11" w:rsidR="00683F9D" w:rsidRPr="00B34CC0" w:rsidRDefault="006A714D" w:rsidP="00683F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Оценяване на бизнес модела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0CFE96C4" w14:textId="0B5C8C03" w:rsidR="00683F9D" w:rsidRPr="00B34CC0" w:rsidRDefault="006A714D" w:rsidP="00683F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Капиталови инструменти и друг всеобхватен доход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1DEA8B70" w14:textId="474C069A" w:rsidR="00683F9D" w:rsidRPr="00B34CC0" w:rsidRDefault="006A714D" w:rsidP="00683F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Модификации на договорните парични потоци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49F3FDEF" w14:textId="502B6580" w:rsidR="00683F9D" w:rsidRPr="00B34CC0" w:rsidRDefault="006A714D" w:rsidP="00683F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Амортизирана стойност и метод на ефективната лихва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3061A725" w14:textId="53B19F11" w:rsidR="00683F9D" w:rsidRPr="00B34CC0" w:rsidRDefault="006A714D" w:rsidP="00683F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Други въпроси, свързани с изискванията за класифициране и оценяване в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9.</w:t>
      </w:r>
    </w:p>
    <w:p w14:paraId="2D5610CE" w14:textId="6A5A6012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6A714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очаква да приключи обсъжданията през третото тримесечие на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</w:t>
      </w:r>
      <w:r w:rsidR="006A714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9CF8AEC" w14:textId="3B20F7CA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Финансови инструменти с характеристики на собствен капитал 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5)</w:t>
      </w:r>
    </w:p>
    <w:p w14:paraId="0A1162A5" w14:textId="7B167238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23 март 2022 г. IASB проведе заседание, за да обсъди </w:t>
      </w:r>
      <w:r w:rsidR="00916D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прекласифицирането</w:t>
      </w:r>
      <w:r w:rsidR="006A714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финансови инструменти</w:t>
      </w:r>
      <w:r w:rsidR="00916D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емитирани от предприятието, като финансови пасиви или инструменти на собствения капитал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  </w:t>
      </w:r>
      <w:r w:rsidR="00916D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практиката възникват въпроси относно това дали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32 </w:t>
      </w:r>
      <w:r w:rsidR="00BE40A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683F9D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BE40A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916D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разрешава или </w:t>
      </w:r>
      <w:r w:rsidR="00916D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изисква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16D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прекласифициране след първоначално признаване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726B48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801FE6D" w14:textId="3A7D0CA1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F8A750F" w14:textId="32B24C5E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916D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разгледа предложенията за потенциални принципи за прекласифициране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DB9BC01" w14:textId="00F5F6EC" w:rsidR="00683F9D" w:rsidRPr="00B34CC0" w:rsidRDefault="00EF4238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Коментар на ръководството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15)</w:t>
      </w:r>
    </w:p>
    <w:p w14:paraId="396E605C" w14:textId="574EF4E9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24 март 2022 г. IASB проведе заседание, за да обсъди </w:t>
      </w:r>
      <w:r w:rsidR="0011524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получените като обратна информация становища във връзка с предложенията на Съвета за преработено изложение за практика относно коментара на ръководството, съгласно изложеното в Проекта за обсъждане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BE40A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Коментар на ръководството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726B48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A7375C6" w14:textId="1C757424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A7A0A4B" w14:textId="5C813B83" w:rsidR="00683F9D" w:rsidRPr="00B34CC0" w:rsidRDefault="0011524A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обсъжда обратната информация във връзка с Проекта за обсъждане и ще вземе решение относно план за следващата фаза на проекта през второто тримесечие на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6E99F29" w14:textId="1FA71BF0" w:rsidR="00683F9D" w:rsidRPr="00B34CC0" w:rsidRDefault="00EF4238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Добивни дейности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19)</w:t>
      </w:r>
    </w:p>
    <w:p w14:paraId="5B8BBF69" w14:textId="599A551E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22 март 2022 г. IASB проведе заседание, за да разгледа плана си да проучи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B3AFEFB" w14:textId="03D076DE" w:rsidR="00683F9D" w:rsidRPr="00B34CC0" w:rsidRDefault="00532E64" w:rsidP="00683F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разработване на изисквания или насоки, които да подобрят оповестяванията на предприятието относно неговите разходи и дейности по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0F7AB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проучване и оценяване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за да се осигури по-полезна информация за основните потребители на финансовите отчети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4154A2DF" w14:textId="1578C68D" w:rsidR="00683F9D" w:rsidRPr="00B34CC0" w:rsidRDefault="00532E64" w:rsidP="00683F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премахване на временния статут на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6 </w:t>
      </w:r>
      <w:r w:rsidR="00BE40A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Проучване и оценяване на минерални ресурси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6F92DFC" w14:textId="188DD0E8" w:rsidR="00683F9D" w:rsidRPr="00B34CC0" w:rsidRDefault="00532E64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Планът очертава изследователската работа, която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трябва да извърши, за да разбере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06608BF" w14:textId="7869E211" w:rsidR="00683F9D" w:rsidRPr="00B34CC0" w:rsidRDefault="00532E64" w:rsidP="00683F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информационните нужди на потребителите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656A45F3" w14:textId="78837631" w:rsidR="00683F9D" w:rsidRPr="00B34CC0" w:rsidRDefault="00532E64" w:rsidP="00683F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защо потребителите не получават понастоящем </w:t>
      </w:r>
      <w:r w:rsidR="00FF13E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информацията, от която се нуждаят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390A6ED2" w14:textId="481F0CD5" w:rsidR="00683F9D" w:rsidRPr="00B34CC0" w:rsidRDefault="00FF13E9" w:rsidP="00683F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разходите за това да се изиска от предприятията да предоставят информацията, от която се нуждаят потребителите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604A3399" w14:textId="6C45C813" w:rsidR="00683F9D" w:rsidRPr="00B34CC0" w:rsidRDefault="00FF13E9" w:rsidP="00683F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дали всеобхватният преглед на добивните дейности, предвиден от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през 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2004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г., е завършен и следователно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временният статут на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6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би могъл да бъде премахнат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9AA4F19" w14:textId="0AD1ECB2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</w:t>
      </w:r>
      <w:r w:rsidR="000F7AB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реши, че като част от работата си по проучване </w:t>
      </w:r>
      <w:r w:rsidR="00532E64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премахването</w:t>
      </w:r>
      <w:r w:rsidR="000F7AB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временния статут на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6</w:t>
      </w:r>
      <w:r w:rsidR="000F7AB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Съветът ще проучи въпроса за отстраняване на параграфи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13 </w:t>
      </w:r>
      <w:r w:rsidR="000F7AB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14 </w:t>
      </w:r>
      <w:r w:rsidR="000F7AB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5A935BE" w14:textId="54F5F0A1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F7AB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продължи работата съгласно плана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77F94B0" w14:textId="085AA9ED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477F589" w14:textId="3A65BAB1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9135B30" w14:textId="413A6821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FF13E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пристъпи към изследователската работа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F13E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съгласно изложеното в плана на проекта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69E3925" w14:textId="70B709B1" w:rsidR="00683F9D" w:rsidRPr="00B34CC0" w:rsidRDefault="00EF4238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Основни финансови отчети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21)</w:t>
      </w:r>
    </w:p>
    <w:p w14:paraId="2F033242" w14:textId="18B9B35E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23 март 2022 г. IASB проведе заседание, за да разисква повторно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A0FA5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някои от предложенията, включени в Проекта за обсъждане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BE40A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Общо представяне и оповестяване,</w:t>
      </w:r>
      <w:r w:rsidR="00683F9D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8A0FA5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отнасящи се до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8ABE485" w14:textId="48ECBE15" w:rsidR="00683F9D" w:rsidRPr="00B34CC0" w:rsidRDefault="008A0FA5" w:rsidP="00683F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някои от предложенията относно предприятия с конкретно посочена основна </w:t>
      </w:r>
      <w:r w:rsidR="00885A8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стопанска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дейност -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21A.</w:t>
      </w:r>
    </w:p>
    <w:p w14:paraId="656A9449" w14:textId="31924189" w:rsidR="00683F9D" w:rsidRPr="00B34CC0" w:rsidRDefault="008A0FA5" w:rsidP="00683F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bookmarkStart w:id="0" w:name="_Hlk103237498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местоположението и кръстосаните препратки </w:t>
      </w:r>
      <w:bookmarkEnd w:id="0"/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към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оценките на ръководството за резултатите от дейността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21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4C7A9C8" w14:textId="10EE2ED4" w:rsidR="00683F9D" w:rsidRPr="00B34CC0" w:rsidRDefault="008A0FA5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Предприятия с конкретно посочена основна </w:t>
      </w:r>
      <w:r w:rsidR="00885A80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стопанска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дейност 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общи въпроси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21A)</w:t>
      </w:r>
    </w:p>
    <w:p w14:paraId="3AC941C3" w14:textId="30FD9E95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A0FA5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предостави допълнителни насоки към тези, предложени в Проекта за обсъждане относно „основната </w:t>
      </w:r>
      <w:r w:rsidR="00885A8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стопанска</w:t>
      </w:r>
      <w:r w:rsidR="008A0FA5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дейност“, като поясни, че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5ECA317" w14:textId="7A1949B0" w:rsidR="00683F9D" w:rsidRPr="00B34CC0" w:rsidRDefault="008A0FA5" w:rsidP="0068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ролята на основната </w:t>
      </w:r>
      <w:r w:rsidR="00885A8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стопанска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дейност в изискванията в проекта на счетоводния </w:t>
      </w:r>
      <w:r w:rsidR="00134E9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МСФО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стандарт е </w:t>
      </w:r>
      <w:r w:rsidR="00885A8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ограничена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до оценяване на това дали предприятието инвестира</w:t>
      </w:r>
      <w:r w:rsidR="00885A8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в хода на основната си стопанска дейност или предоставя финансиране на клиенти като основна стопанска дейност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2398D9B" w14:textId="1F8D6BB6" w:rsidR="00683F9D" w:rsidRPr="00B34CC0" w:rsidRDefault="00885A80" w:rsidP="0068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инвестирането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хода на основната стопанска дейност или предоставянето на финансиране на клиенти като основна стопанска дейност представлява конкретен факт, а не твърдение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Предприятието ще трябва да използва своята преценка при оценяване дали инвестира в хода на основната си стопанска дейност или предоставя финансиране на клиенти като основна стопанска дейност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Оценката следва да се базира на наблюдаеми доказателства в степента, в </w:t>
      </w:r>
      <w:r w:rsidR="00C04691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която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такива са налични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4FA74DD" w14:textId="04459B13" w:rsidR="00683F9D" w:rsidRPr="00B34CC0" w:rsidRDefault="00885A80" w:rsidP="0068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примерите за наблюдаеми доказателства включват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3761F802" w14:textId="38196E67" w:rsidR="00683F9D" w:rsidRPr="00B34CC0" w:rsidRDefault="00885A80" w:rsidP="00B34CC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оценки за оперативните резултати от дейността, използвани в публични комуникации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47447A2" w14:textId="730D4E10" w:rsidR="00683F9D" w:rsidRPr="00B34CC0" w:rsidRDefault="00106B88" w:rsidP="00B34CC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Информация относно сегменти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случай че предприятието прилага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8 </w:t>
      </w:r>
      <w:r w:rsidR="00BE40A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Оперативни сегменти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По-конкретно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3BECE2B3" w14:textId="0DB57D7E" w:rsidR="00683F9D" w:rsidRPr="00B34CC0" w:rsidRDefault="00106B88" w:rsidP="00B34CC0">
      <w:pPr>
        <w:numPr>
          <w:ilvl w:val="2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Подлежащ на отчитане сегмент, който обхваща една единствена стопанска дейност сочи, че тази стопанска дейност е основна стопанска дейност на предприятието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9C1C67F" w14:textId="63BBEBF4" w:rsidR="00683F9D" w:rsidRPr="00B34CC0" w:rsidRDefault="00106B88" w:rsidP="00B34CC0">
      <w:pPr>
        <w:numPr>
          <w:ilvl w:val="2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Оперативен сегмент, който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обхваща една единствена стопанска дейност сочи, че тази стопанска дейност би могла да представлява основна стопанска дейност на предприятието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случай че резултатите от дейността на оперативния сегмент са важен индикатор за оперативните резултати от дейността на предприятието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9E8A4F7" w14:textId="086B993C" w:rsidR="00683F9D" w:rsidRPr="00B34CC0" w:rsidRDefault="00106B88" w:rsidP="0068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посочените междинни сборове, сходни с брутната печалба в параграф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B78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Проекта за обсъждане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са примери за важни индикатори за оперативните резултати от дейността на предприятие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което инвестира в хода на основната си стопанска дейност или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предоставя финансиране на клиенти като основна стопанска дейност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D0D85BA" w14:textId="7822F615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       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тези решения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ACFFCED" w14:textId="31A6D1F4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поясни, че прилагайки предложенията предприятието оценява на ниво отчитащо се предприятие дали то инвестира в хода на основната си стопанска дейност или предоставя финансиране на клиенти като основна стопанска дейност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826C719" w14:textId="31F8C3FC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реши също така в порядък на работна хипотеза 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поясни, че прилагайки предложенията предприятието прилага перспективно промяна в резултатите от оценяването дали то инвестира в хода на основната си стопанска дейност или предоставя финансиране на клиенти като основна стопанска дейност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така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прилагайки предложенията, предприятието не преизчислява сравнителните данни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2B0C9FF" w14:textId="40B61FCC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В допълнение на това IASB реши в порядък на работна хипотеза </w:t>
      </w:r>
      <w:r w:rsidR="00DF35CE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изисква предприятието да оповестява следното</w:t>
      </w:r>
      <w:r w:rsidR="00E2337F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когато е налице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2337F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промяна в резултатите от оценяването дали то инвестира в хода на основната си стопанска дейност или предоставя финансиране на клиенти като основна стопанска дейност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3421327" w14:textId="74A81597" w:rsidR="00683F9D" w:rsidRPr="00B34CC0" w:rsidRDefault="00E2337F" w:rsidP="00683F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факта, че е имало промяна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8E59F00" w14:textId="1CF3320E" w:rsidR="00683F9D" w:rsidRPr="00B34CC0" w:rsidRDefault="00E2337F" w:rsidP="00683F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информация относно ефекта от промяната, която би позволила на потребителите да извършат анализ на тенденциите във връзка с оперативната печалба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единадесетте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C11A90E" w14:textId="3C2C99C7" w:rsidR="00683F9D" w:rsidRPr="00B34CC0" w:rsidRDefault="008A0FA5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lastRenderedPageBreak/>
        <w:t xml:space="preserve">Оценки на ръководството за резултатите от дейността 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местоположението и кръстосаните препратки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21</w:t>
      </w:r>
      <w:r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6C8F40D8" w14:textId="0D293066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EB7989A" w14:textId="3A868F3C" w:rsidR="00683F9D" w:rsidRPr="00B34CC0" w:rsidRDefault="00F118D4" w:rsidP="00683F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потвърди предложеното изискване предприятието да оповестява информация относно оценките на ръководството за резултатите от дейността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едно единствено пояснително приложение към финансовия отчет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46628C7" w14:textId="521FD3A6" w:rsidR="00683F9D" w:rsidRPr="00B34CC0" w:rsidRDefault="00F118D4" w:rsidP="00683F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добавя изисквания, отнасящи се до това предприятието да включва оповестявания относно оценките на ръководството за резултатите от дейността във финансовия отчет чрез препратка към друг документ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реши, че не е необходимо да забранява включването на изискваните оповестявания във финансовия отчет чрез препратка към друг документ, тъй като широко разпространена практика е изискваните оповестявания да се включват посредством препратка към друг документ само когато това е изрично разрешено от счетоводен </w:t>
      </w:r>
      <w:r w:rsidR="00134E9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МСФО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стандарт.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E375C86" w14:textId="3248672C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F118D4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също така оповестяванията в пояснителните приложения към финансовия отчет на оценки, които не са съгласно Общоприетите счетоводни принципи и не представляват оценки на ръководството за резултатите от дейността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33601C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бе поискано да взема каквито и да е решения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CE52877" w14:textId="715F91D8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E4E4860" w14:textId="23374333" w:rsidR="00683F9D" w:rsidRPr="00B34CC0" w:rsidRDefault="00F118D4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с повторните разисквания на предложенията по проекта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C3B817D" w14:textId="0CC55AAF" w:rsidR="00683F9D" w:rsidRPr="00B34CC0" w:rsidRDefault="00EF4238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Бизнес комбинации под общ контрол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23)</w:t>
      </w:r>
    </w:p>
    <w:p w14:paraId="31E36091" w14:textId="20845185" w:rsidR="00683F9D" w:rsidRPr="00B34CC0" w:rsidRDefault="002775EF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24 март 2022 г. IASB проведе заседание, за да разисква </w:t>
      </w:r>
      <w:r w:rsidR="00F118D4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целта и обхвата на проекта относно бизнес комбинациите под общ контрол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AFC7171" w14:textId="42D0E6BA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18D4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актуализира целта на проекта, така че да отрази етапа на проекта и да подчертае, че при разработването на изискванията за отчитане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BF77B6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взема под внимание нуждите на потребителите на финансовите отчети на получаващото предприятие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BF77B6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т.е. на отчитащото се предприятие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198E2ED" w14:textId="738624B1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1468713" w14:textId="72F06191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BF77B6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разширява обхвата на проекта, за да адресира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9B8A9BD" w14:textId="2B9E228A" w:rsidR="00683F9D" w:rsidRPr="00B34CC0" w:rsidRDefault="004363DA" w:rsidP="00683F9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отчитането от предприятие в бизнес комбинация под общ контрол, различно от получаващото предприятие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2C54763A" w14:textId="111F1BFC" w:rsidR="00683F9D" w:rsidRPr="00B34CC0" w:rsidRDefault="004363DA" w:rsidP="00683F9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отчитането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индивидуалните финансови отчети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получаващото предприятие, придобиващо контрол над инвестиция в дъщерно предприятие от страна под общ контрол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</w:t>
      </w:r>
    </w:p>
    <w:p w14:paraId="3F485C3F" w14:textId="69945AE1" w:rsidR="00683F9D" w:rsidRPr="00B34CC0" w:rsidRDefault="004363DA" w:rsidP="00683F9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отчитането на сделки и операции под общ контрол,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различни от бизнес комбинациите под общ контрол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607BA2C" w14:textId="53B30A30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единадесетте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17E094C" w14:textId="7596F8D4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B375DE2" w14:textId="063C5224" w:rsidR="00683F9D" w:rsidRPr="00B34CC0" w:rsidRDefault="004363DA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свое заседание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разисква други предложения, произтичащи от проекта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619868F" w14:textId="193A20D1" w:rsidR="00683F9D" w:rsidRPr="00B34CC0" w:rsidRDefault="00EF4238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Втори всеобхватен преглед на счетоводния стандарт МСФО за МСП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30)</w:t>
      </w:r>
    </w:p>
    <w:p w14:paraId="4C4C10FD" w14:textId="5584F56C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24 март 2022 г. IASB проведе заседание, за да обсъди </w:t>
      </w:r>
      <w:r w:rsidR="004363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дали и ако да – как – да предложи изменения в</w:t>
      </w:r>
      <w:bookmarkStart w:id="1" w:name="_Hlk103154600"/>
      <w:r w:rsidR="004363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F4238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EF4238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bookmarkEnd w:id="1"/>
      <w:r w:rsidR="004363D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част от втория всеобхватен преглед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D348943" w14:textId="47B8C56C" w:rsidR="00683F9D" w:rsidRPr="00B34CC0" w:rsidRDefault="004363DA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Към Проект за обсъждане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хармонизиране на изискванията за оповестяване със счетоводните </w:t>
      </w:r>
      <w:r w:rsidR="00134E9C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МСФО 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стандарти 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30A)</w:t>
      </w:r>
    </w:p>
    <w:p w14:paraId="03829088" w14:textId="315907A6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относно подход за разработване на предложените изменения в изискванията за оповестяване в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F4238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EF4238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F6733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="00EF4238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които биха довели до съответствие между тези изисквания за оповестяване и Проекта за обсъждане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F6733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Дъщерни предприятия без публична отчетност</w:t>
      </w:r>
      <w:r w:rsidR="00683F9D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F6733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оповестявания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2EF65EE" w14:textId="6EBC1ED1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52641F6" w14:textId="3F301F42" w:rsidR="00683F9D" w:rsidRPr="00B34CC0" w:rsidRDefault="004363DA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="00344B32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9 </w:t>
      </w:r>
      <w:r w:rsidR="00BE40A3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Финансови инструменти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 (</w:t>
      </w:r>
      <w:r w:rsidR="00BE40A3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издадени договори за финансови гаранции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)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="00F67333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57BD66CA" w14:textId="60451DAE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изменения в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F5FE5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EF5FE5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F67333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, </w:t>
      </w:r>
      <w:r w:rsidR="00F67333" w:rsidRPr="00B34CC0">
        <w:rPr>
          <w:rFonts w:ascii="Helvetica" w:eastAsia="Times New Roman" w:hAnsi="Helvetica" w:cs="Helvetica"/>
          <w:iCs/>
          <w:color w:val="575757"/>
          <w:sz w:val="24"/>
          <w:szCs w:val="24"/>
          <w:lang w:val="bg-BG"/>
        </w:rPr>
        <w:t xml:space="preserve">така че да изисква емитентът на договор за финансова гаранция да оценява първоначално този договор по 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получената премия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плюс настоящата стойност на всички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подлежащи на получаване бъдещи премийни плащания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67333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 впоследствие да го оценява по по-високата от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81D26EE" w14:textId="5A3729D2" w:rsidR="00683F9D" w:rsidRPr="00B34CC0" w:rsidRDefault="00F67333" w:rsidP="00683F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очакваните кредитни загуби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</w:p>
    <w:p w14:paraId="316B403E" w14:textId="0EFC1050" w:rsidR="00683F9D" w:rsidRPr="00B34CC0" w:rsidRDefault="00F67333" w:rsidP="00683F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първоначално признатата сума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ако има такава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амортизирана на линейна база в течение на срока на гаранцията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A8C64CF" w14:textId="682E1BDF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единадесетте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70454AE" w14:textId="05C9C7AA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C317E3C" w14:textId="611B07A3" w:rsidR="00683F9D" w:rsidRPr="00B34CC0" w:rsidRDefault="00F67333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свое заседание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разработва предложенията по проекта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1C4BAB6" w14:textId="6BA11A1C" w:rsidR="00683F9D" w:rsidRPr="00B34CC0" w:rsidRDefault="00DA0A97" w:rsidP="00683F9D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Поддържане и последователно прилагане</w:t>
      </w:r>
    </w:p>
    <w:p w14:paraId="433B95C9" w14:textId="280D7642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Поддържане и последователно прилагане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12)</w:t>
      </w:r>
    </w:p>
    <w:p w14:paraId="5FEE064D" w14:textId="51EF5FB7" w:rsidR="00683F9D" w:rsidRPr="00B34CC0" w:rsidRDefault="002775EF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23 март 2022 г. IASB проведе заседание, за да разгледа решение по програмата</w:t>
      </w:r>
      <w:r w:rsidR="008A3E8B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и други въпроси, обсъждани на заседанието през февруари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8A3E8B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 на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F5FE5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Комитета по разясненията на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974A059" w14:textId="65385DAC" w:rsidR="00683F9D" w:rsidRPr="00B34CC0" w:rsidRDefault="00191460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bookmarkStart w:id="2" w:name="_Hlk103155013"/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Целеви операции по дългосрочно рефинансиране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III </w:t>
      </w:r>
      <w:bookmarkEnd w:id="2"/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9 </w:t>
      </w:r>
      <w:r w:rsidR="008A3E8B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и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МСС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20): </w:t>
      </w:r>
      <w:r w:rsidR="00DA0A97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Финализиране на решението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12A)</w:t>
      </w:r>
    </w:p>
    <w:p w14:paraId="1A385126" w14:textId="15CDD137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8A3E8B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разгледа въпроса дали член на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8A3E8B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възразява срещу решението по програмата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191460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Целеви операции по дългосрочно рефинансиране III</w:t>
      </w:r>
      <w:r w:rsidR="00191460" w:rsidRPr="00B34CC0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9 </w:t>
      </w:r>
      <w:r w:rsidR="00EF5FE5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EF5FE5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20 </w:t>
      </w:r>
      <w:r w:rsidR="00EF5FE5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Счетоводно отчитане на безвъзмездни средства, предоставени от държавата и оповестяване на държавна помощ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7D8DD7F9" w14:textId="2E8E9D44" w:rsidR="00683F9D" w:rsidRPr="00B34CC0" w:rsidRDefault="008A3E8B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Нито един от членовете на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възрази срещу решението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5A35C00" w14:textId="0E107196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270D3F3F" w14:textId="33D5E80A" w:rsidR="00683F9D" w:rsidRPr="00B34CC0" w:rsidRDefault="008A3E8B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Решението по програмата ще бъде публикувано през март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т. в допълнение към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hyperlink r:id="rId18" w:history="1">
        <w:r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Бюлетина с актуална информация на КРМСФО за февруари</w:t>
        </w:r>
        <w:r w:rsidR="00683F9D" w:rsidRPr="00B34CC0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</w:hyperlink>
      <w:r w:rsidRPr="00B34CC0"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 xml:space="preserve"> г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2402628" w14:textId="0952537E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Актуална информация от КРМСФО за февруари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2022</w:t>
      </w: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г.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</w:t>
      </w: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Б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)</w:t>
      </w:r>
    </w:p>
    <w:p w14:paraId="3204B74E" w14:textId="0FE4F1F8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8A3E8B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 запознат с актуална информация от заседанието през февруари 2022 г. на Комитета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A3E8B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Подробности за това заседание са публикувани в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8A3E8B" w:rsidRPr="00B34CC0"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>Бюлетина с актуална информация на КРМСФО за февруари 2022 г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9F8FEF4" w14:textId="437568E3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059CBC0" w14:textId="04A5768F" w:rsidR="00683F9D" w:rsidRPr="00B34CC0" w:rsidRDefault="00DA0A97" w:rsidP="00683F9D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lastRenderedPageBreak/>
        <w:t>Стратегия и общо управление</w:t>
      </w:r>
    </w:p>
    <w:p w14:paraId="6FEA815A" w14:textId="319D9AC5" w:rsidR="00683F9D" w:rsidRPr="00B34CC0" w:rsidRDefault="00DA0A97" w:rsidP="00683F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Трето допитване във връзка с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24)</w:t>
      </w:r>
    </w:p>
    <w:p w14:paraId="12715C86" w14:textId="358828F4" w:rsidR="00683F9D" w:rsidRPr="00B34CC0" w:rsidRDefault="002775EF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22 март 2022 г. IASB проведе заседание, за да обсъди 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нови финансово-отчетни въпроси, които да бъдат добавени към работната програма на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за периода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–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2026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1F739DA" w14:textId="78863773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4732A60" w14:textId="2F0699BC" w:rsidR="00683F9D" w:rsidRPr="00B34CC0" w:rsidRDefault="00F151C9" w:rsidP="00683F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подход за анализ на потенциалните проекти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24A);</w:t>
      </w:r>
    </w:p>
    <w:p w14:paraId="712D77F8" w14:textId="7A42EF7F" w:rsidR="00683F9D" w:rsidRPr="00B34CC0" w:rsidRDefault="00F151C9" w:rsidP="00683F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предложение за кратък списък с потенциални проекти, който да бъде обсъден на бъдещо заседание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);</w:t>
      </w:r>
    </w:p>
    <w:p w14:paraId="78604FCA" w14:textId="37367C97" w:rsidR="00683F9D" w:rsidRPr="00B34CC0" w:rsidRDefault="00F151C9" w:rsidP="00683F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други потенциални проекти, описани в Приложение Б към Искането за предоставяне на информация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Трето допитване във връзка с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(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);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21E1EB66" w14:textId="536021FD" w:rsidR="00683F9D" w:rsidRPr="00B34CC0" w:rsidRDefault="00F151C9" w:rsidP="00683F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други предложения за потенциални проекти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73107AFF" w14:textId="4827B7D5" w:rsidR="00683F9D" w:rsidRPr="00B34CC0" w:rsidRDefault="00344B32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F151C9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Потенциални проекти</w:t>
      </w:r>
      <w:r w:rsidR="00683F9D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—</w:t>
      </w:r>
      <w:r w:rsidR="00F151C9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Обобщение на обратната информация във връзка с предложени проекти за включване в краткия списък</w:t>
      </w:r>
      <w:r w:rsidR="00683F9D" w:rsidRPr="00B34CC0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—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 предоставен единствено с информационна цел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A4B8BC3" w14:textId="0D6D984B" w:rsidR="00683F9D" w:rsidRPr="00B34CC0" w:rsidRDefault="00F151C9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Потенциални проекти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подход за анализа, осъществяван от екипа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24A)</w:t>
      </w:r>
    </w:p>
    <w:p w14:paraId="1F3D8CE3" w14:textId="6671DC93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подхода си за анализиране на потенциалните проекти и следващите стъпки, които трябва да бъдат предприети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7529A2A" w14:textId="45187029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6F0EB7D" w14:textId="3FDD5118" w:rsidR="00683F9D" w:rsidRPr="00B34CC0" w:rsidRDefault="00F151C9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Потенциални проекти 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предложение за кратък списък с потенциални проекти 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24</w:t>
      </w:r>
      <w:r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7386F705" w14:textId="080DFA10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151C9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включи в краткия списък следните проекти, които да бъдат обсъдени на бъдещо заседание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BBF6824" w14:textId="5645B988" w:rsidR="00683F9D" w:rsidRPr="00B34CC0" w:rsidRDefault="00F151C9" w:rsidP="00683F9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рискове, свързани с климата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190AE128" w14:textId="65F61849" w:rsidR="00683F9D" w:rsidRPr="00B34CC0" w:rsidRDefault="00F151C9" w:rsidP="00683F9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криптовалути и свързаните с тях операции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516C7839" w14:textId="2634F557" w:rsidR="00683F9D" w:rsidRPr="00B34CC0" w:rsidRDefault="00F151C9" w:rsidP="00683F9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оповестяване на предположението за действащо предприятие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494D017E" w14:textId="29181B5D" w:rsidR="00683F9D" w:rsidRPr="00B34CC0" w:rsidRDefault="00F151C9" w:rsidP="00683F9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нематериални активи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2A3F0FFF" w14:textId="1EFD0D0E" w:rsidR="00683F9D" w:rsidRPr="00B34CC0" w:rsidRDefault="00F151C9" w:rsidP="00683F9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оперативни сегменти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50557F94" w14:textId="4B0F5821" w:rsidR="00683F9D" w:rsidRPr="00B34CC0" w:rsidRDefault="00F151C9" w:rsidP="00F151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механизми за определяне на цените на замърсителите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7B0C37B7" w14:textId="7F1175F6" w:rsidR="00683F9D" w:rsidRPr="00B34CC0" w:rsidRDefault="00F151C9" w:rsidP="00683F9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отчет за паричните потоци и свързани с него въпроси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EC2575A" w14:textId="40544839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09DD284" w14:textId="0AFB0067" w:rsidR="00683F9D" w:rsidRPr="00B34CC0" w:rsidRDefault="00F151C9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На бъдещо свое заседание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вземе решение кои от включените в краткия списък проекти да добави към работната си програма за периода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-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2026 </w:t>
      </w: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</w:t>
      </w:r>
    </w:p>
    <w:p w14:paraId="61A1DBFB" w14:textId="5548A673" w:rsidR="00683F9D" w:rsidRPr="00B34CC0" w:rsidRDefault="00F151C9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Потенциални проекти 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други проекти, описани в Искането за предоставяне на информация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24</w:t>
      </w:r>
      <w:r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В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198117B5" w14:textId="32D217DE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B34CC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 никой от потенциалните проекти в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="00B34CC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не следва да бъде включен в краткия списък за обсъждане на бъдещо заседание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8774756" w14:textId="12C8C063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2F853C8" w14:textId="61B6B451" w:rsidR="00683F9D" w:rsidRPr="00B34CC0" w:rsidRDefault="00F151C9" w:rsidP="00683F9D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Потенциални проекти </w:t>
      </w:r>
      <w:r w:rsidR="00683F9D"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34CC0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други предложения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344B32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24</w:t>
      </w:r>
      <w:r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Г</w:t>
      </w:r>
      <w:r w:rsidR="00683F9D" w:rsidRPr="00B34CC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6BB2F991" w14:textId="38C594CD" w:rsidR="00683F9D" w:rsidRPr="00B34CC0" w:rsidRDefault="00726B48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B34CC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B34CC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че никой от потенциалните проекти в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 по програмата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24</w:t>
      </w:r>
      <w:r w:rsidR="00B34CC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B34CC0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следва да бъде включен в краткия списък за обсъждане на бъдещо заседание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C1D2EAE" w14:textId="411AF6FB" w:rsidR="00683F9D" w:rsidRPr="00B34CC0" w:rsidRDefault="0033601C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683F9D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6949E8F" w14:textId="4D108A85" w:rsidR="00683F9D" w:rsidRPr="00B34CC0" w:rsidRDefault="0083346A" w:rsidP="00683F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bookmarkStart w:id="3" w:name="_Hlk103154371"/>
      <w:r w:rsidRPr="00B34CC0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  <w:bookmarkEnd w:id="3"/>
    </w:p>
    <w:p w14:paraId="5E938327" w14:textId="302414D0" w:rsidR="00683F9D" w:rsidRPr="00B34CC0" w:rsidRDefault="00683F9D" w:rsidP="00683F9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ще обсъди включените </w:t>
      </w:r>
      <w:r w:rsidR="0083346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краткия списък</w:t>
      </w:r>
      <w:r w:rsidR="00344B32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проекти и ще реши кои от тях да добави към работната си програма</w:t>
      </w:r>
      <w:r w:rsidR="0083346A" w:rsidRPr="00B34CC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за периода 2022 – 2026 г.</w:t>
      </w:r>
    </w:p>
    <w:sectPr w:rsidR="00683F9D" w:rsidRPr="00B3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38E"/>
    <w:multiLevelType w:val="multilevel"/>
    <w:tmpl w:val="C116EA30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50F5C"/>
    <w:multiLevelType w:val="multilevel"/>
    <w:tmpl w:val="DE4C9298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04BFC"/>
    <w:multiLevelType w:val="multilevel"/>
    <w:tmpl w:val="125A6BD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numFmt w:val="lowerRoman"/>
      <w:lvlText w:val="%2."/>
      <w:lvlJc w:val="right"/>
      <w:pPr>
        <w:tabs>
          <w:tab w:val="num" w:pos="2062"/>
        </w:tabs>
        <w:ind w:left="2062" w:hanging="360"/>
      </w:pPr>
    </w:lvl>
    <w:lvl w:ilvl="2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6005E"/>
    <w:multiLevelType w:val="multilevel"/>
    <w:tmpl w:val="0FA8235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D16DF"/>
    <w:multiLevelType w:val="hybridMultilevel"/>
    <w:tmpl w:val="3CEC9F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337"/>
    <w:multiLevelType w:val="multilevel"/>
    <w:tmpl w:val="2362E9A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C2F1A"/>
    <w:multiLevelType w:val="multilevel"/>
    <w:tmpl w:val="60F4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D4A75"/>
    <w:multiLevelType w:val="multilevel"/>
    <w:tmpl w:val="0AA24EF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F265F"/>
    <w:multiLevelType w:val="multilevel"/>
    <w:tmpl w:val="9E94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35BA6"/>
    <w:multiLevelType w:val="multilevel"/>
    <w:tmpl w:val="3C4EFAA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F1768"/>
    <w:multiLevelType w:val="multilevel"/>
    <w:tmpl w:val="6C1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75380"/>
    <w:multiLevelType w:val="multilevel"/>
    <w:tmpl w:val="4FD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E7490"/>
    <w:multiLevelType w:val="multilevel"/>
    <w:tmpl w:val="35C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C00E4"/>
    <w:multiLevelType w:val="multilevel"/>
    <w:tmpl w:val="39607310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E174E"/>
    <w:multiLevelType w:val="multilevel"/>
    <w:tmpl w:val="722E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8356D"/>
    <w:multiLevelType w:val="multilevel"/>
    <w:tmpl w:val="99A8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9300B7"/>
    <w:multiLevelType w:val="multilevel"/>
    <w:tmpl w:val="5BD0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549115">
    <w:abstractNumId w:val="12"/>
  </w:num>
  <w:num w:numId="2" w16cid:durableId="313801731">
    <w:abstractNumId w:val="10"/>
  </w:num>
  <w:num w:numId="3" w16cid:durableId="1566183757">
    <w:abstractNumId w:val="6"/>
  </w:num>
  <w:num w:numId="4" w16cid:durableId="1019236013">
    <w:abstractNumId w:val="11"/>
  </w:num>
  <w:num w:numId="5" w16cid:durableId="1130593854">
    <w:abstractNumId w:val="14"/>
  </w:num>
  <w:num w:numId="6" w16cid:durableId="1873348691">
    <w:abstractNumId w:val="1"/>
  </w:num>
  <w:num w:numId="7" w16cid:durableId="1907641299">
    <w:abstractNumId w:val="8"/>
  </w:num>
  <w:num w:numId="8" w16cid:durableId="856503240">
    <w:abstractNumId w:val="5"/>
  </w:num>
  <w:num w:numId="9" w16cid:durableId="707487592">
    <w:abstractNumId w:val="15"/>
  </w:num>
  <w:num w:numId="10" w16cid:durableId="641927681">
    <w:abstractNumId w:val="2"/>
  </w:num>
  <w:num w:numId="11" w16cid:durableId="306321301">
    <w:abstractNumId w:val="7"/>
  </w:num>
  <w:num w:numId="12" w16cid:durableId="1446534775">
    <w:abstractNumId w:val="0"/>
  </w:num>
  <w:num w:numId="13" w16cid:durableId="203107150">
    <w:abstractNumId w:val="9"/>
  </w:num>
  <w:num w:numId="14" w16cid:durableId="2116712163">
    <w:abstractNumId w:val="3"/>
  </w:num>
  <w:num w:numId="15" w16cid:durableId="1033114690">
    <w:abstractNumId w:val="16"/>
  </w:num>
  <w:num w:numId="16" w16cid:durableId="970214028">
    <w:abstractNumId w:val="13"/>
  </w:num>
  <w:num w:numId="17" w16cid:durableId="1138959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9D"/>
    <w:rsid w:val="000F7AB2"/>
    <w:rsid w:val="00106B88"/>
    <w:rsid w:val="0011524A"/>
    <w:rsid w:val="00134E9C"/>
    <w:rsid w:val="00191460"/>
    <w:rsid w:val="002149F6"/>
    <w:rsid w:val="002775EF"/>
    <w:rsid w:val="0033601C"/>
    <w:rsid w:val="00344B32"/>
    <w:rsid w:val="003B7EA7"/>
    <w:rsid w:val="004363DA"/>
    <w:rsid w:val="00443955"/>
    <w:rsid w:val="00532E64"/>
    <w:rsid w:val="00683F9D"/>
    <w:rsid w:val="006A714D"/>
    <w:rsid w:val="006D58D3"/>
    <w:rsid w:val="006E7BDF"/>
    <w:rsid w:val="00726B48"/>
    <w:rsid w:val="0081562E"/>
    <w:rsid w:val="0083346A"/>
    <w:rsid w:val="00885A80"/>
    <w:rsid w:val="008A0FA5"/>
    <w:rsid w:val="008A3E8B"/>
    <w:rsid w:val="00916DDA"/>
    <w:rsid w:val="00AC7628"/>
    <w:rsid w:val="00B20CED"/>
    <w:rsid w:val="00B34CC0"/>
    <w:rsid w:val="00BE40A3"/>
    <w:rsid w:val="00BE60FE"/>
    <w:rsid w:val="00BF77B6"/>
    <w:rsid w:val="00C04691"/>
    <w:rsid w:val="00DA0A97"/>
    <w:rsid w:val="00DF35CE"/>
    <w:rsid w:val="00E2337F"/>
    <w:rsid w:val="00EF4238"/>
    <w:rsid w:val="00EF5FE5"/>
    <w:rsid w:val="00F118D4"/>
    <w:rsid w:val="00F151C9"/>
    <w:rsid w:val="00F30B26"/>
    <w:rsid w:val="00F67333"/>
    <w:rsid w:val="00FD52FC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E787"/>
  <w15:chartTrackingRefBased/>
  <w15:docId w15:val="{A6100872-931A-4599-B13A-7B2C8711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E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9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05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8" w:space="0" w:color="C6C6C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1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5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2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4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/2022/iasb-update-march-2022/" TargetMode="External"/><Relationship Id="rId13" Type="http://schemas.openxmlformats.org/officeDocument/2006/relationships/hyperlink" Target="https://www.ifrs.org/news-and-events/updates/iasb/2022/iasb-update-march-2022/" TargetMode="External"/><Relationship Id="rId18" Type="http://schemas.openxmlformats.org/officeDocument/2006/relationships/hyperlink" Target="https://www.ifrs.org/content/ifrs/home/news-and-events/updates/ifric/2022/ifric-update-february-20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/2022/iasb-update-march-2022/" TargetMode="External"/><Relationship Id="rId12" Type="http://schemas.openxmlformats.org/officeDocument/2006/relationships/hyperlink" Target="https://www.ifrs.org/news-and-events/updates/iasb/2022/iasb-update-march-2022/" TargetMode="External"/><Relationship Id="rId17" Type="http://schemas.openxmlformats.org/officeDocument/2006/relationships/hyperlink" Target="https://www.ifrs.org/news-and-events/updates/iasb/2022/iasb-update-march-2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rs.org/news-and-events/updates/iasb/2022/iasb-update-march-202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frs.org/content/ifrs/home/news-and-events/calendar/2022/march/international-accounting-standards-board.html" TargetMode="External"/><Relationship Id="rId11" Type="http://schemas.openxmlformats.org/officeDocument/2006/relationships/hyperlink" Target="https://www.ifrs.org/news-and-events/updates/iasb/2022/iasb-update-march-2022/" TargetMode="External"/><Relationship Id="rId5" Type="http://schemas.openxmlformats.org/officeDocument/2006/relationships/hyperlink" Target="https://www.ifrs.org/content/ifrs/home/projects/work-plan.html" TargetMode="External"/><Relationship Id="rId15" Type="http://schemas.openxmlformats.org/officeDocument/2006/relationships/hyperlink" Target="https://www.ifrs.org/news-and-events/updates/iasb/2022/iasb-update-march-2022/" TargetMode="External"/><Relationship Id="rId10" Type="http://schemas.openxmlformats.org/officeDocument/2006/relationships/hyperlink" Target="https://www.ifrs.org/news-and-events/updates/iasb/2022/iasb-update-march-202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/2022/iasb-update-march-2022/" TargetMode="External"/><Relationship Id="rId14" Type="http://schemas.openxmlformats.org/officeDocument/2006/relationships/hyperlink" Target="https://www.ifrs.org/news-and-events/updates/iasb/2022/iasb-update-march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User</cp:lastModifiedBy>
  <cp:revision>11</cp:revision>
  <dcterms:created xsi:type="dcterms:W3CDTF">2022-05-12T13:22:00Z</dcterms:created>
  <dcterms:modified xsi:type="dcterms:W3CDTF">2022-05-13T03:45:00Z</dcterms:modified>
</cp:coreProperties>
</file>