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8A67" w14:textId="63DB20FE" w:rsidR="00711D1F" w:rsidRPr="00F2549A" w:rsidRDefault="00F14B1D" w:rsidP="00711D1F">
      <w:pPr>
        <w:shd w:val="clear" w:color="auto" w:fill="A41F35"/>
        <w:spacing w:before="465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FFFFFF"/>
          <w:kern w:val="36"/>
          <w:sz w:val="48"/>
          <w:szCs w:val="48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FFFFFF"/>
          <w:kern w:val="36"/>
          <w:sz w:val="48"/>
          <w:szCs w:val="48"/>
          <w:lang w:val="bg-BG"/>
        </w:rPr>
        <w:t>Информационен бюлетин на Съвета по международни счетоводни стандарти (IASB) – февруари 2022 г.</w:t>
      </w:r>
    </w:p>
    <w:p w14:paraId="65A6955D" w14:textId="77777777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</w:p>
    <w:p w14:paraId="3D5DE36F" w14:textId="758FA9B4" w:rsidR="00711D1F" w:rsidRPr="00F2549A" w:rsidRDefault="00F14B1D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Настоящият бюлетин на Съвета по международни счетоводни стандарти (IASB) представя предварителните решения на Съвета. Проектите, засегнати от тези решения могат да бъдат намерени в </w:t>
      </w:r>
      <w:hyperlink r:id="rId5" w:history="1">
        <w:r w:rsidRPr="00F2549A">
          <w:rPr>
            <w:rStyle w:val="Hyperlink"/>
            <w:rFonts w:ascii="Helvetica" w:eastAsia="Times New Roman" w:hAnsi="Helvetica" w:cs="Helvetica"/>
            <w:sz w:val="24"/>
            <w:szCs w:val="24"/>
            <w:lang w:val="bg-BG"/>
          </w:rPr>
          <w:t>работната програма</w:t>
        </w:r>
      </w:hyperlink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 Окончателните решения на Съвета по международни счетоводни стандарти относно МСФО стандарти (IFRS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vertAlign w:val="superscript"/>
          <w:lang w:val="bg-BG"/>
        </w:rPr>
        <w:t>®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Standards), Изменения и Разяснения (IFRIC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vertAlign w:val="superscript"/>
          <w:lang w:val="bg-BG"/>
        </w:rPr>
        <w:t>®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 Interpretations) се подлагат на официално гласуване, съгласно предвиденото в </w:t>
      </w:r>
      <w:r w:rsidRPr="00F2549A">
        <w:rPr>
          <w:rFonts w:ascii="Helvetica" w:eastAsia="Times New Roman" w:hAnsi="Helvetica" w:cs="Helvetica"/>
          <w:i/>
          <w:color w:val="575757"/>
          <w:sz w:val="24"/>
          <w:szCs w:val="24"/>
          <w:lang w:val="bg-BG"/>
        </w:rPr>
        <w:t>Ръководството по регламентираната процедура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на Фондация МСФО (IFRS Foundation)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5EAE693" w14:textId="04F82FA6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проведе заседание на </w:t>
      </w:r>
      <w:hyperlink r:id="rId6" w:history="1">
        <w:r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21–24 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февруари</w:t>
        </w:r>
        <w:r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2022</w:t>
        </w:r>
      </w:hyperlink>
      <w:r w:rsidR="00F14B1D" w:rsidRPr="00F2549A">
        <w:rPr>
          <w:rFonts w:ascii="Helvetica" w:eastAsia="Times New Roman" w:hAnsi="Helvetica" w:cs="Helvetica"/>
          <w:color w:val="CD3333"/>
          <w:sz w:val="24"/>
          <w:szCs w:val="24"/>
          <w:u w:val="single"/>
          <w:lang w:val="bg-BG"/>
        </w:rPr>
        <w:t xml:space="preserve"> г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DAD63FE" w14:textId="778CD56B" w:rsidR="00711D1F" w:rsidRPr="00F2549A" w:rsidRDefault="00F14B1D" w:rsidP="00711D1F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  <w:t>Съдържание</w:t>
      </w:r>
    </w:p>
    <w:p w14:paraId="5FE2029B" w14:textId="70A988A1" w:rsidR="00711D1F" w:rsidRPr="00F2549A" w:rsidRDefault="00F14B1D" w:rsidP="00711D1F">
      <w:pPr>
        <w:shd w:val="clear" w:color="auto" w:fill="FFFFFF"/>
        <w:spacing w:before="450" w:after="30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Изследователска работа и изготвяне и въвеждане на стандарти</w:t>
      </w:r>
    </w:p>
    <w:p w14:paraId="7C8ACD65" w14:textId="689C7E17" w:rsidR="00711D1F" w:rsidRPr="00F2549A" w:rsidRDefault="00DE1CD9" w:rsidP="00711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7" w:anchor="1" w:history="1"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Динамично управление на риска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4)</w:t>
        </w:r>
      </w:hyperlink>
    </w:p>
    <w:p w14:paraId="73F69AC4" w14:textId="0D7F06D4" w:rsidR="00711D1F" w:rsidRPr="00F2549A" w:rsidRDefault="00DE1CD9" w:rsidP="00711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8" w:anchor="2" w:history="1"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Финансови инструменти с характеристики на собствен капитал 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(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5)</w:t>
        </w:r>
      </w:hyperlink>
    </w:p>
    <w:p w14:paraId="569C53CD" w14:textId="3AF99F51" w:rsidR="00711D1F" w:rsidRPr="00F2549A" w:rsidRDefault="00DE1CD9" w:rsidP="00711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9" w:anchor="3" w:history="1"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Преглед след въвеждане на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МСФО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10, 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МСФО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11 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и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МСФО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12 (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7)</w:t>
        </w:r>
      </w:hyperlink>
    </w:p>
    <w:p w14:paraId="4647D064" w14:textId="5684BEDA" w:rsidR="00711D1F" w:rsidRPr="00F2549A" w:rsidRDefault="00DE1CD9" w:rsidP="00711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0" w:anchor="4" w:history="1"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Дейности с регулирани цени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9)</w:t>
        </w:r>
      </w:hyperlink>
    </w:p>
    <w:p w14:paraId="4C125BE7" w14:textId="78048609" w:rsidR="00711D1F" w:rsidRPr="00F2549A" w:rsidRDefault="00DE1CD9" w:rsidP="00711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1" w:anchor="5" w:history="1"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Инициатива за оповестяване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—</w:t>
        </w:r>
        <w:r w:rsidR="001B0F38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целеви преглед на ниво стандарти на оповестяванията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11)</w:t>
        </w:r>
      </w:hyperlink>
    </w:p>
    <w:p w14:paraId="775C8302" w14:textId="75F68383" w:rsidR="00711D1F" w:rsidRPr="00F2549A" w:rsidRDefault="00DE1CD9" w:rsidP="00711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2" w:anchor="6" w:history="1">
        <w:r w:rsidR="001B0F38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Основни финансови отчети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21)</w:t>
        </w:r>
      </w:hyperlink>
    </w:p>
    <w:p w14:paraId="331AD89E" w14:textId="29B5CC37" w:rsidR="00711D1F" w:rsidRPr="00F2549A" w:rsidRDefault="00DE1CD9" w:rsidP="00711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3" w:anchor="7" w:history="1">
        <w:r w:rsidR="001B0F38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Втори всеобхватен преглед на стандарта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 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МСФО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</w:t>
        </w:r>
        <w:r w:rsidR="001B0F38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за МСП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30)</w:t>
        </w:r>
      </w:hyperlink>
    </w:p>
    <w:p w14:paraId="27F4E6AA" w14:textId="0B388F25" w:rsidR="00711D1F" w:rsidRPr="00F2549A" w:rsidRDefault="00F14B1D" w:rsidP="00711D1F">
      <w:pPr>
        <w:shd w:val="clear" w:color="auto" w:fill="FFFFFF"/>
        <w:spacing w:before="450" w:after="30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Поддържане и последователно прилагане</w:t>
      </w:r>
    </w:p>
    <w:p w14:paraId="7941C33F" w14:textId="05CEBC5A" w:rsidR="00711D1F" w:rsidRPr="00F2549A" w:rsidRDefault="00DE1CD9" w:rsidP="00711D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4" w:anchor="8" w:history="1">
        <w:r w:rsidR="001B0F38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Поддържане и последователно прилагане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12)</w:t>
        </w:r>
      </w:hyperlink>
    </w:p>
    <w:p w14:paraId="6AEC50A1" w14:textId="644619B0" w:rsidR="00711D1F" w:rsidRPr="00F2549A" w:rsidRDefault="00DE1CD9" w:rsidP="00711D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5" w:anchor="9" w:history="1">
        <w:r w:rsidR="001B0F38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Наличие на възстановяване на суми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7B10CE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Изменения в КРМСФО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14): </w:t>
        </w:r>
        <w:r w:rsidR="001B0F38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преглед на проекта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12A)</w:t>
        </w:r>
      </w:hyperlink>
    </w:p>
    <w:p w14:paraId="06DE1D5D" w14:textId="114468CE" w:rsidR="00711D1F" w:rsidRPr="00F2549A" w:rsidRDefault="00DE1CD9" w:rsidP="00711D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6" w:anchor="10" w:history="1">
        <w:r w:rsidR="001B0F38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Провизии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—</w:t>
        </w:r>
        <w:r w:rsidR="001B0F38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целеви подобрения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: </w:t>
        </w:r>
        <w:r w:rsidR="001B0F38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преглед на проекта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12</w:t>
        </w:r>
        <w:r w:rsidR="001B0F38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Б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)</w:t>
        </w:r>
      </w:hyperlink>
    </w:p>
    <w:p w14:paraId="1219296B" w14:textId="7DA6465A" w:rsidR="00711D1F" w:rsidRPr="00F2549A" w:rsidRDefault="00DE1CD9" w:rsidP="00711D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7" w:anchor="11" w:history="1">
        <w:r w:rsidR="001B0F38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Лизингов пасив при продажба и обратен лизинг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1B0F38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изменения в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МСФО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16): </w:t>
        </w:r>
        <w:r w:rsidR="001B0F38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преход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, </w:t>
        </w:r>
        <w:r w:rsidR="001B0F38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дата на влизане в сила и надлежна процедура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12</w:t>
        </w:r>
        <w:r w:rsidR="00582B27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В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)</w:t>
        </w:r>
      </w:hyperlink>
    </w:p>
    <w:p w14:paraId="6A569CEC" w14:textId="5025D68E" w:rsidR="00711D1F" w:rsidRPr="00F2549A" w:rsidRDefault="00F14B1D" w:rsidP="00711D1F">
      <w:pPr>
        <w:shd w:val="clear" w:color="auto" w:fill="FFFFFF"/>
        <w:spacing w:before="450" w:after="30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Стратегия и общо управление</w:t>
      </w:r>
    </w:p>
    <w:p w14:paraId="17CF0CA3" w14:textId="77EC55DA" w:rsidR="00711D1F" w:rsidRPr="00F2549A" w:rsidRDefault="00DE1CD9" w:rsidP="00711D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8" w:anchor="12" w:history="1">
        <w:r w:rsidR="001B0F38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Трето допитване </w:t>
        </w:r>
        <w:r w:rsidR="0042190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във връзка с</w:t>
        </w:r>
        <w:r w:rsidR="001B0F38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програмата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F14B1D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711D1F" w:rsidRPr="00F2549A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24)</w:t>
        </w:r>
      </w:hyperlink>
    </w:p>
    <w:p w14:paraId="7D248933" w14:textId="215E89DF" w:rsidR="00711D1F" w:rsidRPr="00F2549A" w:rsidRDefault="001B0F38" w:rsidP="00711D1F">
      <w:pPr>
        <w:shd w:val="clear" w:color="auto" w:fill="FFFFFF"/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  <w:t>Изследователска работа и изготвяне и въвеждане на стандарти</w:t>
      </w:r>
    </w:p>
    <w:p w14:paraId="7DB06E5F" w14:textId="226A07D5" w:rsidR="00711D1F" w:rsidRPr="00F2549A" w:rsidRDefault="001B0F38" w:rsidP="00711D1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Динамично управление на риска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F14B1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4)</w:t>
      </w:r>
    </w:p>
    <w:p w14:paraId="748734A9" w14:textId="72C994C4" w:rsidR="00711D1F" w:rsidRPr="00F2549A" w:rsidRDefault="001B0F38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21 февруари 2022 г.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проведе заседание, за да обсъди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C46383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обратната информация и първоначален анализ на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91438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техническите страни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на модела за динамично управление на риска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„модел на динамично управление на риска“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)—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кои суми да бъдат признавани и къде да бъдат признавани те във финансовия отчет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Съставителите идентифицираха </w:t>
      </w:r>
      <w:r w:rsidR="0091438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техническите страни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модела на динамично управление на риска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като основното оставащо предизвикателство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1FC24DE" w14:textId="63676135" w:rsidR="00711D1F" w:rsidRPr="00F2549A" w:rsidRDefault="00C46383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не бе поискано да взема каквито и да е решения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11F1AA9" w14:textId="5C4EEC2E" w:rsidR="00711D1F" w:rsidRPr="00F2549A" w:rsidRDefault="00C46383" w:rsidP="00711D1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614EA035" w14:textId="2B350BAD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ще продължи с обсъжданията си относно </w:t>
      </w:r>
      <w:r w:rsidR="0091438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техническите страни 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модела на динамично управление на риска, </w:t>
      </w:r>
      <w:r w:rsidR="00582B27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които биха осигурили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по-полезна информация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06507CB" w14:textId="430B5143" w:rsidR="00711D1F" w:rsidRPr="00F2549A" w:rsidRDefault="00ED63D8" w:rsidP="00711D1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Финансови инструменти с характеристики на собствен капитал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F14B1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5)</w:t>
      </w:r>
    </w:p>
    <w:p w14:paraId="5EE8B7DB" w14:textId="2D0DC2D7" w:rsidR="00711D1F" w:rsidRPr="00F2549A" w:rsidRDefault="001B0F38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22 февруари 2022 г. IASB проведе заседание, за да продължи обсъжданията си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 прилагането на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32 </w:t>
      </w:r>
      <w:r w:rsidR="00ED63D8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: </w:t>
      </w:r>
      <w:r w:rsidR="00ED63D8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представяне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2E6F3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 отношение класифицирането на финансовите инструменти като финансови пасиви или собствен капитал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0E246D8" w14:textId="25C11537" w:rsidR="00711D1F" w:rsidRPr="00F2549A" w:rsidRDefault="002E6F3A" w:rsidP="00711D1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Актуална информация във връзка с проекта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 (</w:t>
      </w:r>
      <w:r w:rsidR="00F14B1D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5A)</w:t>
      </w:r>
    </w:p>
    <w:p w14:paraId="23C490BB" w14:textId="0452FAF1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2E6F3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бе запознат с актуална информация във връзка със статута на проекта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C46383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6F11B9E" w14:textId="62AC56E6" w:rsidR="00711D1F" w:rsidRPr="00F2549A" w:rsidRDefault="00914388" w:rsidP="00711D1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Право на преценка на акционерите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 (</w:t>
      </w:r>
      <w:r w:rsidR="00F14B1D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5</w:t>
      </w:r>
      <w:r w:rsidR="002E6F3A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Б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2ABD5364" w14:textId="0C1AA5C5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 xml:space="preserve">IASB </w:t>
      </w:r>
      <w:r w:rsidR="0091438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класифицирането на финансов инструмент с договорно задължение да се предоставят парични средства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7C67A2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или инструментът да бъде уреден по такъв начин, че да бъде финансов пасив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 </w:t>
      </w:r>
      <w:r w:rsidR="007C67A2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 преценка на акционерите на емитента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C34F8BF" w14:textId="343764AF" w:rsidR="00711D1F" w:rsidRPr="00F2549A" w:rsidRDefault="002E6F3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C67A2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проучи базиран на фактори подход, който да помогне на предприятието да приложи своята преценка при класифицирането на тези видове финансови инструменти като финансови пасиви или като собствен капитал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7C67A2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Такъв подход би предоставил примери за потенциалните фактори, които предприятието да вземе под внимание, когато оценява дали дадено решение на акционерите се третира като решение на предприятието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7C67A2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Тази оценка е необходима, за да се определи дали предприятието има безусловното право да избегне предоставянето на парични средства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7C67A2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или уреждането на финансовия инструмент по такъв начин, че той би бил финансов пасив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573793EC" w14:textId="01484758" w:rsidR="00711D1F" w:rsidRPr="00F2549A" w:rsidRDefault="002E6F3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Седем от дванадесетте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A32AB17" w14:textId="02D5F531" w:rsidR="00711D1F" w:rsidRPr="00F2549A" w:rsidRDefault="00C46383" w:rsidP="00711D1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54DA497A" w14:textId="1A451989" w:rsidR="00711D1F" w:rsidRPr="00F2549A" w:rsidRDefault="007C67A2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бъдещи свое заседания 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обсъди други теми, изложени в плана на проекта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541A908" w14:textId="28EAECD1" w:rsidR="00711D1F" w:rsidRPr="00F2549A" w:rsidRDefault="0089779D" w:rsidP="00711D1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Преглед след въвеждане на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10, </w:t>
      </w:r>
      <w:r w:rsidR="00F14B1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11 </w:t>
      </w: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и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12 (</w:t>
      </w:r>
      <w:r w:rsidR="00F14B1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7)</w:t>
      </w:r>
    </w:p>
    <w:p w14:paraId="52FE7E55" w14:textId="73673278" w:rsidR="00711D1F" w:rsidRPr="00F2549A" w:rsidRDefault="001B0F38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23 февруари 2022 г. IASB проведе заседание, за да приложи подхода, договорен на заседанието на Съвета </w:t>
      </w:r>
      <w:r w:rsidR="00BD576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през януари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 </w:t>
      </w:r>
      <w:r w:rsidR="00BD576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г., да вземе решение относно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8416856" w14:textId="7F744A9A" w:rsidR="00711D1F" w:rsidRPr="00F2549A" w:rsidRDefault="0089779D" w:rsidP="00711D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приоритета на темите, обсъдени на заседанието на Съвета през октомври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2021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г., произтичащи от прегледа след въвеждане на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10 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Консолидирани финансови отчети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11 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Съвместни споразумения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12 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Оповестяване на участия в други предприятия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504C5C78" w14:textId="180C6668" w:rsidR="00711D1F" w:rsidRPr="00F2549A" w:rsidRDefault="0089779D" w:rsidP="00711D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дали и ако да - кога - да бъдат предприети допълнителни действия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във връзка с допълнителните теми,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произтичащи от прегледа след въвеждане на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10,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11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12;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1C844E66" w14:textId="1321F04D" w:rsidR="00711D1F" w:rsidRPr="00F2549A" w:rsidRDefault="0089779D" w:rsidP="00711D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теми, по които да не бъдат предприемани допълнителни действия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AC05AA0" w14:textId="1585B921" w:rsidR="00711D1F" w:rsidRPr="00F2549A" w:rsidRDefault="0089779D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бе поставен също така въпросът дали Съветът е извършил достатъчно работа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 завършване на прегледа след въвеждане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0616F1C" w14:textId="2B0B0A67" w:rsidR="00711D1F" w:rsidRPr="00F2549A" w:rsidRDefault="0089779D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базата на своя анализ и разискванията по предоставените като обратна информация становища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IASB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реши, че темите,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идентифицирани в прегледа след въвеждане, не са с достатъчно висок приоритет да бъдат добавени към работната програма на Съвета с активни проекти или поредицата </w:t>
      </w:r>
      <w:r w:rsidR="00582B27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очакващи разглеждане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изследователски проекти за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2026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  IASB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коментира, че ако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заинтересованите страни се нуждаят от по-непосредствена подкрепа по въпроси, свързани с прилагането, тези въпроси могат да бъдат поставени пред Комитета по разясненията на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 </w:t>
      </w:r>
    </w:p>
    <w:p w14:paraId="14F06DDA" w14:textId="67814620" w:rsidR="00711D1F" w:rsidRPr="00F2549A" w:rsidRDefault="00317DB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По-конкретно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IASB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реши, че следните теми не притежават характеристиките за средно висок приоритет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66B2EE27" w14:textId="570F1BF6" w:rsidR="00711D1F" w:rsidRPr="00F2549A" w:rsidRDefault="00317DBA" w:rsidP="00711D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инвестиционни предприятия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дъщерни предприятия, които са инвестиционни предприятия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79674394" w14:textId="4FFEA695" w:rsidR="00711D1F" w:rsidRPr="00F2549A" w:rsidRDefault="00317DBA" w:rsidP="00711D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споразумения за сътрудничество извън обхвата на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11;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099876CF" w14:textId="50711DE5" w:rsidR="00711D1F" w:rsidRPr="00F2549A" w:rsidRDefault="00317DBA" w:rsidP="00711D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сделки, които включват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3067B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компании със специално предназначение в областта на недвижимите имоти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br/>
      </w:r>
      <w:r w:rsidR="00E3067B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Девет от дванадесетте членове на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="00E3067B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изразиха съгласие с решенията в точки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(a) </w:t>
      </w:r>
      <w:r w:rsidR="00E3067B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E3067B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). </w:t>
      </w:r>
      <w:r w:rsidR="00E3067B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решението в точка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E3067B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3912A85C" w14:textId="66CFB77B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E3067B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реши, че тези три теми са с нисък приоритет и ще бъдат адресирани само ако бъдат идентифицирани като приоритет при следващо допитване във връзка с програмата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BD19E00" w14:textId="2485EA7A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733030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реши, че темата „сделки, които променят взаимоотношението между инвеститор и предприятие, в което е инвестирано“ е също с нисък приоритет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br/>
      </w:r>
      <w:r w:rsidR="002E6F3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Десет от дванадесетте членове на IASB изразиха съгласие с това решение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3A731E7" w14:textId="2E88D5E1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733030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да предприеме допълнителни действия относно оповестяването на участия в други предприятия като по тема с нисък приоритет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br/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това решение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03244D5" w14:textId="6E88E356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733030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да не предприема допълнителни действия по други теми, произтичащи от прегледа след въвеждане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br/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това решение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3877805" w14:textId="240CE605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733030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реши, че за приключването на прегледа след въвеждане е извършена достатъчно работа и че екипът трябва да изготви изявлението с доклада и получените като обратна информация становища във връзка с прегледа след въвеждане на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10,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11 </w:t>
      </w:r>
      <w:r w:rsidR="00733030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12.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br/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това решение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F142D15" w14:textId="5E971C17" w:rsidR="00711D1F" w:rsidRPr="00F2549A" w:rsidRDefault="00C46383" w:rsidP="00711D1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74127397" w14:textId="150ABD66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733030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публикува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B40F49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изявлението с доклада и получените като обратна информация становища във връзка с прегледа след въвеждане на МСФО 10, МСФО 11 и МСФО 12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2E95687" w14:textId="71415FD9" w:rsidR="00711D1F" w:rsidRPr="00F2549A" w:rsidRDefault="00B40F49" w:rsidP="00711D1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Дейности с регулирани цени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F14B1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9)</w:t>
      </w:r>
    </w:p>
    <w:p w14:paraId="4CA93775" w14:textId="4842C744" w:rsidR="00711D1F" w:rsidRPr="00F2549A" w:rsidRDefault="00BD5768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На 22 февруари 2022 г. IASB проведе заседание, за да обсъди плановете за повторни разисквания на специфични теми, свързани с обхвата на предложенията в Проекта за обсъждане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Регулаторни активи и регулаторни </w:t>
      </w:r>
      <w:r w:rsidR="00B40F49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пасиви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(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9A). </w:t>
      </w:r>
      <w:r w:rsidR="00C46383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2C1691D" w14:textId="67DBD9EC" w:rsidR="00711D1F" w:rsidRPr="00F2549A" w:rsidRDefault="00B40F49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След обсъждане на плана за повторни разисквания на теми, отнасящи се до обхвата на предложенията,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пристъпи към повторното разискване на конкретни теми, отнасящи се до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20EA2D57" w14:textId="5AE55C69" w:rsidR="00711D1F" w:rsidRPr="00F2549A" w:rsidRDefault="00B40F49" w:rsidP="00711D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определяне дали дадено регулаторно споразумение попада в обхвата на предложенията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);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52DA3819" w14:textId="4CB7C20E" w:rsidR="00711D1F" w:rsidRPr="00F2549A" w:rsidRDefault="00B40F49" w:rsidP="00711D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дефинирането на регулаторен орган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18A6FA97" w14:textId="5491D420" w:rsidR="00711D1F" w:rsidRPr="00F2549A" w:rsidRDefault="00B40F49" w:rsidP="00711D1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Обхват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определяне дали дадено регулаторно споразумение попада в обхвата на предложенията 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(</w:t>
      </w:r>
      <w:r w:rsidR="00F14B1D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9</w:t>
      </w:r>
      <w:r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Б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58E82EB9" w14:textId="71A99428" w:rsidR="00711D1F" w:rsidRPr="00F2549A" w:rsidRDefault="002E6F3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5E554E11" w14:textId="530A6FD1" w:rsidR="00711D1F" w:rsidRPr="00F2549A" w:rsidRDefault="00B40F49" w:rsidP="00711D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препотвърди предложенията в Проекта за обсъждане относно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9A0BA5F" w14:textId="52E5EDC1" w:rsidR="00711D1F" w:rsidRPr="00F2549A" w:rsidRDefault="00B40F49" w:rsidP="00711D1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изискването предприятието да прилага стандарта по отношение на всички свои регулаторни активи и регулаторни пасиви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61A79F8" w14:textId="2D95F9A6" w:rsidR="00711D1F" w:rsidRPr="00F2549A" w:rsidRDefault="00681516" w:rsidP="00711D1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="00B40F49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зискването стандартът да се прилага по отношение на всички регулаторни споразумения, а не само спрямо тези, които имат конкретна правна форма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0C6066B" w14:textId="0C818AED" w:rsidR="00711D1F" w:rsidRPr="00F2549A" w:rsidRDefault="00681516" w:rsidP="00711D1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условията, необходими за да съществува регулаторен актив или регулаторен пасив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7F1234A" w14:textId="2176C856" w:rsidR="00711D1F" w:rsidRPr="00F2549A" w:rsidRDefault="00107F7A" w:rsidP="00711D1F">
      <w:pPr>
        <w:shd w:val="clear" w:color="auto" w:fill="FFFFFF"/>
        <w:spacing w:beforeAutospacing="1" w:after="0" w:afterAutospacing="1" w:line="240" w:lineRule="auto"/>
        <w:ind w:left="720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Единадесет от дванадесетте членове на IASB изразиха съгласие с тези решения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8E3C7CA" w14:textId="22CD86D4" w:rsidR="00711D1F" w:rsidRPr="00F2549A" w:rsidRDefault="00681516" w:rsidP="00711D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не посочва изрично в стандарта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кои регулаторни схеми биха били в рамките или извън обхвата на стандарта. </w:t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5747E9A" w14:textId="574F503B" w:rsidR="00711D1F" w:rsidRPr="00F2549A" w:rsidRDefault="00681516" w:rsidP="00711D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поясни в стандарта, че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7129BB46" w14:textId="6C17ABA0" w:rsidR="00711D1F" w:rsidRPr="00F2549A" w:rsidRDefault="00681516" w:rsidP="00711D1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регулаторното споразумение може да включва </w:t>
      </w:r>
      <w:bookmarkStart w:id="0" w:name="_Hlk103060375"/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юридически упражняеми </w:t>
      </w:r>
      <w:bookmarkEnd w:id="0"/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права и юридически упражняеми задължения регулираната цена да бъде коригирана </w:t>
      </w:r>
      <w:r w:rsidR="00F25D9C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след текущия регулаторен период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9026AC2" w14:textId="19E544AE" w:rsidR="00711D1F" w:rsidRPr="00F2549A" w:rsidRDefault="00F25D9C" w:rsidP="00711D1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регулаторни споразумения, които създават или регулаторни активи, или регулаторни пасиви, но не и двете, попадат в обхвата на стандарта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CC677E9" w14:textId="06A9E930" w:rsidR="00711D1F" w:rsidRPr="00F2549A" w:rsidRDefault="00F25D9C" w:rsidP="00711D1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регулаторно споразумение, което предизвиква различия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във времето, когато бъде постигнат конкретно посочен регулаторен праг, създава регулаторни активи или регулаторни пасиви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4F2DA8C" w14:textId="7F74D6F5" w:rsidR="00711D1F" w:rsidRPr="00F2549A" w:rsidRDefault="00F25D9C" w:rsidP="00711D1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не е необходимо регулаторното споразумение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да определя регулираната цена, като използва специфични за предприятието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разходи, за да може регулаторното споразумение да създава регулаторни активи или регулаторни пасиви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3B6E979" w14:textId="0D216116" w:rsidR="00711D1F" w:rsidRPr="00F2549A" w:rsidRDefault="00107F7A" w:rsidP="00711D1F">
      <w:pPr>
        <w:shd w:val="clear" w:color="auto" w:fill="FFFFFF"/>
        <w:spacing w:beforeAutospacing="1" w:after="0" w:afterAutospacing="1" w:line="240" w:lineRule="auto"/>
        <w:ind w:left="720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тези решения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B27C523" w14:textId="3756F4FC" w:rsidR="00711D1F" w:rsidRPr="00F2549A" w:rsidRDefault="001C5640" w:rsidP="00711D1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Обхват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дефиниране на регулаторен орган 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(</w:t>
      </w:r>
      <w:r w:rsidR="00F14B1D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9</w:t>
      </w:r>
      <w:r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В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4FC2A50F" w14:textId="6798C7DE" w:rsidR="00711D1F" w:rsidRPr="00F2549A" w:rsidRDefault="002E6F3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1C5640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 че стандартът ще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79430604" w14:textId="5BBAE83F" w:rsidR="00711D1F" w:rsidRPr="00F2549A" w:rsidRDefault="00BD5962" w:rsidP="00711D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включва наличието на регулаторен орган като част от условията, необходими</w:t>
      </w:r>
      <w:r w:rsidR="00231463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за съществуването на регулаторен актив или регулаторен пасив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Единадесет от дванадесетте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B4AB1EE" w14:textId="0F2E0BE2" w:rsidR="00711D1F" w:rsidRPr="00F2549A" w:rsidRDefault="00231463" w:rsidP="00711D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дефинира регулаторния орган като „орган, който е оправомощен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закон или нормативна разпоредба да определя регулирана цена или диапазон от регулирани цени“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B98AF49" w14:textId="3E060DD3" w:rsidR="00711D1F" w:rsidRPr="00F2549A" w:rsidRDefault="00231463" w:rsidP="00711D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включва насоки, които да поясняват, че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4B89435C" w14:textId="00827982" w:rsidR="00711D1F" w:rsidRPr="00F2549A" w:rsidRDefault="00231463" w:rsidP="00711D1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саморегулацията е извън обхвата на стандарта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BE9F0F8" w14:textId="22F81830" w:rsidR="00711D1F" w:rsidRPr="00F2549A" w:rsidRDefault="00231463" w:rsidP="00711D1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ситуацията, при която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предприятието или свързана с него страна определя цените, но прави това в съответствие с рамка, която е обект на надзор от страна на орган, оправомощен от закон или нормативна разпоредба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не представлява саморегулация за целите на стандарта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8CE3E0D" w14:textId="77538105" w:rsidR="00711D1F" w:rsidRPr="00F2549A" w:rsidRDefault="00107F7A" w:rsidP="00711D1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B2F382F" w14:textId="3380BAAD" w:rsidR="00711D1F" w:rsidRPr="00F2549A" w:rsidRDefault="00C46383" w:rsidP="00711D1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0D8B5D83" w14:textId="172F7414" w:rsidR="00711D1F" w:rsidRPr="00F2549A" w:rsidRDefault="00231463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бъдещи свои заседания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ще продължи да </w:t>
      </w:r>
      <w:r w:rsidR="007D01C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разисква повторно предложенията по проекта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68F1693" w14:textId="4B6B8071" w:rsidR="00711D1F" w:rsidRPr="00F2549A" w:rsidRDefault="007D01CE" w:rsidP="00711D1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Инициатива за оповестяване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—</w:t>
      </w: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целеви преглед на ниво стандарти на оповестяванията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F14B1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11)</w:t>
      </w:r>
    </w:p>
    <w:p w14:paraId="2A61D0C8" w14:textId="79240FB6" w:rsidR="00711D1F" w:rsidRPr="00F2549A" w:rsidRDefault="00BD5768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21 февруари 2022 г. IASB проведе заседание, за да обсъди </w:t>
      </w:r>
      <w:r w:rsidR="007D01C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обратната информация от участниците в работата на терен със съставителите и потребителите на финансови отчети във връзка с Проекта за обсъждане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D01CE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Изисквания за оповестяване в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7D01CE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стандартите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—</w:t>
      </w:r>
      <w:r w:rsidR="007D01CE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пилотен подход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5935829" w14:textId="5E339AD6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7D01C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публикува Проекта за обсъждане през март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2021</w:t>
      </w:r>
      <w:r w:rsidR="007D01C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7D01C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проекта за обсъждане се предлагат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0A9C5A9" w14:textId="2BFE7BBA" w:rsidR="00711D1F" w:rsidRPr="00F2549A" w:rsidRDefault="007D01CE" w:rsidP="00711D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насоки, които да бъдат използвани от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при разработването и изготвянето на проект на изискванията за оповестяване в счетоводните </w:t>
      </w:r>
      <w:r w:rsidR="006235FB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МСФО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стандарти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0C1090AE" w14:textId="69CF49BD" w:rsidR="00711D1F" w:rsidRPr="00F2549A" w:rsidRDefault="007D01CE" w:rsidP="00711D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нови изисквания за оповестяване в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13 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Оценяване по справедлива стойност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19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Доходи на наети лица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разработени чрез прилагане на предложените насоки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28B2419" w14:textId="322FC210" w:rsidR="00711D1F" w:rsidRPr="00F2549A" w:rsidRDefault="00226569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Периодът за предоставяне на коментари по Проекта за обсъждане завърши през януари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 време на периода за предоставяне на коментари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50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компании взеха участие в работата на терен, като приложиха предлаганите изисквания по отношение на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13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19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или и на двата стандарта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EF4C3F6" w14:textId="21A8748F" w:rsidR="00711D1F" w:rsidRPr="00F2549A" w:rsidRDefault="00C46383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От IASB не бе поискано да взема каквито и да е решения на това </w:t>
      </w:r>
      <w:r w:rsidR="00AE4C75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заседание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F0E93C0" w14:textId="2A00A6C2" w:rsidR="00711D1F" w:rsidRPr="00F2549A" w:rsidRDefault="00C46383" w:rsidP="00711D1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1D470F5C" w14:textId="68FFE67C" w:rsidR="00711D1F" w:rsidRPr="00F2549A" w:rsidRDefault="00226569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bookmarkStart w:id="1" w:name="_Hlk103066989"/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бъдещи свои заседания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ще </w:t>
      </w:r>
      <w:bookmarkEnd w:id="1"/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обратната информация от писмата с коментари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 плановете си за повторни разисквания на предложенията по проекта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A24F165" w14:textId="3380743A" w:rsidR="00711D1F" w:rsidRPr="00F2549A" w:rsidRDefault="00226569" w:rsidP="00711D1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Основни финансови отчети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F14B1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21)</w:t>
      </w:r>
    </w:p>
    <w:p w14:paraId="064D99A5" w14:textId="714BAF4A" w:rsidR="00711D1F" w:rsidRPr="00F2549A" w:rsidRDefault="00BD5768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22 февруари 2022 г. IASB проведе заседание, за да разисква повторно </w:t>
      </w:r>
      <w:r w:rsidR="00226569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някои от предложенията в Проекта за обсъждане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226569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Общо представяне и оповестявания, </w:t>
      </w:r>
      <w:r w:rsidR="00226569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отнасящи се до принципите за представяне и до изискваните позиции на отделен ред в основните финансови отчети.</w:t>
      </w:r>
    </w:p>
    <w:p w14:paraId="6A0BFC45" w14:textId="7C7C261A" w:rsidR="00711D1F" w:rsidRPr="00F2549A" w:rsidRDefault="00226569" w:rsidP="00711D1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Принципи за представяне и изисквани позиции на отделен ред в основните финансови отчети 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(</w:t>
      </w:r>
      <w:r w:rsidR="00F14B1D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21A)</w:t>
      </w:r>
    </w:p>
    <w:p w14:paraId="68D9DF25" w14:textId="2FB92C80" w:rsidR="00711D1F" w:rsidRPr="00F2549A" w:rsidRDefault="002E6F3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95286DB" w14:textId="74D84845" w:rsidR="00711D1F" w:rsidRPr="00F2549A" w:rsidRDefault="00763DA3" w:rsidP="00711D1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преразгледа общите принципи за представяне на позиции на отделен ред в основните финансови отчети, изложени в параграф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42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Проекта за обсъждане, като се отстрани терминът „уместни“ и вместо него се включи препратка към разбираем общ преглед на приходите и разходите или активите, пасивите и собствения капитал на предприятието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Осем от дванадесетте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E0C2F10" w14:textId="2BB6884F" w:rsidR="00711D1F" w:rsidRPr="00F2549A" w:rsidRDefault="00763DA3" w:rsidP="00711D1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изисква всички изисквания за представяне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се прилагат само когато полученото в резултат представяне не се отклонява от положението основните финансови отчети да предоставят разбираем общ преглед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2E6F3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Десет от дванадесетте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47658CB" w14:textId="20169404" w:rsidR="00711D1F" w:rsidRPr="00F2549A" w:rsidRDefault="005A7C48" w:rsidP="00711D1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добави насоки за прилагане, които да посочват, че в оперативната категория е малко вероятно представянето на позициите, изложени в параграф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65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Проекта за обсъждане да намали степента на полезност на отчета при предоставянето на разбираем общ преглед на приходите и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разходите на предприятието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Девет от дванадесетте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B3957BB" w14:textId="71A3A668" w:rsidR="00711D1F" w:rsidRPr="00F2549A" w:rsidRDefault="005A7C48" w:rsidP="00711D1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отстрани термина „минимум“ от параграф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42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Проекта за обсъждане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2E6F3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Десет от дванадесетте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1E7A807" w14:textId="20902FBB" w:rsidR="00711D1F" w:rsidRPr="00F2549A" w:rsidRDefault="001363A1" w:rsidP="00711D1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Да не преразглежда изискванията за определени позиции на отделен ред, пренесени от 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1 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Представяне на финансови отчети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Единадесет от дванадесетте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F260191" w14:textId="05744AA7" w:rsidR="00711D1F" w:rsidRPr="00F2549A" w:rsidRDefault="001363A1" w:rsidP="00711D1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не добавя специфично изискване за представяне на обезценките на нефинансови активи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016D62B" w14:textId="303FF167" w:rsidR="00711D1F" w:rsidRPr="00F2549A" w:rsidRDefault="001363A1" w:rsidP="00711D1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запази предложеното изискване за представяне на репутацията отделно от нематериалните активи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2E6F3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Десет от дванадесетте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722F5D4" w14:textId="5EDD43F5" w:rsidR="00711D1F" w:rsidRPr="00F2549A" w:rsidRDefault="001363A1" w:rsidP="00711D1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запази предложеното изискване за представяне на изискваните позиции на отделен ред във всяка засегната категория в отчета за печалбата или загубата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bookmarkStart w:id="2" w:name="_Hlk103066733"/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това решение</w:t>
      </w:r>
      <w:bookmarkEnd w:id="2"/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33DA76D" w14:textId="151725CA" w:rsidR="00711D1F" w:rsidRPr="00F2549A" w:rsidRDefault="001363A1" w:rsidP="00711D1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не посочва изисквани позиции на отделен ред, които да бъдат представяни в категорията, отнасяща се до финансирането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отчета за печалбата или загубата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Девет от дванадесетте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F4CB92C" w14:textId="286E8A6C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1363A1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направи редакционни предложения</w:t>
      </w:r>
      <w:r w:rsidR="00F1496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относно това как да се подобри разбираемостта на изискванията, описани в точки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(a) </w:t>
      </w:r>
      <w:r w:rsidR="00F1496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F1496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0D6885C9" w14:textId="5E6A3C9A" w:rsidR="00711D1F" w:rsidRPr="00F2549A" w:rsidRDefault="00C46383" w:rsidP="00711D1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7DE1175A" w14:textId="0402C4E9" w:rsidR="00711D1F" w:rsidRPr="00F2549A" w:rsidRDefault="00F1496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бъдещи свои заседания IASB ще продължи да разисква повторно предложенията по проекта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F49E5C2" w14:textId="7C20439A" w:rsidR="00711D1F" w:rsidRPr="00F2549A" w:rsidRDefault="00F1496F" w:rsidP="00711D1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Втори всеобхватен преглед на стандарта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 </w:t>
      </w:r>
      <w:r w:rsidR="00F14B1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за МСП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F14B1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30)</w:t>
      </w:r>
    </w:p>
    <w:p w14:paraId="11002C4E" w14:textId="51AC5455" w:rsidR="00711D1F" w:rsidRPr="00F2549A" w:rsidRDefault="00BD5768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24 февруари 2022 г. IASB проведе заседание, за да обсъди </w:t>
      </w:r>
      <w:r w:rsidR="00F1496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дали и ако да – как – да предложи изменения в стандарта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F14B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F1496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за МСП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EB0643B" w14:textId="3436ED73" w:rsidR="00711D1F" w:rsidRPr="00F2549A" w:rsidRDefault="00F1496F" w:rsidP="00711D1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Към Проект за обсъждане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="00F14B1D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9 </w:t>
      </w:r>
      <w:r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Финансови инструменти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 (</w:t>
      </w: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Обезценка на финансови активи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)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 (</w:t>
      </w:r>
      <w:r w:rsidR="00F14B1D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30A)</w:t>
      </w:r>
    </w:p>
    <w:p w14:paraId="6002189A" w14:textId="3570D5F2" w:rsidR="00711D1F" w:rsidRPr="00F2549A" w:rsidRDefault="002E6F3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4B76BEBC" w14:textId="5BBA74FE" w:rsidR="00711D1F" w:rsidRPr="00F2549A" w:rsidRDefault="00F1496F" w:rsidP="00711D1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запази без изменения модела на понесената загуба в Раздел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11 </w:t>
      </w:r>
      <w:r w:rsidR="001172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Основни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финансови инструменти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стандарта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F14B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за МСП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 отношение на търговски вземания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 активи по договори, попадащи в обхвата на Раздел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 23 </w:t>
      </w:r>
      <w:r w:rsidR="001172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Приходи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1172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стандарта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F14B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1172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за МСП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258016A1" w14:textId="40D04C51" w:rsidR="00711D1F" w:rsidRPr="00F2549A" w:rsidRDefault="0011721D" w:rsidP="00711D1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Да предложи изменения в Раздел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11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 които да изискват МСП да използва модела на очакваната кредитна загуба по отношение на всички останали финансови активи, оценявани по амортизирана цена на придобиване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3DF0DA48" w14:textId="070A7EDB" w:rsidR="00711D1F" w:rsidRPr="00F2549A" w:rsidRDefault="0011721D" w:rsidP="00711D1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запази без изменения изискванията в Раздел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 11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 отношение на обезценката на капиталови инструменти, оценявани по цена на придобиване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BF2D40C" w14:textId="1FEC9969" w:rsidR="00711D1F" w:rsidRPr="00F2549A" w:rsidRDefault="002E6F3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Седем от дванадесетте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DBDACAD" w14:textId="6AE2A768" w:rsidR="00711D1F" w:rsidRPr="00F2549A" w:rsidRDefault="0011721D" w:rsidP="00711D1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Към Проект за обсъждане 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Опростявания в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15 </w:t>
      </w:r>
      <w:r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Приходи от договори с клиенти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(</w:t>
      </w:r>
      <w:r w:rsidR="00F14B1D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30</w:t>
      </w:r>
      <w:r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Б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409613EF" w14:textId="2B5F6BC4" w:rsidR="00711D1F" w:rsidRPr="00F2549A" w:rsidRDefault="002E6F3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0F3100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предложи изменения в стандарта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F14B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0F3100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за МСП,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0F3100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 да хармонизира Раздел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23 </w:t>
      </w:r>
      <w:r w:rsidR="000F3100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стандарта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F14B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0F3100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за МСП </w:t>
      </w:r>
      <w:r w:rsidR="000F3100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15 </w:t>
      </w:r>
      <w:r w:rsidR="000F3100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Приходи от договори с клиенти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0F3100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 опростявания по отношение на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58877C4F" w14:textId="75D84F1C" w:rsidR="00711D1F" w:rsidRPr="00F2549A" w:rsidRDefault="000F3100" w:rsidP="00711D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модификации в договора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МСП ще се изисква да отчита счетоводно модификация на договора или за бъдещи периоди, следвайки единен подход, или на база кумулативно наваксване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0B8BD49" w14:textId="4357A83B" w:rsidR="00711D1F" w:rsidRPr="00F2549A" w:rsidRDefault="000F3100" w:rsidP="00711D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поредица от отделни стоки или услуги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МСП ще се разрешава да отчита счетоводно обещанието да се прехвърли поредица от отделни стоки или услуги, които са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 същество еднакви или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B3409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имат същия модел на прехвърляне на клиента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B3409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като отделни задължения за изпълнение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7B3409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ако сумата на възнаграждението варира по начин, който съответства на стойността на отделната стока или услуга, прехвърлена на клиента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A428A83" w14:textId="1E3E2C0F" w:rsidR="00711D1F" w:rsidRPr="00F2549A" w:rsidRDefault="007B3409" w:rsidP="00711D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терминологията във връзка със задължението за изпълнение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стандартът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F14B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за МСП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изисква МСП да идентифицира всяко „обещание да се прехвърли отделна стока или услуга или набор от стоки или услуги“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Девет от дванадесетте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5C89A22" w14:textId="7BACCA49" w:rsidR="00711D1F" w:rsidRPr="00F2549A" w:rsidRDefault="004B3729" w:rsidP="00711D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ограничаване на приблизителните оценки на променливо възнаграждение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от МСП ще се изисква да признава променливо възнаграждение само до степента, в която е много вероятно че променливата сума ще бъде възстановена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BCDDC54" w14:textId="45EF7F8B" w:rsidR="00711D1F" w:rsidRPr="00F2549A" w:rsidRDefault="00BD5764" w:rsidP="00711D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съществени компоненти на финансиране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от МСП ще се изисква да признава ефекта от финансиране, заложено в отсроченото плащане, като прилага изискванията в Раздел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11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стандарта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F14B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за МСП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МСП може да не прилага тези изисквания, ако МСП очаква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при влизане в сила на договора периодът между прехвърлянето от предприятието на обещаната стока или услуга на клиента и плащането от клиента за тази стока или услуга да бъде една година или по-кратък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2E6F3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Седем от дванадесетте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38A2B0D" w14:textId="7F2D903D" w:rsidR="00711D1F" w:rsidRPr="00F2549A" w:rsidRDefault="00BD5764" w:rsidP="00711D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разпределяне на отстъпките и променливо възнаграждение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от МСП ще се изисква да </w:t>
      </w:r>
      <w:r w:rsidR="003F5E15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разпредели отстъпките и променливото възнаграждение към задълженията за изпълнение в договора въз основа на относителната единична продажна цена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3F5E15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освен ако алтернативен метод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F5E15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не отразява по-достоверно сумата на възнаграждението, на което предприятието очаква да има право в замяна на удовлетворяване на всяко отделно задължение за изпълнение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6A275D4" w14:textId="7F85C45A" w:rsidR="00711D1F" w:rsidRPr="00F2549A" w:rsidRDefault="003F5E15" w:rsidP="00711D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избор на метод за оценяване на напредъка към пълно удовлетворяване на задължението за изпълнение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стандартът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F14B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за МСП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включва списък на методи, често използвани от предприятията за оценяване на напредъка и ще описва обстоятелствата, при които тези методи биха могли да са целесъобразни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18F1344" w14:textId="7C99ACF1" w:rsidR="00711D1F" w:rsidRPr="00F2549A" w:rsidRDefault="003F5E15" w:rsidP="00711D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допълнителни разходи за постигане на договор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="00BD5764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от МСП ще се изисква да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признава като актив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допълнителните разходи за постигане на договор с клиент, ако МСП очаква да си възстанови тези разходи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само когато тези разходи могат да бъдат идентифицирани и оценени като възстановими без извършване на излишни разходи или усилия; в противен случай МСП ще признава тези разходи като разход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8E2FBF6" w14:textId="337CDA47" w:rsidR="00711D1F" w:rsidRPr="00F2549A" w:rsidRDefault="002E6F3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F5E15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предложи изменения в стандарта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F14B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3F5E15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за МСП,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F5E15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 да включи факторите в параграфи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29(a)–(</w:t>
      </w:r>
      <w:r w:rsidR="003F5E15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 </w:t>
      </w:r>
      <w:r w:rsidR="003F5E15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 15</w:t>
      </w:r>
      <w:r w:rsidR="003F5E15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 с цел да помогне на МСП да определи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F5E15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дали обещаната стока или услуга е отделно разграничима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IASB </w:t>
      </w:r>
      <w:r w:rsidR="003F5E15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реши също така в порядък на работна хипотеза </w:t>
      </w:r>
      <w:r w:rsidR="004927B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поиска допълнителни виждания във връзка с това предложение в поканата за предоставяне на коментари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Шест от дванадесетте членове на IASB изразиха съгласие с тези решения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4927B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Председателят използва правото си на допълнителен глас, с което гласуването стана седем на шест в подкрепа на решенията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6E8C157" w14:textId="11F62274" w:rsidR="00711D1F" w:rsidRPr="00F2549A" w:rsidRDefault="004927B8" w:rsidP="00711D1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Към Проект за обсъждане 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криптовалути 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(</w:t>
      </w:r>
      <w:r w:rsidR="00F14B1D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30</w:t>
      </w:r>
      <w:r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В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3A4E108E" w14:textId="6CC000EE" w:rsidR="00711D1F" w:rsidRPr="00F2549A" w:rsidRDefault="002E6F3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4927B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запази без изменение стандарта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F14B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4927B8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за МСП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4927B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 отношение на криптовалутите като част от всеобхватния преглед и да се върне на тази тема при следващия всеобхватен преглед на стандарта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F14B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4927B8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за МСП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FDDEB47" w14:textId="1E9422D4" w:rsidR="00711D1F" w:rsidRPr="00F2549A" w:rsidRDefault="00107F7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F97FEDF" w14:textId="1B2D62C2" w:rsidR="00711D1F" w:rsidRPr="00F2549A" w:rsidRDefault="004927B8" w:rsidP="00711D1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bookmarkStart w:id="3" w:name="_Hlk103147017"/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Към Проект за обсъждане </w:t>
      </w:r>
      <w:bookmarkEnd w:id="3"/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други теми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(</w:t>
      </w: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признаване и оценяване на разходи за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развойна дейност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)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 (</w:t>
      </w:r>
      <w:r w:rsidR="00F14B1D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30</w:t>
      </w:r>
      <w:r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Г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6519A96B" w14:textId="7375FA8B" w:rsidR="00711D1F" w:rsidRPr="00F2549A" w:rsidRDefault="002E6F3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IASB реши в порядък на работна хипотеза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D55C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потърси виждания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3D55C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Проекта за обсъждане, предлагащ изменения в стандарта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F14B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3D55CE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за МСП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3D55C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относно въвеждането на възможност за счетоводна политика, разрешаваща на МСП да признава нематериални активи, произтичащи от разходи за развойна дейност, отговарящи на критериите в параграфи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57(a)–(</w:t>
      </w:r>
      <w:r w:rsidR="003D55C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 </w:t>
      </w:r>
      <w:r w:rsidR="003D55C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38 </w:t>
      </w:r>
      <w:r w:rsidR="003D55CE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Нематериални активи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4856A1B" w14:textId="36CA4EE1" w:rsidR="00711D1F" w:rsidRPr="00F2549A" w:rsidRDefault="002E6F3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Десет от дванадесетте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D44476E" w14:textId="6C8C1C35" w:rsidR="00711D1F" w:rsidRPr="00F2549A" w:rsidRDefault="003D55CE" w:rsidP="00711D1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Към Проект за обсъждане 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="00F14B1D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3 </w:t>
      </w:r>
      <w:r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Бизнес комбинации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 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(</w:t>
      </w: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Дефиниция на бизнес и обратно придобити права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) 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(</w:t>
      </w:r>
      <w:r w:rsidR="00F14B1D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30</w:t>
      </w:r>
      <w:r w:rsidR="00841DC6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2F751497" w14:textId="006F4BB2" w:rsidR="00711D1F" w:rsidRPr="00F2549A" w:rsidRDefault="002E6F3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39A39F3A" w14:textId="75C5F7CF" w:rsidR="00711D1F" w:rsidRPr="00F2549A" w:rsidRDefault="003D55CE" w:rsidP="00711D1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предложи хармонизиране на дефиницията на бизнес в стандарта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F14B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за МСП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 изменената дефиниция на бизнес, публикувана през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2018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г.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без да въвежда каквото и да е оборимо предположение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55203AA7" w14:textId="478441AE" w:rsidR="00711D1F" w:rsidRPr="00F2549A" w:rsidRDefault="00841DC6" w:rsidP="00711D1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запази без изменения Раздел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19 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Бизнес комбинации и репутация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стандарта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F14B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за МСП,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без да отразява изискванията в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3 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Бизнес комбинации,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които предоставят допълнителни насоки относно обратно придобитите права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076F68D" w14:textId="24B700F4" w:rsidR="00711D1F" w:rsidRPr="00F2549A" w:rsidRDefault="00107F7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тези решения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EDD6FE9" w14:textId="4C4C5712" w:rsidR="00711D1F" w:rsidRPr="00F2549A" w:rsidRDefault="003D55CE" w:rsidP="00711D1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Към Проект за обсъждане 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="00841DC6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други въпроси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(</w:t>
      </w:r>
      <w:r w:rsidR="00841DC6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дължащи се на хармонизирането с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3, </w:t>
      </w:r>
      <w:r w:rsidR="00F14B1D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10 </w:t>
      </w:r>
      <w:r w:rsidR="00841DC6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и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11)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 (</w:t>
      </w:r>
      <w:r w:rsidR="00F14B1D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30</w:t>
      </w:r>
      <w:r w:rsidR="00841DC6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Е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101B450B" w14:textId="478C17D0" w:rsidR="00711D1F" w:rsidRPr="00F2549A" w:rsidRDefault="002E6F3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bookmarkStart w:id="4" w:name="_Hlk103147977"/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в порядък на работна хипотеза</w:t>
      </w:r>
      <w:bookmarkEnd w:id="4"/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134732B" w14:textId="07A6BFC2" w:rsidR="00711D1F" w:rsidRPr="00F2549A" w:rsidRDefault="00841DC6" w:rsidP="00711D1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предложи изменения в Раздел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9 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Консолидирани и индивидуални финансови отчети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стандарта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F14B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за МСП,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 да го приведе в съответствие с изискванията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5432E6A0" w14:textId="62445091" w:rsidR="00711D1F" w:rsidRPr="00F2549A" w:rsidRDefault="00841DC6" w:rsidP="00711D1F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 освобождаване на стъпки, което води до загуба на контрол, съгласно изложеното в параграф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25(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10 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Консолидирани финансови отчети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="00521D25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МСП ще оценява запазено участие по справедлива стойност към момента на загуба на контрола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="00521D25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3FC67632" w14:textId="1D1210B8" w:rsidR="00711D1F" w:rsidRPr="00F2549A" w:rsidRDefault="00521D25" w:rsidP="00711D1F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 промени в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дяловото участие на предприятието майка в собствеността на дъщерно предприятие без загуба на контрол, </w:t>
      </w:r>
      <w:r w:rsidR="00A942B9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съгласно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изложеното в параграф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23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10—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такива промени </w:t>
      </w:r>
      <w:r w:rsidR="00A942B9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представляват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сделки със собствен капитал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BB13AF3" w14:textId="5E023BA9" w:rsidR="00711D1F" w:rsidRPr="00F2549A" w:rsidRDefault="00A942B9" w:rsidP="00711D1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предложи изменения в Раздел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15 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Инвестиции в съвместни предприятия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стандарта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F14B1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за МСП,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 да го приведе в съответствие с изискванията на параграф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23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11 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Съвместни споразумения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така че страна, която няма общ контрол върху съвместно контролирана дейност или съвместно контролира актив да отчита счетоводно участието си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съгласно класификацията на тази съвместно контролирана дейност или съвместно контролиран актив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IASB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също така в порядък на работна хипотеза да потърси допълнителни виждания относно това предложение в поканата за предоставяне на коментари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92F4D81" w14:textId="3F4D1010" w:rsidR="00711D1F" w:rsidRPr="00F2549A" w:rsidRDefault="00107F7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тези решения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6BCFD71" w14:textId="15A5C428" w:rsidR="00711D1F" w:rsidRPr="00F2549A" w:rsidRDefault="00C46383" w:rsidP="00711D1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5B53BF00" w14:textId="69A2302B" w:rsidR="00711D1F" w:rsidRPr="00F2549A" w:rsidRDefault="00A942B9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бъдещо свое заседание 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продължи да разработва предложенията по проекта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6D352DE" w14:textId="432F6B93" w:rsidR="00711D1F" w:rsidRPr="00F2549A" w:rsidRDefault="00A942B9" w:rsidP="00711D1F">
      <w:pPr>
        <w:shd w:val="clear" w:color="auto" w:fill="FFFFFF"/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  <w:t>Поддържане и последователно прилагане</w:t>
      </w:r>
    </w:p>
    <w:p w14:paraId="641EEFC1" w14:textId="1A16102F" w:rsidR="00711D1F" w:rsidRPr="00F2549A" w:rsidRDefault="007B10CE" w:rsidP="00711D1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Поддържане и последователно прилагане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F14B1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12)</w:t>
      </w:r>
    </w:p>
    <w:p w14:paraId="11E0A88A" w14:textId="66747167" w:rsidR="00711D1F" w:rsidRPr="00F2549A" w:rsidRDefault="00BD5768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23 февруари 2022 г. IASB проведе заседание, за да обсъди </w:t>
      </w:r>
      <w:r w:rsidR="00107F7A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три проекта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72AE7F69" w14:textId="7E19A00C" w:rsidR="00711D1F" w:rsidRPr="00F2549A" w:rsidRDefault="007B10CE" w:rsidP="00711D1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Наличие на </w:t>
      </w:r>
      <w:r w:rsidR="003A779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възможност за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възстановяване на суми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12A);</w:t>
      </w:r>
    </w:p>
    <w:p w14:paraId="2B5AD1B6" w14:textId="5EB1AA02" w:rsidR="00711D1F" w:rsidRPr="00F2549A" w:rsidRDefault="007B10CE" w:rsidP="00711D1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Провизии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целеви подобрения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12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);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562C029D" w14:textId="716D4FDE" w:rsidR="00711D1F" w:rsidRPr="00F2549A" w:rsidRDefault="007B10CE" w:rsidP="00711D1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Лизингов пасив при продажба и обратен лизинг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12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716D3685" w14:textId="0D4D0DE3" w:rsidR="00711D1F" w:rsidRPr="00F2549A" w:rsidRDefault="007B10CE" w:rsidP="00711D1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Наличие на </w:t>
      </w:r>
      <w:r w:rsidR="003A779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възможност за </w:t>
      </w: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възстановяване на суми 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(</w:t>
      </w: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изменение на КРМСФО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14): </w:t>
      </w: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преглед на проекта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F14B1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12A)</w:t>
      </w:r>
    </w:p>
    <w:p w14:paraId="05D18554" w14:textId="74394CD0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D244D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проведе изследователска работа, която да помогне на Съвета да вземе решение дали да разработи подход, базиран в по-голяма степен на принципи, отколкото настоящия подход в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D244D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КРМСФО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14 </w:t>
      </w:r>
      <w:r w:rsidR="00ED63D8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МСС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19—</w:t>
      </w:r>
      <w:bookmarkStart w:id="5" w:name="_Hlk103152920"/>
      <w:r w:rsidR="00D244DE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Таван на актив по план с дефинирани доходи, изискване за минимално фондово финансиране и взаимодействие между тях</w:t>
      </w:r>
      <w:bookmarkEnd w:id="5"/>
      <w:r w:rsidR="00D244DE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,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D244D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 отношение на това предприятието да оценява и измерва правото си на възстановяване на суми от излишък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1F4A87A" w14:textId="53C295A8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D244D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направи преглед на перспективите за напредък по проекта и достигна до заключение, че тези перспективи са ограничени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D244D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Ето защо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="00D244D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да оттегли проекта от работната си програма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1F03CAB" w14:textId="72A267FC" w:rsidR="00711D1F" w:rsidRPr="00F2549A" w:rsidRDefault="00107F7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Единадесет от дванадесетте членове на IASB изразиха съгласие с тези решения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854389F" w14:textId="4F6CC4FC" w:rsidR="00711D1F" w:rsidRPr="00F2549A" w:rsidRDefault="007B10CE" w:rsidP="00711D1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Провизии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—</w:t>
      </w: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целеви подобрения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: </w:t>
      </w: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преглед на проекта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F14B1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12</w:t>
      </w: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Б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)</w:t>
      </w:r>
    </w:p>
    <w:p w14:paraId="020D1710" w14:textId="546CF630" w:rsidR="00711D1F" w:rsidRPr="00F2549A" w:rsidRDefault="00D244DE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Работната програма на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включва</w:t>
      </w:r>
      <w:r w:rsidR="007647D3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проект за извършване на целеви подобрения в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37 </w:t>
      </w:r>
      <w:r w:rsidR="007647D3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Провизии</w:t>
      </w:r>
      <w:r w:rsidR="00711D1F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, </w:t>
      </w:r>
      <w:r w:rsidR="007647D3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условни пасиви и условни активи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 </w:t>
      </w:r>
    </w:p>
    <w:p w14:paraId="4B3A787C" w14:textId="3FAF1991" w:rsidR="00711D1F" w:rsidRPr="00F2549A" w:rsidRDefault="007647D3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IASB направи преглед на перспективите за напредък по проекта и достигна до заключение, че ефективен напредък е възможен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Ето защо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да запази този проект в работната си програма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 </w:t>
      </w:r>
    </w:p>
    <w:p w14:paraId="1D2D0551" w14:textId="421DDB55" w:rsidR="00711D1F" w:rsidRPr="00F2549A" w:rsidRDefault="00107F7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Единадесет от дванадесетте членове на IASB изразиха съгласие с тези решения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 </w:t>
      </w:r>
    </w:p>
    <w:p w14:paraId="6331BDDB" w14:textId="7A193220" w:rsidR="00711D1F" w:rsidRPr="00F2549A" w:rsidRDefault="007B10CE" w:rsidP="00711D1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Лизингов пасив при продажба и обратен лизинг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изменение на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МСФО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16): </w:t>
      </w: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преход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, </w:t>
      </w: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дата на влизане в сила и надлежна процедура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F14B1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12</w:t>
      </w: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В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)</w:t>
      </w:r>
    </w:p>
    <w:p w14:paraId="064D54B4" w14:textId="6B2DB658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7647D3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измененията в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16 </w:t>
      </w:r>
      <w:r w:rsidR="007647D3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Лизинг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7647D3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 добавяне на изисквания за последващо оценяване на лизинговия пасив, произтичащ от сделка за продажба и обратен лизинг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FB71E35" w14:textId="6D560E07" w:rsidR="00711D1F" w:rsidRPr="00F2549A" w:rsidRDefault="00C46383" w:rsidP="00711D1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Преход</w:t>
      </w:r>
    </w:p>
    <w:p w14:paraId="0F0EC687" w14:textId="6141FEE7" w:rsidR="00711D1F" w:rsidRPr="00F2549A" w:rsidRDefault="002E6F3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44E2D267" w14:textId="192F09FE" w:rsidR="00711D1F" w:rsidRPr="00F2549A" w:rsidRDefault="007647D3" w:rsidP="00711D1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изисква предприятията да прилагат измененията ретроспективно в съответствие с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D63D8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8 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Счетоводна политика, промени в счетоводните приблизителни оценки и грешки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4CAE9D72" w14:textId="78049643" w:rsidR="00711D1F" w:rsidRPr="00F2549A" w:rsidRDefault="007647D3" w:rsidP="00711D1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не предоставя специфично изключение при преминаване към стандарта за прилагащите го за първи път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1DB0B0F" w14:textId="198CED5F" w:rsidR="00711D1F" w:rsidRPr="00F2549A" w:rsidRDefault="00107F7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Единадесет от дванадесетте членове на IASB изразиха съгласие с тези решения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B4426D3" w14:textId="66863F7D" w:rsidR="00711D1F" w:rsidRPr="00F2549A" w:rsidRDefault="00C46383" w:rsidP="00711D1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Дата на влизане в сила</w:t>
      </w:r>
    </w:p>
    <w:p w14:paraId="70924776" w14:textId="7732D6E7" w:rsidR="00711D1F" w:rsidRPr="00F2549A" w:rsidRDefault="002E6F3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42190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изисква предприятията да прилагат измененията за годишни отчетни периоди, започващи на или след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 </w:t>
      </w:r>
      <w:r w:rsidR="0042190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януари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2024</w:t>
      </w:r>
      <w:r w:rsidR="0042190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г. с разрешено по-ранно прилагане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6CC7FC4" w14:textId="625974F7" w:rsidR="00711D1F" w:rsidRPr="00F2549A" w:rsidRDefault="00107F7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Единадесет от дванадесетте членове на IASB изразиха съгласие с тези решения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E4E4C75" w14:textId="305C72E0" w:rsidR="00711D1F" w:rsidRPr="00F2549A" w:rsidRDefault="00C46383" w:rsidP="00711D1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Надлежна процедура</w:t>
      </w:r>
    </w:p>
    <w:p w14:paraId="7CD7FE90" w14:textId="22873756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42190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реши, че измененията не изискват повторно обсъждане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54DE742" w14:textId="36D07774" w:rsidR="00711D1F" w:rsidRPr="00F2549A" w:rsidRDefault="00107F7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Единадесет от дванадесетте членове на IASB изразиха съгласие с тези решения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8AD75B8" w14:textId="3848F785" w:rsidR="00711D1F" w:rsidRPr="00F2549A" w:rsidRDefault="0042190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Един от членовете на Съвета даде индикации за намерение да изрази несъгласие с публикуването на измененията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189C3CC" w14:textId="1D4E62C3" w:rsidR="00711D1F" w:rsidRPr="00F2549A" w:rsidRDefault="0042190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потвърдиха, че са се уверили, че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е изпълнил приложимите изисквания на надлежната процедура, провел е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достатъчно консултации и е осъществил достатъчно анализи, за да се пристъпи към процедурата по гласуване на измененията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D294C8A" w14:textId="27EDCB90" w:rsidR="00711D1F" w:rsidRPr="00F2549A" w:rsidRDefault="0042190F" w:rsidP="00711D1F">
      <w:pPr>
        <w:shd w:val="clear" w:color="auto" w:fill="FFFFFF"/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  <w:t>Стратегия и общо управление</w:t>
      </w:r>
    </w:p>
    <w:p w14:paraId="246A2566" w14:textId="3467390B" w:rsidR="00711D1F" w:rsidRPr="00F2549A" w:rsidRDefault="0042190F" w:rsidP="00711D1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Трето допитване във връзка с програмата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F14B1D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24)</w:t>
      </w:r>
    </w:p>
    <w:p w14:paraId="172976AD" w14:textId="3E3750A7" w:rsidR="00711D1F" w:rsidRPr="00F2549A" w:rsidRDefault="00BD5768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23 февруари 2022 г. IASB проведе заседание, за да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2CBA7C4D" w14:textId="1409D963" w:rsidR="00711D1F" w:rsidRPr="00F2549A" w:rsidRDefault="003A779D" w:rsidP="00711D1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пристъпи към обсъждане на финансово-отчетни въпроси по работната програма на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(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24A);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093F6B52" w14:textId="3B63A783" w:rsidR="00711D1F" w:rsidRPr="00F2549A" w:rsidRDefault="003A779D" w:rsidP="00711D1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обсъди и вземе решение за стратегическата насока на развие и баланс на дейностите на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за периода 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2022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-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2026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г.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(</w:t>
      </w:r>
      <w:r w:rsidR="00C46383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Документи по програмата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24</w:t>
      </w:r>
      <w:r w:rsidR="00C46383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C46383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24</w:t>
      </w:r>
      <w:r w:rsidR="00C46383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6104D7FE" w14:textId="7F339163" w:rsidR="00711D1F" w:rsidRPr="00F2549A" w:rsidRDefault="003A779D" w:rsidP="00711D1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Проекти по текущата работна програма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предложен отговор на получените като обратна информация становища</w:t>
      </w:r>
      <w:r w:rsidR="00711D1F"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(</w:t>
      </w:r>
      <w:r w:rsidR="00F14B1D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24A)</w:t>
      </w:r>
    </w:p>
    <w:p w14:paraId="11DF15C0" w14:textId="600694EF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3A779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да не променя приоритета на проектите по текущата си работна програма, а да продължи работата по тези проекти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3A779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 изключение на проект за поддържане, разгледан в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4B1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12A—</w:t>
      </w:r>
      <w:r w:rsidR="003A779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Наличие на възможност за възстановяване на суми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(</w:t>
      </w:r>
      <w:r w:rsidR="003A779D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изменение на КРМСФО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14 </w:t>
      </w:r>
      <w:r w:rsidR="00ED63D8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МСС</w:t>
      </w:r>
      <w:r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19—</w:t>
      </w:r>
      <w:r w:rsidR="003A779D" w:rsidRPr="00F2549A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Таван на актив по план с дефинирани доходи, изискване за минимално фондово финансиране и взаимодействие между тях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)).</w:t>
      </w:r>
    </w:p>
    <w:p w14:paraId="36521E7F" w14:textId="50F043E9" w:rsidR="00711D1F" w:rsidRPr="00F2549A" w:rsidRDefault="00107F7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768CD60" w14:textId="627F80C0" w:rsidR="00711D1F" w:rsidRPr="00F2549A" w:rsidRDefault="001D3A7E" w:rsidP="00711D1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Стратегическа насока на развие и баланс на дейностите на IASB за периода 2022 - 2026 г 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(</w:t>
      </w:r>
      <w:r w:rsidR="00C46383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Документи по програмата 24Б и 24В</w:t>
      </w:r>
      <w:r w:rsidR="00711D1F" w:rsidRPr="00F2549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5A9B8A2E" w14:textId="626DFF7F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1D3A7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да не пристъпва към започване на нови дейности в рамките на текущия обхват на своята работа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C10EA4B" w14:textId="6D11F5A3" w:rsidR="00711D1F" w:rsidRPr="00F2549A" w:rsidRDefault="00107F7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дванадесет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FF90215" w14:textId="782134AB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1D3A7E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също така да остави по същество без промяна сегашното ниво на фокусиране върху основните си дейности, но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1ED1BA5F" w14:textId="565065CD" w:rsidR="00711D1F" w:rsidRPr="00F2549A" w:rsidRDefault="001D3A7E" w:rsidP="00711D1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леко да намали текущото ниво на фокусиране върху нови счетоводни стандарти и големи изменения в счетоводните стандарти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6EE780B6" w14:textId="6F851DC7" w:rsidR="00711D1F" w:rsidRPr="00F2549A" w:rsidRDefault="001D3A7E" w:rsidP="00711D1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леко да повиши текущото ниво на фокусиране върху дигиталното финансово отчитане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4241BAC8" w14:textId="68417A7F" w:rsidR="00711D1F" w:rsidRPr="00F2549A" w:rsidRDefault="001D3A7E" w:rsidP="00711D1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леко да повиши текущото ниво на фокусиране върху разбираемостта и достъпността на счетоводните стандарти, което косвено ще подкрепи последователното им прилагане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EA75D73" w14:textId="5970F815" w:rsidR="00711D1F" w:rsidRPr="00F2549A" w:rsidRDefault="00107F7A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Девет от дванадесетте членове на IASB изразиха съгласие с това решение</w:t>
      </w:r>
      <w:r w:rsidR="00711D1F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5B8F9F8" w14:textId="570995A0" w:rsidR="00711D1F" w:rsidRPr="00F2549A" w:rsidRDefault="00C46383" w:rsidP="00711D1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F2549A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445A55DE" w14:textId="78D9C031" w:rsidR="00711D1F" w:rsidRPr="00F2549A" w:rsidRDefault="00711D1F" w:rsidP="00711D1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776D16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обсъди и вземе решения относно нови финансово-отчетни въпроси, които да бъдат добавени към работната програма на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</w:t>
      </w:r>
      <w:r w:rsidR="00776D16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за периода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 </w:t>
      </w:r>
      <w:r w:rsidR="00776D16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–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2026</w:t>
      </w:r>
      <w:r w:rsidR="00776D16"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</w:t>
      </w:r>
      <w:r w:rsidRPr="00F2549A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sectPr w:rsidR="00711D1F" w:rsidRPr="00F2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C82"/>
    <w:multiLevelType w:val="multilevel"/>
    <w:tmpl w:val="3742471A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C475A"/>
    <w:multiLevelType w:val="multilevel"/>
    <w:tmpl w:val="D054C944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155EE"/>
    <w:multiLevelType w:val="multilevel"/>
    <w:tmpl w:val="FC282962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66E8F"/>
    <w:multiLevelType w:val="multilevel"/>
    <w:tmpl w:val="7FF68032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73D32"/>
    <w:multiLevelType w:val="multilevel"/>
    <w:tmpl w:val="D01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276F2"/>
    <w:multiLevelType w:val="multilevel"/>
    <w:tmpl w:val="CB18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4525C"/>
    <w:multiLevelType w:val="multilevel"/>
    <w:tmpl w:val="A09E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E3A3F"/>
    <w:multiLevelType w:val="multilevel"/>
    <w:tmpl w:val="A3CC610E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F6F85"/>
    <w:multiLevelType w:val="multilevel"/>
    <w:tmpl w:val="4264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04155"/>
    <w:multiLevelType w:val="multilevel"/>
    <w:tmpl w:val="167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D149DD"/>
    <w:multiLevelType w:val="multilevel"/>
    <w:tmpl w:val="F1585362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B1155"/>
    <w:multiLevelType w:val="multilevel"/>
    <w:tmpl w:val="1AB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4F2B20"/>
    <w:multiLevelType w:val="multilevel"/>
    <w:tmpl w:val="57E2E1F8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EE7273"/>
    <w:multiLevelType w:val="multilevel"/>
    <w:tmpl w:val="0524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B4FAC"/>
    <w:multiLevelType w:val="multilevel"/>
    <w:tmpl w:val="97C83BEA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924B26"/>
    <w:multiLevelType w:val="multilevel"/>
    <w:tmpl w:val="78F0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EA77CD"/>
    <w:multiLevelType w:val="multilevel"/>
    <w:tmpl w:val="EDF212CA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6E7A45"/>
    <w:multiLevelType w:val="multilevel"/>
    <w:tmpl w:val="E08E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CC1508"/>
    <w:multiLevelType w:val="multilevel"/>
    <w:tmpl w:val="DA885416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5805724">
    <w:abstractNumId w:val="5"/>
  </w:num>
  <w:num w:numId="2" w16cid:durableId="316610972">
    <w:abstractNumId w:val="8"/>
  </w:num>
  <w:num w:numId="3" w16cid:durableId="1158612767">
    <w:abstractNumId w:val="11"/>
  </w:num>
  <w:num w:numId="4" w16cid:durableId="2037075456">
    <w:abstractNumId w:val="13"/>
  </w:num>
  <w:num w:numId="5" w16cid:durableId="960722023">
    <w:abstractNumId w:val="9"/>
  </w:num>
  <w:num w:numId="6" w16cid:durableId="1091052046">
    <w:abstractNumId w:val="1"/>
  </w:num>
  <w:num w:numId="7" w16cid:durableId="1816726821">
    <w:abstractNumId w:val="6"/>
  </w:num>
  <w:num w:numId="8" w16cid:durableId="2018993905">
    <w:abstractNumId w:val="0"/>
  </w:num>
  <w:num w:numId="9" w16cid:durableId="1906867261">
    <w:abstractNumId w:val="14"/>
  </w:num>
  <w:num w:numId="10" w16cid:durableId="797259966">
    <w:abstractNumId w:val="12"/>
  </w:num>
  <w:num w:numId="11" w16cid:durableId="230116022">
    <w:abstractNumId w:val="3"/>
  </w:num>
  <w:num w:numId="12" w16cid:durableId="737094759">
    <w:abstractNumId w:val="7"/>
  </w:num>
  <w:num w:numId="13" w16cid:durableId="1131746648">
    <w:abstractNumId w:val="18"/>
  </w:num>
  <w:num w:numId="14" w16cid:durableId="1854296670">
    <w:abstractNumId w:val="2"/>
  </w:num>
  <w:num w:numId="15" w16cid:durableId="365299098">
    <w:abstractNumId w:val="10"/>
  </w:num>
  <w:num w:numId="16" w16cid:durableId="244726829">
    <w:abstractNumId w:val="15"/>
  </w:num>
  <w:num w:numId="17" w16cid:durableId="1035545724">
    <w:abstractNumId w:val="16"/>
  </w:num>
  <w:num w:numId="18" w16cid:durableId="1289042362">
    <w:abstractNumId w:val="17"/>
  </w:num>
  <w:num w:numId="19" w16cid:durableId="3165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1F"/>
    <w:rsid w:val="00080A80"/>
    <w:rsid w:val="000F3100"/>
    <w:rsid w:val="00107F7A"/>
    <w:rsid w:val="00110C36"/>
    <w:rsid w:val="0011721D"/>
    <w:rsid w:val="001363A1"/>
    <w:rsid w:val="001A6F20"/>
    <w:rsid w:val="001B0F38"/>
    <w:rsid w:val="001C5640"/>
    <w:rsid w:val="001D3A7E"/>
    <w:rsid w:val="00226569"/>
    <w:rsid w:val="00231463"/>
    <w:rsid w:val="002E6F3A"/>
    <w:rsid w:val="00317DBA"/>
    <w:rsid w:val="003A779D"/>
    <w:rsid w:val="003D55CE"/>
    <w:rsid w:val="003F5E15"/>
    <w:rsid w:val="0042190F"/>
    <w:rsid w:val="004927B8"/>
    <w:rsid w:val="004B3729"/>
    <w:rsid w:val="004C74AF"/>
    <w:rsid w:val="00521D25"/>
    <w:rsid w:val="00582B27"/>
    <w:rsid w:val="005A7C48"/>
    <w:rsid w:val="006235FB"/>
    <w:rsid w:val="00681516"/>
    <w:rsid w:val="00711D1F"/>
    <w:rsid w:val="00733030"/>
    <w:rsid w:val="00763DA3"/>
    <w:rsid w:val="007647D3"/>
    <w:rsid w:val="00776D16"/>
    <w:rsid w:val="007B10CE"/>
    <w:rsid w:val="007B3409"/>
    <w:rsid w:val="007C67A2"/>
    <w:rsid w:val="007D01CE"/>
    <w:rsid w:val="00841DC6"/>
    <w:rsid w:val="0089779D"/>
    <w:rsid w:val="008D19F9"/>
    <w:rsid w:val="00914388"/>
    <w:rsid w:val="009B2884"/>
    <w:rsid w:val="00A942B9"/>
    <w:rsid w:val="00AE4C75"/>
    <w:rsid w:val="00B40F49"/>
    <w:rsid w:val="00BD5764"/>
    <w:rsid w:val="00BD5768"/>
    <w:rsid w:val="00BD5962"/>
    <w:rsid w:val="00C46383"/>
    <w:rsid w:val="00D244DE"/>
    <w:rsid w:val="00D97D01"/>
    <w:rsid w:val="00DE1CD9"/>
    <w:rsid w:val="00E054F3"/>
    <w:rsid w:val="00E3067B"/>
    <w:rsid w:val="00ED63D8"/>
    <w:rsid w:val="00F1496F"/>
    <w:rsid w:val="00F14B1D"/>
    <w:rsid w:val="00F2549A"/>
    <w:rsid w:val="00F2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9F6C"/>
  <w15:chartTrackingRefBased/>
  <w15:docId w15:val="{172E48FC-E454-4FE7-88B1-A5E1B1EB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B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10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68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4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43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18" w:space="0" w:color="C6C6C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36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23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10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0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0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0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3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news-and-events/updates/iasb/2022/iasb-update-february-2022/" TargetMode="External"/><Relationship Id="rId13" Type="http://schemas.openxmlformats.org/officeDocument/2006/relationships/hyperlink" Target="https://www.ifrs.org/news-and-events/updates/iasb/2022/iasb-update-february-2022/" TargetMode="External"/><Relationship Id="rId18" Type="http://schemas.openxmlformats.org/officeDocument/2006/relationships/hyperlink" Target="https://www.ifrs.org/news-and-events/updates/iasb/2022/iasb-update-february-20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rs.org/news-and-events/updates/iasb/2022/iasb-update-february-2022/" TargetMode="External"/><Relationship Id="rId12" Type="http://schemas.openxmlformats.org/officeDocument/2006/relationships/hyperlink" Target="https://www.ifrs.org/news-and-events/updates/iasb/2022/iasb-update-february-2022/" TargetMode="External"/><Relationship Id="rId17" Type="http://schemas.openxmlformats.org/officeDocument/2006/relationships/hyperlink" Target="https://www.ifrs.org/news-and-events/updates/iasb/2022/iasb-update-february-202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frs.org/news-and-events/updates/iasb/2022/iasb-update-february-2022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frs.org/content/ifrs/home/news-and-events/calendar/2022/february/international-accounting-standards-board.html" TargetMode="External"/><Relationship Id="rId11" Type="http://schemas.openxmlformats.org/officeDocument/2006/relationships/hyperlink" Target="https://www.ifrs.org/news-and-events/updates/iasb/2022/iasb-update-february-2022/" TargetMode="External"/><Relationship Id="rId5" Type="http://schemas.openxmlformats.org/officeDocument/2006/relationships/hyperlink" Target="https://www.ifrs.org/content/ifrs/home/projects/work-plan.html" TargetMode="External"/><Relationship Id="rId15" Type="http://schemas.openxmlformats.org/officeDocument/2006/relationships/hyperlink" Target="https://www.ifrs.org/news-and-events/updates/iasb/2022/iasb-update-february-2022/" TargetMode="External"/><Relationship Id="rId10" Type="http://schemas.openxmlformats.org/officeDocument/2006/relationships/hyperlink" Target="https://www.ifrs.org/news-and-events/updates/iasb/2022/iasb-update-february-202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frs.org/news-and-events/updates/iasb/2022/iasb-update-february-2022/" TargetMode="External"/><Relationship Id="rId14" Type="http://schemas.openxmlformats.org/officeDocument/2006/relationships/hyperlink" Target="https://www.ifrs.org/news-and-events/updates/iasb/2022/iasb-update-february-2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4426</Words>
  <Characters>25233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 Velinova</dc:creator>
  <cp:keywords/>
  <dc:description/>
  <cp:lastModifiedBy>User</cp:lastModifiedBy>
  <cp:revision>3</cp:revision>
  <dcterms:created xsi:type="dcterms:W3CDTF">2022-05-11T06:23:00Z</dcterms:created>
  <dcterms:modified xsi:type="dcterms:W3CDTF">2022-05-13T03:35:00Z</dcterms:modified>
</cp:coreProperties>
</file>