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AB0" w:rsidRPr="00864896" w:rsidRDefault="009B0AB0">
      <w:pPr>
        <w:pStyle w:val="BodyText"/>
        <w:ind w:left="0"/>
        <w:rPr>
          <w:rFonts w:ascii="Times New Roman"/>
          <w:lang w:val="bg-BG"/>
        </w:rPr>
      </w:pPr>
    </w:p>
    <w:p w:rsidR="009B0AB0" w:rsidRDefault="009B0AB0">
      <w:pPr>
        <w:pStyle w:val="BodyText"/>
        <w:ind w:left="0"/>
        <w:rPr>
          <w:rFonts w:ascii="Times New Roman"/>
        </w:rPr>
      </w:pPr>
    </w:p>
    <w:p w:rsidR="009B0AB0" w:rsidRDefault="009B0AB0">
      <w:pPr>
        <w:pStyle w:val="BodyText"/>
        <w:ind w:left="0"/>
        <w:rPr>
          <w:rFonts w:ascii="Times New Roman"/>
        </w:rPr>
      </w:pPr>
    </w:p>
    <w:p w:rsidR="009B0AB0" w:rsidRDefault="009B0AB0">
      <w:pPr>
        <w:pStyle w:val="BodyText"/>
        <w:ind w:left="0"/>
        <w:rPr>
          <w:rFonts w:ascii="Times New Roman"/>
        </w:rPr>
      </w:pPr>
    </w:p>
    <w:p w:rsidR="009B0AB0" w:rsidRDefault="00864896">
      <w:pPr>
        <w:pStyle w:val="BodyText"/>
        <w:ind w:left="0"/>
        <w:rPr>
          <w:rFonts w:asci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67.8pt;margin-top:48.3pt;width:23.15pt;height:127.8pt;z-index:15730176;mso-position-horizontal-relative:page;mso-position-vertical-relative:page" filled="f" stroked="f">
            <v:textbox style="layout-flow:vertical;mso-layout-flow-alt:bottom-to-top" inset="0,0,0,0">
              <w:txbxContent>
                <w:p w:rsidR="009B0AB0" w:rsidRDefault="00864896">
                  <w:pPr>
                    <w:spacing w:before="23"/>
                    <w:ind w:left="20"/>
                    <w:rPr>
                      <w:rFonts w:ascii="Trebuchet MS"/>
                      <w:b/>
                      <w:sz w:val="36"/>
                    </w:rPr>
                  </w:pPr>
                  <w:r w:rsidRPr="00864896">
                    <w:rPr>
                      <w:rFonts w:ascii="Trebuchet MS"/>
                      <w:b/>
                      <w:color w:val="FFFFFF"/>
                      <w:w w:val="110"/>
                      <w:sz w:val="20"/>
                      <w:szCs w:val="20"/>
                      <w:lang w:val="bg-BG"/>
                    </w:rPr>
                    <w:t>Виждания</w:t>
                  </w:r>
                  <w:r w:rsidRPr="00864896">
                    <w:rPr>
                      <w:rFonts w:ascii="Trebuchet MS"/>
                      <w:b/>
                      <w:color w:val="FFFFFF"/>
                      <w:w w:val="110"/>
                      <w:sz w:val="20"/>
                      <w:szCs w:val="20"/>
                      <w:lang w:val="bg-BG"/>
                    </w:rPr>
                    <w:t xml:space="preserve"> </w:t>
                  </w:r>
                  <w:r w:rsidRPr="00864896">
                    <w:rPr>
                      <w:rFonts w:ascii="Trebuchet MS"/>
                      <w:b/>
                      <w:color w:val="FFFFFF"/>
                      <w:w w:val="110"/>
                      <w:sz w:val="20"/>
                      <w:szCs w:val="20"/>
                      <w:lang w:val="bg-BG"/>
                    </w:rPr>
                    <w:t>и</w:t>
                  </w:r>
                  <w:r w:rsidRPr="00864896">
                    <w:rPr>
                      <w:rFonts w:ascii="Trebuchet MS"/>
                      <w:b/>
                      <w:color w:val="FFFFFF"/>
                      <w:w w:val="110"/>
                      <w:sz w:val="20"/>
                      <w:szCs w:val="20"/>
                      <w:lang w:val="bg-BG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FFFFFF"/>
                      <w:w w:val="110"/>
                      <w:sz w:val="20"/>
                      <w:szCs w:val="20"/>
                      <w:lang w:val="bg-BG"/>
                    </w:rPr>
                    <w:t>идеи</w:t>
                  </w:r>
                </w:p>
              </w:txbxContent>
            </v:textbox>
            <w10:wrap anchorx="page" anchory="page"/>
          </v:shape>
        </w:pict>
      </w:r>
    </w:p>
    <w:p w:rsidR="009B0AB0" w:rsidRDefault="009B0AB0">
      <w:pPr>
        <w:pStyle w:val="BodyText"/>
        <w:ind w:left="0"/>
        <w:rPr>
          <w:rFonts w:ascii="Times New Roman"/>
        </w:rPr>
      </w:pPr>
    </w:p>
    <w:p w:rsidR="009B0AB0" w:rsidRDefault="009B0AB0">
      <w:pPr>
        <w:pStyle w:val="BodyText"/>
        <w:ind w:left="0"/>
        <w:rPr>
          <w:rFonts w:ascii="Times New Roman"/>
        </w:rPr>
      </w:pPr>
    </w:p>
    <w:p w:rsidR="009B0AB0" w:rsidRDefault="009B0AB0">
      <w:pPr>
        <w:pStyle w:val="BodyText"/>
        <w:ind w:left="0"/>
        <w:rPr>
          <w:rFonts w:ascii="Times New Roman"/>
        </w:rPr>
      </w:pPr>
    </w:p>
    <w:p w:rsidR="009B0AB0" w:rsidRDefault="009B0AB0">
      <w:pPr>
        <w:pStyle w:val="BodyText"/>
        <w:spacing w:before="3"/>
        <w:ind w:left="0"/>
        <w:rPr>
          <w:rFonts w:ascii="Times New Roman"/>
          <w:sz w:val="29"/>
        </w:rPr>
      </w:pPr>
    </w:p>
    <w:p w:rsidR="009B0AB0" w:rsidRDefault="007B6330" w:rsidP="008E5D26">
      <w:pPr>
        <w:pStyle w:val="Title"/>
        <w:spacing w:line="249" w:lineRule="auto"/>
        <w:rPr>
          <w:b w:val="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1640827</wp:posOffset>
            </wp:positionH>
            <wp:positionV relativeFrom="paragraph">
              <wp:posOffset>-1247740</wp:posOffset>
            </wp:positionV>
            <wp:extent cx="2095512" cy="13241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12" cy="132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5D26">
        <w:rPr>
          <w:rFonts w:ascii="Arial"/>
          <w:b w:val="0"/>
          <w:w w:val="120"/>
          <w:lang w:val="bg-BG"/>
        </w:rPr>
        <w:t>Действащо</w:t>
      </w:r>
      <w:r w:rsidR="008E5D26">
        <w:rPr>
          <w:rFonts w:ascii="Arial"/>
          <w:b w:val="0"/>
          <w:w w:val="120"/>
          <w:lang w:val="bg-BG"/>
        </w:rPr>
        <w:t xml:space="preserve"> </w:t>
      </w:r>
      <w:r w:rsidR="008E5D26">
        <w:rPr>
          <w:rFonts w:ascii="Arial"/>
          <w:b w:val="0"/>
          <w:w w:val="120"/>
          <w:lang w:val="bg-BG"/>
        </w:rPr>
        <w:t>предприятие</w:t>
      </w:r>
      <w:r>
        <w:rPr>
          <w:rFonts w:ascii="Arial"/>
          <w:b w:val="0"/>
          <w:w w:val="120"/>
        </w:rPr>
        <w:t xml:space="preserve">: </w:t>
      </w:r>
      <w:r w:rsidR="008E5D26">
        <w:rPr>
          <w:spacing w:val="-3"/>
          <w:w w:val="120"/>
          <w:lang w:val="bg-BG"/>
        </w:rPr>
        <w:t>Препоръки за укрепване на финансово-отчетната екосистема</w:t>
      </w:r>
    </w:p>
    <w:p w:rsidR="009B0AB0" w:rsidRDefault="009B0AB0">
      <w:pPr>
        <w:pStyle w:val="BodyText"/>
        <w:ind w:left="0"/>
        <w:rPr>
          <w:rFonts w:ascii="Trebuchet MS"/>
          <w:b/>
        </w:rPr>
      </w:pPr>
    </w:p>
    <w:p w:rsidR="009B0AB0" w:rsidRDefault="009B0AB0">
      <w:pPr>
        <w:pStyle w:val="BodyText"/>
        <w:ind w:left="0"/>
        <w:rPr>
          <w:rFonts w:ascii="Trebuchet MS"/>
          <w:b/>
          <w:sz w:val="26"/>
        </w:rPr>
      </w:pPr>
    </w:p>
    <w:p w:rsidR="009B0AB0" w:rsidRDefault="009B0AB0">
      <w:pPr>
        <w:rPr>
          <w:rFonts w:ascii="Trebuchet MS"/>
          <w:sz w:val="26"/>
        </w:rPr>
        <w:sectPr w:rsidR="009B0AB0">
          <w:type w:val="continuous"/>
          <w:pgSz w:w="11910" w:h="16840"/>
          <w:pgMar w:top="0" w:right="620" w:bottom="0" w:left="620" w:header="720" w:footer="720" w:gutter="0"/>
          <w:cols w:space="720"/>
        </w:sectPr>
      </w:pPr>
    </w:p>
    <w:p w:rsidR="009B0AB0" w:rsidRPr="008E5D26" w:rsidRDefault="007B6330">
      <w:pPr>
        <w:pStyle w:val="Heading1"/>
        <w:ind w:left="2020"/>
        <w:rPr>
          <w:lang w:val="bg-BG"/>
        </w:rPr>
      </w:pPr>
      <w:r>
        <w:rPr>
          <w:noProof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310640" cy="1069200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069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791C">
        <w:pict>
          <v:group id="_x0000_s1032" style="position:absolute;left:0;text-align:left;margin-left:559.3pt;margin-top:0;width:36pt;height:230.15pt;z-index:15729664;mso-position-horizontal-relative:page;mso-position-vertical-relative:page" coordorigin="11186" coordsize="720,4603">
            <v:rect id="_x0000_s1035" style="position:absolute;left:11195;width:710;height:4593" fillcolor="black" stroked="f"/>
            <v:rect id="_x0000_s1034" style="position:absolute;left:11195;top:4582;width:710;height:20" fillcolor="black" stroked="f"/>
            <v:line id="_x0000_s1033" style="position:absolute" from="11196,0" to="11196,4593" strokeweight="1pt"/>
            <w10:wrap anchorx="page" anchory="page"/>
          </v:group>
        </w:pict>
      </w:r>
      <w:r w:rsidR="008E5D26">
        <w:rPr>
          <w:noProof/>
          <w:lang w:val="bg-BG"/>
        </w:rPr>
        <w:t>Основна информация</w:t>
      </w:r>
    </w:p>
    <w:p w:rsidR="009B0AB0" w:rsidRDefault="008E5D26" w:rsidP="004E3AD7">
      <w:pPr>
        <w:pStyle w:val="BodyText"/>
        <w:spacing w:before="199" w:line="249" w:lineRule="auto"/>
        <w:ind w:left="2020"/>
      </w:pPr>
      <w:r>
        <w:rPr>
          <w:lang w:val="bg-BG"/>
        </w:rPr>
        <w:t>Когато компанията фалира</w:t>
      </w:r>
      <w:r w:rsidR="007B6330">
        <w:t xml:space="preserve">, </w:t>
      </w:r>
      <w:r>
        <w:rPr>
          <w:lang w:val="bg-BG"/>
        </w:rPr>
        <w:t>засегнати са всички заинтересовани страни</w:t>
      </w:r>
      <w:r w:rsidR="007B6330">
        <w:t xml:space="preserve">, </w:t>
      </w:r>
      <w:r>
        <w:rPr>
          <w:lang w:val="bg-BG"/>
        </w:rPr>
        <w:t>от служителите до инвеститорите, като това в крайна сметка ерозира и доверието на обществеността във финансовите пазари</w:t>
      </w:r>
      <w:r w:rsidR="007B6330">
        <w:t xml:space="preserve">. </w:t>
      </w:r>
      <w:r>
        <w:rPr>
          <w:lang w:val="bg-BG"/>
        </w:rPr>
        <w:t>Нашата публикация</w:t>
      </w:r>
      <w:r w:rsidR="007B6330">
        <w:t xml:space="preserve"> </w:t>
      </w:r>
      <w:hyperlink r:id="rId7">
        <w:r>
          <w:rPr>
            <w:i/>
            <w:color w:val="002060"/>
            <w:u w:val="single" w:color="002060"/>
            <w:lang w:val="bg-BG"/>
          </w:rPr>
          <w:t>Действащо предприятие</w:t>
        </w:r>
        <w:r w:rsidR="007B6330">
          <w:rPr>
            <w:i/>
            <w:color w:val="002060"/>
            <w:u w:val="single" w:color="002060"/>
          </w:rPr>
          <w:t>:</w:t>
        </w:r>
      </w:hyperlink>
      <w:r w:rsidR="007B6330">
        <w:rPr>
          <w:i/>
          <w:color w:val="002060"/>
        </w:rPr>
        <w:t xml:space="preserve"> </w:t>
      </w:r>
      <w:hyperlink r:id="rId8">
        <w:r>
          <w:rPr>
            <w:i/>
            <w:color w:val="002060"/>
            <w:u w:val="single" w:color="002060"/>
            <w:lang w:val="bg-BG"/>
          </w:rPr>
          <w:t>препоръки за укрепване на финансово-отчетната екосистема</w:t>
        </w:r>
      </w:hyperlink>
      <w:r w:rsidR="007B6330">
        <w:t xml:space="preserve"> </w:t>
      </w:r>
      <w:r>
        <w:rPr>
          <w:lang w:val="bg-BG"/>
        </w:rPr>
        <w:t>представя препоръки за укрепване на финансово-отчетната екосистема</w:t>
      </w:r>
      <w:r w:rsidR="007B6330">
        <w:t xml:space="preserve">. </w:t>
      </w:r>
      <w:r>
        <w:rPr>
          <w:lang w:val="bg-BG"/>
        </w:rPr>
        <w:t>Това е особено актуално</w:t>
      </w:r>
      <w:r w:rsidR="007B6330">
        <w:t xml:space="preserve"> </w:t>
      </w:r>
      <w:r>
        <w:rPr>
          <w:lang w:val="bg-BG"/>
        </w:rPr>
        <w:t>след неотдавнашните корпоративни фалити</w:t>
      </w:r>
      <w:r w:rsidR="007B6330">
        <w:t xml:space="preserve">, </w:t>
      </w:r>
      <w:r w:rsidR="004E3AD7">
        <w:rPr>
          <w:lang w:val="bg-BG"/>
        </w:rPr>
        <w:t>случаи на измама и попадането на компаниите под натиск в резултат на продължаващата пандемия</w:t>
      </w:r>
      <w:r w:rsidR="007B6330">
        <w:t xml:space="preserve"> COVID-19.</w:t>
      </w:r>
    </w:p>
    <w:p w:rsidR="009B0AB0" w:rsidRDefault="004E3AD7" w:rsidP="004E3AD7">
      <w:pPr>
        <w:pStyle w:val="BodyText"/>
        <w:spacing w:before="82" w:line="249" w:lineRule="auto"/>
        <w:ind w:left="2020" w:right="73"/>
      </w:pPr>
      <w:r>
        <w:rPr>
          <w:lang w:val="bg-BG"/>
        </w:rPr>
        <w:t>Системата следва по-успешно да се справя и да комуникира проблемните въпроси, свързани със способността на компанията да продължи да функционира като „действащо предприятие“</w:t>
      </w:r>
      <w:r w:rsidR="007B6330">
        <w:t xml:space="preserve">. </w:t>
      </w:r>
      <w:r>
        <w:rPr>
          <w:lang w:val="bg-BG"/>
        </w:rPr>
        <w:t>Просто казано</w:t>
      </w:r>
      <w:r w:rsidR="007B6330">
        <w:t xml:space="preserve">, </w:t>
      </w:r>
      <w:r>
        <w:rPr>
          <w:lang w:val="bg-BG"/>
        </w:rPr>
        <w:t>дали компанията ще остане в бизнеса през следващите</w:t>
      </w:r>
      <w:r w:rsidR="007B6330">
        <w:t xml:space="preserve"> 12 </w:t>
      </w:r>
      <w:r>
        <w:rPr>
          <w:lang w:val="bg-BG"/>
        </w:rPr>
        <w:t>месеца</w:t>
      </w:r>
      <w:r w:rsidR="007B6330">
        <w:t xml:space="preserve">. </w:t>
      </w:r>
      <w:r>
        <w:rPr>
          <w:lang w:val="bg-BG"/>
        </w:rPr>
        <w:t>Нашата публикация има за цел да направи системата по-устойчива, като изследва отново</w:t>
      </w:r>
      <w:r w:rsidR="007B6330">
        <w:t xml:space="preserve"> </w:t>
      </w:r>
      <w:r>
        <w:rPr>
          <w:color w:val="002060"/>
          <w:u w:val="single" w:color="002060"/>
          <w:lang w:val="bg-BG"/>
        </w:rPr>
        <w:t>ролята на ключовите страни</w:t>
      </w:r>
      <w:r w:rsidR="007B6330">
        <w:t xml:space="preserve">: </w:t>
      </w:r>
      <w:r w:rsidR="00DA13F0">
        <w:rPr>
          <w:lang w:val="bg-BG"/>
        </w:rPr>
        <w:t>вътре в компанията</w:t>
      </w:r>
      <w:r w:rsidR="007B6330">
        <w:t xml:space="preserve">, </w:t>
      </w:r>
      <w:r w:rsidR="00DA13F0">
        <w:rPr>
          <w:lang w:val="bg-BG"/>
        </w:rPr>
        <w:t>външни одитори</w:t>
      </w:r>
      <w:r w:rsidR="007B6330">
        <w:t xml:space="preserve">, </w:t>
      </w:r>
      <w:r>
        <w:rPr>
          <w:lang w:val="bg-BG"/>
        </w:rPr>
        <w:t>органи за изготвяне и въвеждане на стандарти</w:t>
      </w:r>
      <w:r w:rsidR="007B6330">
        <w:t xml:space="preserve">, </w:t>
      </w:r>
      <w:r>
        <w:rPr>
          <w:lang w:val="bg-BG"/>
        </w:rPr>
        <w:t>законодателни органи и органи за публичен надзор</w:t>
      </w:r>
      <w:r w:rsidR="007B6330">
        <w:t>.</w:t>
      </w:r>
    </w:p>
    <w:p w:rsidR="009B0AB0" w:rsidRDefault="00DA13F0">
      <w:pPr>
        <w:pStyle w:val="BodyText"/>
        <w:spacing w:before="86" w:line="249" w:lineRule="auto"/>
        <w:ind w:left="2020" w:right="109"/>
      </w:pPr>
      <w:r>
        <w:rPr>
          <w:lang w:val="bg-BG"/>
        </w:rPr>
        <w:t>Оценяването на способността на компанията да продължи да функционира като действащо предприятие има своите вътрешноприсъщи ограничения, тъй като такова оценяване се базира на прогнози и не може да предвиди всички бъдещи събития</w:t>
      </w:r>
      <w:r w:rsidR="007B6330">
        <w:t xml:space="preserve">. </w:t>
      </w:r>
      <w:r>
        <w:rPr>
          <w:lang w:val="bg-BG"/>
        </w:rPr>
        <w:t>Пандемията ни показа, че предотвратяването на всички корпоративни фалити не е възможно</w:t>
      </w:r>
      <w:r w:rsidR="007B6330">
        <w:t xml:space="preserve">. </w:t>
      </w:r>
      <w:r>
        <w:rPr>
          <w:spacing w:val="-3"/>
          <w:lang w:val="bg-BG"/>
        </w:rPr>
        <w:t>По-силна финансово-отчетна екосистема обаче, би дала възможност на предприятията своевременно да възприемат превантивни мерки или по-</w:t>
      </w:r>
      <w:r>
        <w:rPr>
          <w:spacing w:val="-3"/>
          <w:lang w:val="bg-BG"/>
        </w:rPr>
        <w:t>добре да управляват последствията от тези фалити</w:t>
      </w:r>
      <w:r w:rsidR="007B6330">
        <w:t>.</w:t>
      </w:r>
    </w:p>
    <w:p w:rsidR="009B0AB0" w:rsidRPr="00F77801" w:rsidRDefault="00F77801">
      <w:pPr>
        <w:pStyle w:val="BodyText"/>
        <w:spacing w:before="89" w:line="249" w:lineRule="auto"/>
        <w:ind w:left="2020" w:right="613"/>
        <w:jc w:val="both"/>
        <w:rPr>
          <w:lang w:val="bg-BG"/>
        </w:rPr>
      </w:pPr>
      <w:r>
        <w:rPr>
          <w:lang w:val="bg-BG"/>
        </w:rPr>
        <w:t>Проблемите, свързани с измамата и предположението за действащо предприятие, често са в корелационна зависимост</w:t>
      </w:r>
      <w:r w:rsidR="007B6330">
        <w:t xml:space="preserve">. </w:t>
      </w:r>
      <w:r>
        <w:rPr>
          <w:lang w:val="bg-BG"/>
        </w:rPr>
        <w:t>Ние разработихме също така и препоръки</w:t>
      </w:r>
      <w:r w:rsidR="007B6330">
        <w:t xml:space="preserve"> </w:t>
      </w:r>
      <w:r>
        <w:rPr>
          <w:lang w:val="bg-BG"/>
        </w:rPr>
        <w:t>в нашата публикация</w:t>
      </w:r>
    </w:p>
    <w:p w:rsidR="009B0AB0" w:rsidRPr="00F77801" w:rsidRDefault="00FD791C" w:rsidP="00F77801">
      <w:pPr>
        <w:spacing w:before="2" w:line="249" w:lineRule="auto"/>
        <w:ind w:left="2020"/>
        <w:jc w:val="both"/>
        <w:rPr>
          <w:rFonts w:ascii="Trebuchet MS"/>
          <w:b/>
          <w:sz w:val="26"/>
          <w:lang w:val="bg-BG"/>
        </w:rPr>
      </w:pPr>
      <w:hyperlink r:id="rId9">
        <w:r w:rsidR="00F77801" w:rsidRPr="00F77801">
          <w:rPr>
            <w:i/>
            <w:color w:val="002060"/>
            <w:sz w:val="20"/>
            <w:u w:val="single" w:color="002060"/>
            <w:lang w:val="bg-BG"/>
          </w:rPr>
          <w:t>Измама</w:t>
        </w:r>
        <w:r w:rsidR="007B6330" w:rsidRPr="00F77801">
          <w:rPr>
            <w:i/>
            <w:color w:val="002060"/>
            <w:sz w:val="20"/>
            <w:u w:val="single" w:color="002060"/>
            <w:lang w:val="bg-BG"/>
          </w:rPr>
          <w:t xml:space="preserve">: </w:t>
        </w:r>
        <w:r w:rsidR="00F77801" w:rsidRPr="00F77801">
          <w:rPr>
            <w:i/>
            <w:color w:val="002060"/>
            <w:sz w:val="20"/>
            <w:u w:val="single" w:color="002060"/>
            <w:lang w:val="bg-BG"/>
          </w:rPr>
          <w:t>препоръки за укрепване на финансово-отчетната екосистема</w:t>
        </w:r>
      </w:hyperlink>
    </w:p>
    <w:p w:rsidR="009B0AB0" w:rsidRDefault="00F77801">
      <w:pPr>
        <w:pStyle w:val="BodyText"/>
        <w:spacing w:before="250" w:line="249" w:lineRule="auto"/>
        <w:ind w:left="561" w:right="338"/>
      </w:pPr>
      <w:r>
        <w:rPr>
          <w:lang w:val="bg-BG"/>
        </w:rPr>
        <w:t>Нашите препоръки се фокусират върху финансовата отчетност и одита на европейските предприятия от обществен интерес</w:t>
      </w:r>
      <w:r w:rsidR="007B6330">
        <w:t xml:space="preserve"> (</w:t>
      </w:r>
      <w:r>
        <w:rPr>
          <w:lang w:val="bg-BG"/>
        </w:rPr>
        <w:t>ПОИ</w:t>
      </w:r>
      <w:r w:rsidR="007B6330">
        <w:t xml:space="preserve">). </w:t>
      </w:r>
      <w:r>
        <w:rPr>
          <w:spacing w:val="-3"/>
          <w:lang w:val="bg-BG"/>
        </w:rPr>
        <w:t>Някои от тях може да са приложими също така и по отношение на предприятия, които не са ПОИ и техните одитори</w:t>
      </w:r>
      <w:r w:rsidR="007B6330">
        <w:t xml:space="preserve">. </w:t>
      </w:r>
      <w:r>
        <w:rPr>
          <w:lang w:val="bg-BG"/>
        </w:rPr>
        <w:t>Препоръките имат за отправна точка изискванията в приложимите международни стандарти и законодателството на ЕС</w:t>
      </w:r>
      <w:r w:rsidR="007B6330">
        <w:t>.</w:t>
      </w:r>
    </w:p>
    <w:p w:rsidR="009B0AB0" w:rsidRDefault="00F77801">
      <w:pPr>
        <w:pStyle w:val="Heading1"/>
        <w:spacing w:before="108"/>
      </w:pPr>
      <w:r>
        <w:rPr>
          <w:color w:val="808080"/>
          <w:w w:val="125"/>
          <w:lang w:val="bg-BG"/>
        </w:rPr>
        <w:t>Нашите основни предложения</w:t>
      </w:r>
    </w:p>
    <w:p w:rsidR="009B0AB0" w:rsidRDefault="00F77801">
      <w:pPr>
        <w:pStyle w:val="Heading2"/>
        <w:spacing w:before="139"/>
        <w:ind w:left="561" w:right="0"/>
      </w:pPr>
      <w:r>
        <w:rPr>
          <w:lang w:val="bg-BG"/>
        </w:rPr>
        <w:t>Разширяване работното усилие на компаниите</w:t>
      </w:r>
    </w:p>
    <w:p w:rsidR="009B0AB0" w:rsidRDefault="00F77801">
      <w:pPr>
        <w:pStyle w:val="BodyText"/>
        <w:spacing w:before="90" w:line="249" w:lineRule="auto"/>
        <w:ind w:left="561" w:right="283"/>
      </w:pPr>
      <w:r>
        <w:rPr>
          <w:lang w:val="bg-BG"/>
        </w:rPr>
        <w:t>Стандартите и</w:t>
      </w:r>
      <w:r w:rsidR="007B6330">
        <w:t>/</w:t>
      </w:r>
      <w:r>
        <w:rPr>
          <w:lang w:val="bg-BG"/>
        </w:rPr>
        <w:t>или приложимото законодателство трябва да разширят работното усилие на компаниите при оценяване на предположението за действащо предприятие</w:t>
      </w:r>
      <w:r w:rsidR="007B6330">
        <w:t xml:space="preserve">. </w:t>
      </w:r>
      <w:r>
        <w:rPr>
          <w:lang w:val="bg-BG"/>
        </w:rPr>
        <w:t>Компаниите следва да внедрят интегрирани системи и да разполагат с адекватни процедури за изготвяне на надеждни прогнози за паричните потоци</w:t>
      </w:r>
      <w:r w:rsidR="007B6330">
        <w:t xml:space="preserve">. </w:t>
      </w:r>
      <w:r>
        <w:rPr>
          <w:lang w:val="bg-BG"/>
        </w:rPr>
        <w:t>Те следва също така да подложат на стрес тестове и на обратни стрес тестове валидността на техните анализи на предположението за действащо предприятие</w:t>
      </w:r>
      <w:r w:rsidR="007B6330">
        <w:t xml:space="preserve">. </w:t>
      </w:r>
      <w:r>
        <w:rPr>
          <w:lang w:val="bg-BG"/>
        </w:rPr>
        <w:t>Ръководството следва да има необходимото образование</w:t>
      </w:r>
      <w:r w:rsidR="007B6330">
        <w:t xml:space="preserve">, </w:t>
      </w:r>
      <w:r>
        <w:rPr>
          <w:lang w:val="bg-BG"/>
        </w:rPr>
        <w:t xml:space="preserve">компетентност и умения, за </w:t>
      </w:r>
      <w:r>
        <w:rPr>
          <w:lang w:val="bg-BG"/>
        </w:rPr>
        <w:lastRenderedPageBreak/>
        <w:t>да изготви такива прогнози и анализи</w:t>
      </w:r>
      <w:r w:rsidR="007B6330">
        <w:t>.</w:t>
      </w:r>
    </w:p>
    <w:p w:rsidR="009B0AB0" w:rsidRDefault="008B053B">
      <w:pPr>
        <w:pStyle w:val="Heading2"/>
        <w:spacing w:before="209" w:line="249" w:lineRule="auto"/>
        <w:ind w:left="561" w:right="338"/>
      </w:pPr>
      <w:r w:rsidRPr="008B053B">
        <w:rPr>
          <w:lang w:val="bg-BG"/>
        </w:rPr>
        <w:t xml:space="preserve">Въвеждане като задължително изискване </w:t>
      </w:r>
      <w:r w:rsidR="00F77801">
        <w:rPr>
          <w:lang w:val="bg-BG"/>
        </w:rPr>
        <w:t>на оповестяванията относно системите на компаниите за управление на риска във връзка с принципа-предположение за действащо предприятие</w:t>
      </w:r>
      <w:r w:rsidR="007B6330">
        <w:rPr>
          <w:spacing w:val="-3"/>
        </w:rPr>
        <w:t xml:space="preserve"> </w:t>
      </w:r>
      <w:r w:rsidR="00F77801">
        <w:rPr>
          <w:lang w:val="bg-BG"/>
        </w:rPr>
        <w:t>и разширяване участието на одиторите</w:t>
      </w:r>
    </w:p>
    <w:p w:rsidR="009B0AB0" w:rsidRDefault="00F77801" w:rsidP="0036770E">
      <w:pPr>
        <w:pStyle w:val="BodyText"/>
        <w:spacing w:before="82" w:line="249" w:lineRule="auto"/>
        <w:ind w:left="561" w:right="544"/>
      </w:pPr>
      <w:r>
        <w:rPr>
          <w:lang w:val="bg-BG"/>
        </w:rPr>
        <w:t>Органите за изготвяне и въвеждане на стандарти</w:t>
      </w:r>
      <w:r w:rsidR="007B6330">
        <w:t xml:space="preserve"> </w:t>
      </w:r>
      <w:r>
        <w:rPr>
          <w:lang w:val="bg-BG"/>
        </w:rPr>
        <w:t>и</w:t>
      </w:r>
      <w:r w:rsidR="007B6330">
        <w:t>/</w:t>
      </w:r>
      <w:r>
        <w:rPr>
          <w:lang w:val="bg-BG"/>
        </w:rPr>
        <w:t xml:space="preserve">или законодателните органи следва да изискват компаниите да предоставят оповестявания </w:t>
      </w:r>
      <w:r w:rsidR="0036770E">
        <w:rPr>
          <w:lang w:val="bg-BG"/>
        </w:rPr>
        <w:t>относно функционирането на техните системи за управление на риска във връзка с принципа-предположение за действащо предприятие. Ролята на одиторите следва да еволюира или за да предоставя сигурност във връзка с тези части от системите за управление на риска, или за да ги одитира в рамките на одита на финансовите отчети</w:t>
      </w:r>
      <w:r w:rsidR="007B6330">
        <w:t xml:space="preserve">. </w:t>
      </w:r>
      <w:r w:rsidR="0036770E">
        <w:rPr>
          <w:lang w:val="bg-BG"/>
        </w:rPr>
        <w:t>За да работи това на практика</w:t>
      </w:r>
      <w:r w:rsidR="007B6330">
        <w:t xml:space="preserve">, </w:t>
      </w:r>
      <w:r w:rsidR="0036770E">
        <w:rPr>
          <w:lang w:val="bg-BG"/>
        </w:rPr>
        <w:t>може да е необходимо одиторите да трябва да разгледат вътрешните контроли върху финансовото отчитане като цяло</w:t>
      </w:r>
      <w:r w:rsidR="007B6330">
        <w:t>.</w:t>
      </w:r>
    </w:p>
    <w:p w:rsidR="009B0AB0" w:rsidRDefault="009B0AB0">
      <w:pPr>
        <w:spacing w:line="249" w:lineRule="auto"/>
        <w:sectPr w:rsidR="009B0AB0">
          <w:type w:val="continuous"/>
          <w:pgSz w:w="11910" w:h="16840"/>
          <w:pgMar w:top="0" w:right="620" w:bottom="0" w:left="620" w:header="720" w:footer="720" w:gutter="0"/>
          <w:cols w:num="2" w:space="720" w:equalWidth="0">
            <w:col w:w="5882" w:space="40"/>
            <w:col w:w="4748"/>
          </w:cols>
        </w:sectPr>
      </w:pPr>
    </w:p>
    <w:p w:rsidR="009B0AB0" w:rsidRDefault="008B053B">
      <w:pPr>
        <w:pStyle w:val="Heading2"/>
        <w:spacing w:before="78" w:line="249" w:lineRule="auto"/>
        <w:ind w:right="991"/>
      </w:pPr>
      <w:r>
        <w:rPr>
          <w:lang w:val="bg-BG"/>
        </w:rPr>
        <w:lastRenderedPageBreak/>
        <w:t>Въвеждане</w:t>
      </w:r>
      <w:r w:rsidR="004B6B40" w:rsidRPr="004B6B40">
        <w:rPr>
          <w:lang w:val="bg-BG"/>
        </w:rPr>
        <w:t xml:space="preserve"> </w:t>
      </w:r>
      <w:r>
        <w:rPr>
          <w:lang w:val="bg-BG"/>
        </w:rPr>
        <w:t xml:space="preserve">като задължително изискване </w:t>
      </w:r>
      <w:r w:rsidR="004B6B40" w:rsidRPr="004B6B40">
        <w:rPr>
          <w:lang w:val="bg-BG"/>
        </w:rPr>
        <w:t>на оповестяванията относно</w:t>
      </w:r>
      <w:r w:rsidR="004B6B40">
        <w:rPr>
          <w:lang w:val="bg-BG"/>
        </w:rPr>
        <w:t xml:space="preserve"> предположението за действащо предприятие, дори да не е налице несигурност</w:t>
      </w:r>
    </w:p>
    <w:p w:rsidR="009B0AB0" w:rsidRDefault="004B6B40" w:rsidP="004B6B40">
      <w:pPr>
        <w:pStyle w:val="BodyText"/>
        <w:spacing w:before="82" w:line="249" w:lineRule="auto"/>
        <w:ind w:right="29"/>
      </w:pPr>
      <w:r>
        <w:rPr>
          <w:lang w:val="bg-BG"/>
        </w:rPr>
        <w:t>Ние предлагаме въвеждането на задължително оповестяване от страна на ръководството относно базата на неговото предположение за действащо предприятие</w:t>
      </w:r>
      <w:r w:rsidR="007B6330">
        <w:t xml:space="preserve">. </w:t>
      </w:r>
      <w:r>
        <w:rPr>
          <w:lang w:val="bg-BG"/>
        </w:rPr>
        <w:t>То следва да се фокусира върху уместните ключови преценки при оценката на предположението за действащо предприятие</w:t>
      </w:r>
      <w:r w:rsidR="007B6330">
        <w:t xml:space="preserve">. </w:t>
      </w:r>
      <w:r>
        <w:rPr>
          <w:lang w:val="bg-BG"/>
        </w:rPr>
        <w:t>Такова оповестяване следва да се изисква, дори когато не е идентифицирана съществена несигурност</w:t>
      </w:r>
      <w:r w:rsidR="007B6330">
        <w:t xml:space="preserve">. </w:t>
      </w:r>
      <w:r>
        <w:rPr>
          <w:lang w:val="bg-BG"/>
        </w:rPr>
        <w:t>Това ще изисква промяна в съответните стандарти</w:t>
      </w:r>
      <w:r w:rsidR="007B6330">
        <w:t>.</w:t>
      </w:r>
    </w:p>
    <w:p w:rsidR="009B0AB0" w:rsidRDefault="004B6B40">
      <w:pPr>
        <w:pStyle w:val="BodyText"/>
        <w:spacing w:before="127" w:line="249" w:lineRule="auto"/>
        <w:ind w:right="29"/>
      </w:pPr>
      <w:r>
        <w:rPr>
          <w:lang w:val="bg-BG"/>
        </w:rPr>
        <w:t>Впоследствие</w:t>
      </w:r>
      <w:r w:rsidR="007B6330">
        <w:t xml:space="preserve">, </w:t>
      </w:r>
      <w:r>
        <w:rPr>
          <w:lang w:val="bg-BG"/>
        </w:rPr>
        <w:t>стандартите следва да изискват одиторите винаги да предоставят</w:t>
      </w:r>
      <w:r w:rsidR="007B6330">
        <w:t>:</w:t>
      </w:r>
    </w:p>
    <w:p w:rsidR="009B0AB0" w:rsidRDefault="004B6B40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01" w:line="249" w:lineRule="auto"/>
        <w:rPr>
          <w:sz w:val="20"/>
        </w:rPr>
      </w:pPr>
      <w:r>
        <w:rPr>
          <w:sz w:val="20"/>
          <w:lang w:val="bg-BG"/>
        </w:rPr>
        <w:t>изложение относно това, че са разгледали предположението на ръководството за действащо предприятие, дори в случаите, когато не е налице съществена несигурност, или когато не са идентифицирани проблемни въпроси във връзка с оценката на ръководството;</w:t>
      </w:r>
    </w:p>
    <w:p w:rsidR="009B0AB0" w:rsidRDefault="004B6B40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49" w:lineRule="auto"/>
        <w:ind w:right="118"/>
        <w:rPr>
          <w:sz w:val="20"/>
        </w:rPr>
      </w:pPr>
      <w:r>
        <w:rPr>
          <w:sz w:val="20"/>
          <w:lang w:val="bg-BG"/>
        </w:rPr>
        <w:t>заключение относно твърдението на ръководството, че не е идентифицирана съществена несигурност.</w:t>
      </w:r>
    </w:p>
    <w:p w:rsidR="009B0AB0" w:rsidRDefault="004B6B40" w:rsidP="008B053B">
      <w:pPr>
        <w:pStyle w:val="BodyText"/>
        <w:spacing w:before="103" w:line="249" w:lineRule="auto"/>
        <w:ind w:right="29"/>
      </w:pPr>
      <w:r>
        <w:rPr>
          <w:lang w:val="bg-BG"/>
        </w:rPr>
        <w:t>Някои държави разглеждат идеята</w:t>
      </w:r>
      <w:r w:rsidR="008B053B">
        <w:rPr>
          <w:lang w:val="bg-BG"/>
        </w:rPr>
        <w:t xml:space="preserve"> относно „постепенно“ докладване във връзка с предположението за действащо предприятие, както от ръководството, така и от одиторите. Органите за изготвяне и въвеждане на международните стандарти и/или законодателните органи в ЕС също биха могли да проучат въпроса дали това би могло да замени сегашния „издържал/</w:t>
      </w:r>
      <w:proofErr w:type="spellStart"/>
      <w:r w:rsidR="008B053B">
        <w:rPr>
          <w:lang w:val="bg-BG"/>
        </w:rPr>
        <w:t>неиздържал</w:t>
      </w:r>
      <w:proofErr w:type="spellEnd"/>
      <w:r w:rsidR="008B053B">
        <w:rPr>
          <w:lang w:val="bg-BG"/>
        </w:rPr>
        <w:t>“ резултат от оценяването на предположението за действащо предприятие</w:t>
      </w:r>
      <w:r w:rsidR="007B6330">
        <w:t>.</w:t>
      </w:r>
    </w:p>
    <w:p w:rsidR="009B0AB0" w:rsidRPr="008B053B" w:rsidRDefault="008B053B">
      <w:pPr>
        <w:pStyle w:val="Heading2"/>
        <w:spacing w:before="203" w:line="249" w:lineRule="auto"/>
        <w:ind w:right="29"/>
        <w:rPr>
          <w:lang w:val="bg-BG"/>
        </w:rPr>
      </w:pPr>
      <w:r>
        <w:rPr>
          <w:lang w:val="bg-BG"/>
        </w:rPr>
        <w:t>Промяна в мисловните нагласи</w:t>
      </w:r>
      <w:r w:rsidR="007B6330">
        <w:t xml:space="preserve">, </w:t>
      </w:r>
      <w:r>
        <w:rPr>
          <w:lang w:val="bg-BG"/>
        </w:rPr>
        <w:t>прозрачност и комуникации</w:t>
      </w:r>
    </w:p>
    <w:p w:rsidR="009B0AB0" w:rsidRDefault="008B053B">
      <w:pPr>
        <w:pStyle w:val="BodyText"/>
        <w:spacing w:before="82" w:line="249" w:lineRule="auto"/>
        <w:ind w:right="127"/>
      </w:pPr>
      <w:r>
        <w:rPr>
          <w:lang w:val="bg-BG"/>
        </w:rPr>
        <w:t>Мисловните нагласи на компаниите и одиторите трябва да се отдалечат от страховете относно негативните последствията от оповестяванията във връзка с предположението за действащо предприятие</w:t>
      </w:r>
      <w:r w:rsidR="007B6330">
        <w:t xml:space="preserve">. </w:t>
      </w:r>
      <w:r>
        <w:rPr>
          <w:lang w:val="bg-BG"/>
        </w:rPr>
        <w:t>И двете страни следва да демонстрират своите познания</w:t>
      </w:r>
      <w:r w:rsidR="007B6330">
        <w:t xml:space="preserve"> </w:t>
      </w:r>
      <w:r>
        <w:rPr>
          <w:lang w:val="bg-BG"/>
        </w:rPr>
        <w:t>и компетентност в тази област</w:t>
      </w:r>
      <w:r w:rsidR="007B6330">
        <w:t xml:space="preserve"> </w:t>
      </w:r>
      <w:r>
        <w:rPr>
          <w:lang w:val="bg-BG"/>
        </w:rPr>
        <w:t>чрез оповестяването на допълнителна информация</w:t>
      </w:r>
      <w:r w:rsidR="007B6330">
        <w:t xml:space="preserve">. </w:t>
      </w:r>
      <w:r>
        <w:rPr>
          <w:lang w:val="bg-BG"/>
        </w:rPr>
        <w:t>Оповестяванията на ръководството и свързаната с тях одиторска комуникация</w:t>
      </w:r>
      <w:r w:rsidR="007B6330">
        <w:t xml:space="preserve"> </w:t>
      </w:r>
      <w:r>
        <w:rPr>
          <w:lang w:val="bg-BG"/>
        </w:rPr>
        <w:t>не следва да са формални и шаблонни</w:t>
      </w:r>
      <w:r w:rsidR="007B6330">
        <w:t xml:space="preserve">, </w:t>
      </w:r>
      <w:r>
        <w:rPr>
          <w:lang w:val="bg-BG"/>
        </w:rPr>
        <w:t>а да предоставят полезна информация, разбираема за заинтересованите страни</w:t>
      </w:r>
      <w:r w:rsidR="007B6330">
        <w:t>.</w:t>
      </w:r>
    </w:p>
    <w:p w:rsidR="009B0AB0" w:rsidRDefault="008B053B">
      <w:pPr>
        <w:pStyle w:val="Heading2"/>
        <w:spacing w:before="210" w:line="249" w:lineRule="auto"/>
        <w:ind w:right="313"/>
      </w:pPr>
      <w:r w:rsidRPr="008B053B">
        <w:rPr>
          <w:lang w:val="bg-BG"/>
        </w:rPr>
        <w:t xml:space="preserve">Въвеждане като задължително изискване на </w:t>
      </w:r>
      <w:r>
        <w:rPr>
          <w:lang w:val="bg-BG"/>
        </w:rPr>
        <w:t>наличието на одитен комитет във всяко предприятие от обществен интерес</w:t>
      </w:r>
    </w:p>
    <w:p w:rsidR="009B0AB0" w:rsidRDefault="008B053B" w:rsidP="007834FE">
      <w:pPr>
        <w:pStyle w:val="BodyText"/>
        <w:spacing w:before="82" w:line="249" w:lineRule="auto"/>
        <w:ind w:right="313"/>
      </w:pPr>
      <w:r>
        <w:rPr>
          <w:lang w:val="bg-BG"/>
        </w:rPr>
        <w:t>Следва да е задължително за всички ПОИ да имат самостоятелен одитен комитет</w:t>
      </w:r>
      <w:r w:rsidR="007834FE">
        <w:rPr>
          <w:lang w:val="bg-BG"/>
        </w:rPr>
        <w:t>, който да е независим от ръководството на компанията</w:t>
      </w:r>
      <w:r w:rsidR="007B6330">
        <w:t xml:space="preserve">. </w:t>
      </w:r>
      <w:r w:rsidR="007834FE">
        <w:rPr>
          <w:lang w:val="bg-BG"/>
        </w:rPr>
        <w:t>Този комитет следва да има достатъчен брой членове с компетентност в областта на счетоводното отчитане</w:t>
      </w:r>
      <w:r w:rsidR="007B6330">
        <w:t xml:space="preserve"> </w:t>
      </w:r>
      <w:r w:rsidR="007834FE">
        <w:rPr>
          <w:lang w:val="bg-BG"/>
        </w:rPr>
        <w:t>и</w:t>
      </w:r>
      <w:r w:rsidR="007B6330">
        <w:t>/</w:t>
      </w:r>
      <w:r w:rsidR="007834FE">
        <w:rPr>
          <w:lang w:val="bg-BG"/>
        </w:rPr>
        <w:t>или одита</w:t>
      </w:r>
      <w:r w:rsidR="007B6330">
        <w:t xml:space="preserve">. </w:t>
      </w:r>
      <w:r w:rsidR="007834FE">
        <w:rPr>
          <w:lang w:val="bg-BG"/>
        </w:rPr>
        <w:t>Законодателните органи следва да премахнат разпоредбите, които позволяват на държавите членки на ЕС да</w:t>
      </w:r>
      <w:r w:rsidR="007B6330">
        <w:t xml:space="preserve"> </w:t>
      </w:r>
      <w:r w:rsidR="007834FE">
        <w:rPr>
          <w:lang w:val="bg-BG"/>
        </w:rPr>
        <w:t>предвиждат дерогация от тези изисквания</w:t>
      </w:r>
      <w:r w:rsidR="007B6330">
        <w:t>.</w:t>
      </w:r>
    </w:p>
    <w:p w:rsidR="009B0AB0" w:rsidRDefault="00613C68">
      <w:pPr>
        <w:pStyle w:val="Heading2"/>
        <w:spacing w:before="205" w:line="249" w:lineRule="auto"/>
        <w:ind w:right="117"/>
      </w:pPr>
      <w:r>
        <w:rPr>
          <w:lang w:val="bg-BG"/>
        </w:rPr>
        <w:t>Изясняване и хармонизиране на периода за оценката на предположението за действащо предприятие</w:t>
      </w:r>
    </w:p>
    <w:p w:rsidR="009B0AB0" w:rsidRDefault="00613C68">
      <w:pPr>
        <w:pStyle w:val="BodyText"/>
        <w:spacing w:before="82" w:line="249" w:lineRule="auto"/>
        <w:ind w:right="251"/>
      </w:pPr>
      <w:r w:rsidRPr="00613C68">
        <w:rPr>
          <w:lang w:val="bg-BG"/>
        </w:rPr>
        <w:t>Органите за изготвяне и въвеждане на международните стандарти и/или законодателните органи</w:t>
      </w:r>
      <w:r>
        <w:rPr>
          <w:lang w:val="bg-BG"/>
        </w:rPr>
        <w:t xml:space="preserve"> следва да въведат задължително изискване за оповестяване, което да посочва какъв период обхваща оценката на ръководството на предположението за действащо предприятие</w:t>
      </w:r>
      <w:r w:rsidR="007B6330">
        <w:t xml:space="preserve">. </w:t>
      </w:r>
      <w:r>
        <w:rPr>
          <w:lang w:val="bg-BG"/>
        </w:rPr>
        <w:t>Ние считаме, че те трябва да гарантират също така хармонизация на началната дата и продължителността на периода по отношение на тази оценка в рамките на всички европейски страни</w:t>
      </w:r>
      <w:r w:rsidR="007B6330">
        <w:t>.</w:t>
      </w:r>
    </w:p>
    <w:p w:rsidR="009B0AB0" w:rsidRDefault="00613C68">
      <w:pPr>
        <w:pStyle w:val="Heading2"/>
        <w:spacing w:before="208" w:line="249" w:lineRule="auto"/>
      </w:pPr>
      <w:r>
        <w:rPr>
          <w:lang w:val="bg-BG"/>
        </w:rPr>
        <w:t>Разширяване областта, обект на разглеждане от одиторите и на тяхното работно усилие</w:t>
      </w:r>
    </w:p>
    <w:p w:rsidR="009B0AB0" w:rsidRDefault="00613C68">
      <w:pPr>
        <w:pStyle w:val="BodyText"/>
        <w:spacing w:before="82" w:line="249" w:lineRule="auto"/>
        <w:ind w:right="117"/>
      </w:pPr>
      <w:r>
        <w:rPr>
          <w:lang w:val="bg-BG"/>
        </w:rPr>
        <w:t>Законодателството в областта на одита и</w:t>
      </w:r>
      <w:r w:rsidR="007B6330">
        <w:t>/</w:t>
      </w:r>
      <w:r>
        <w:rPr>
          <w:lang w:val="bg-BG"/>
        </w:rPr>
        <w:t>или одиторските стандарти следва проактивно да подкрепят разширяване ролята на одиторите във връзка с принципа за действащо предприятие</w:t>
      </w:r>
      <w:r w:rsidR="007B6330">
        <w:t xml:space="preserve">. </w:t>
      </w:r>
      <w:r w:rsidR="00CE2116">
        <w:rPr>
          <w:lang w:val="bg-BG"/>
        </w:rPr>
        <w:t>Това</w:t>
      </w:r>
      <w:r>
        <w:rPr>
          <w:lang w:val="bg-BG"/>
        </w:rPr>
        <w:t xml:space="preserve"> следва да повиши</w:t>
      </w:r>
      <w:r w:rsidR="007B6330">
        <w:t>:</w:t>
      </w:r>
    </w:p>
    <w:p w:rsidR="009B0AB0" w:rsidRDefault="00CE211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204" w:line="249" w:lineRule="auto"/>
        <w:ind w:right="363"/>
        <w:rPr>
          <w:sz w:val="20"/>
        </w:rPr>
      </w:pPr>
      <w:r>
        <w:rPr>
          <w:sz w:val="20"/>
          <w:lang w:val="bg-BG"/>
        </w:rPr>
        <w:t>адаптивността и способността на одиторите за бърза реакция при оценката на риска;</w:t>
      </w:r>
    </w:p>
    <w:p w:rsidR="009B0AB0" w:rsidRDefault="00CE2116" w:rsidP="00CE211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3" w:line="249" w:lineRule="auto"/>
        <w:ind w:right="44"/>
      </w:pPr>
      <w:r w:rsidRPr="00CE2116">
        <w:rPr>
          <w:sz w:val="20"/>
          <w:lang w:val="bg-BG"/>
        </w:rPr>
        <w:t>работните усилия на одиторите</w:t>
      </w:r>
      <w:r w:rsidR="007B6330">
        <w:rPr>
          <w:sz w:val="20"/>
        </w:rPr>
        <w:t xml:space="preserve"> </w:t>
      </w:r>
      <w:r w:rsidRPr="00CE2116">
        <w:rPr>
          <w:sz w:val="20"/>
          <w:lang w:val="bg-BG"/>
        </w:rPr>
        <w:t xml:space="preserve">като разглеждане на по-широк контекст при преценка на оценяването от страна на компаниите на предположението за </w:t>
      </w:r>
      <w:r w:rsidRPr="00CE2116">
        <w:rPr>
          <w:sz w:val="20"/>
        </w:rPr>
        <w:t>действащо предприятие</w:t>
      </w:r>
      <w:r w:rsidR="007B6330" w:rsidRPr="00CE2116">
        <w:rPr>
          <w:sz w:val="20"/>
        </w:rPr>
        <w:t xml:space="preserve">, </w:t>
      </w:r>
      <w:r w:rsidRPr="00CE2116">
        <w:rPr>
          <w:sz w:val="20"/>
        </w:rPr>
        <w:t>включително уместните противоречащи на оценката доказателства, които поставят под въпрос оценката на ръководството</w:t>
      </w:r>
      <w:r w:rsidR="007B6330" w:rsidRPr="00CE2116">
        <w:rPr>
          <w:sz w:val="20"/>
        </w:rPr>
        <w:t xml:space="preserve">, </w:t>
      </w:r>
      <w:r w:rsidRPr="00CE2116">
        <w:rPr>
          <w:sz w:val="20"/>
        </w:rPr>
        <w:t>външни предупредителни сигнали и доклади на анализатори</w:t>
      </w:r>
      <w:r>
        <w:rPr>
          <w:lang w:val="bg-BG"/>
        </w:rPr>
        <w:t>;</w:t>
      </w:r>
    </w:p>
    <w:p w:rsidR="009B0AB0" w:rsidRDefault="00CE211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85" w:line="249" w:lineRule="auto"/>
        <w:ind w:right="130"/>
        <w:rPr>
          <w:sz w:val="20"/>
        </w:rPr>
      </w:pPr>
      <w:r>
        <w:rPr>
          <w:sz w:val="20"/>
          <w:lang w:val="bg-BG"/>
        </w:rPr>
        <w:t>комуникацията в одиторски доклад относно това защо са се съгласили с оценката на ръководството</w:t>
      </w:r>
      <w:r w:rsidR="007B6330">
        <w:rPr>
          <w:sz w:val="20"/>
        </w:rPr>
        <w:t xml:space="preserve"> </w:t>
      </w:r>
      <w:r>
        <w:rPr>
          <w:sz w:val="20"/>
          <w:lang w:val="bg-BG"/>
        </w:rPr>
        <w:t>на предположението за действащо предприятие и какво са направили, за да се уверят в тази оценка.</w:t>
      </w:r>
    </w:p>
    <w:p w:rsidR="009B0AB0" w:rsidRDefault="009B0AB0">
      <w:pPr>
        <w:pStyle w:val="BodyText"/>
        <w:spacing w:before="11"/>
        <w:ind w:left="0"/>
        <w:rPr>
          <w:sz w:val="22"/>
        </w:rPr>
      </w:pPr>
    </w:p>
    <w:p w:rsidR="009B0AB0" w:rsidRDefault="00CE2116">
      <w:pPr>
        <w:pStyle w:val="Heading2"/>
        <w:spacing w:line="249" w:lineRule="auto"/>
      </w:pPr>
      <w:r>
        <w:rPr>
          <w:lang w:val="bg-BG"/>
        </w:rPr>
        <w:t>Ефективност на</w:t>
      </w:r>
      <w:r w:rsidR="007B6330">
        <w:t xml:space="preserve"> </w:t>
      </w:r>
      <w:r>
        <w:rPr>
          <w:lang w:val="bg-BG"/>
        </w:rPr>
        <w:t>механизмите за ранно предупреждение на одиторите</w:t>
      </w:r>
    </w:p>
    <w:p w:rsidR="009B0AB0" w:rsidRDefault="00CE2116" w:rsidP="00923FA7">
      <w:pPr>
        <w:pStyle w:val="BodyText"/>
        <w:spacing w:before="82" w:line="249" w:lineRule="auto"/>
        <w:ind w:right="44"/>
      </w:pPr>
      <w:r>
        <w:rPr>
          <w:lang w:val="bg-BG"/>
        </w:rPr>
        <w:t>Процедурите за повишаване вниманието на одиторите следва да са по-ефективни, за да спомогнат за предотвратяване на корпоративните фалити и да дадат възможност за своевременно преструктуриране, когато несъстоятелността е на хоризонта</w:t>
      </w:r>
      <w:r w:rsidR="007B6330">
        <w:t xml:space="preserve">. </w:t>
      </w:r>
      <w:r>
        <w:rPr>
          <w:lang w:val="bg-BG"/>
        </w:rPr>
        <w:t>Законодателните органи и специализираните компетентни органи трябва да гарантират повече яснота и хармонизация сред държавите членки на ЕС</w:t>
      </w:r>
      <w:r w:rsidR="007B6330">
        <w:t xml:space="preserve">. </w:t>
      </w:r>
      <w:r w:rsidR="00923FA7">
        <w:rPr>
          <w:lang w:val="bg-BG"/>
        </w:rPr>
        <w:t>Националното законодателство следва да посочва компетентния орган за всеки вид ПОИ и съответните процедури за одиторите на ПОИ да докладват такива въпроси</w:t>
      </w:r>
      <w:r w:rsidR="007B6330">
        <w:t>.</w:t>
      </w:r>
    </w:p>
    <w:p w:rsidR="009B0AB0" w:rsidRDefault="009B0AB0">
      <w:pPr>
        <w:pStyle w:val="BodyText"/>
        <w:spacing w:before="5"/>
        <w:ind w:left="0"/>
        <w:rPr>
          <w:sz w:val="27"/>
        </w:rPr>
      </w:pPr>
    </w:p>
    <w:p w:rsidR="009B0AB0" w:rsidRDefault="00923FA7">
      <w:pPr>
        <w:spacing w:line="225" w:lineRule="auto"/>
        <w:ind w:left="100" w:right="273"/>
        <w:rPr>
          <w:rFonts w:ascii="Trebuchet MS"/>
          <w:b/>
        </w:rPr>
      </w:pPr>
      <w:r>
        <w:rPr>
          <w:rFonts w:ascii="Trebuchet MS"/>
          <w:b/>
          <w:color w:val="808080"/>
          <w:w w:val="120"/>
          <w:lang w:val="bg-BG"/>
        </w:rPr>
        <w:t>Отвъд</w:t>
      </w:r>
      <w:r>
        <w:rPr>
          <w:rFonts w:ascii="Trebuchet MS"/>
          <w:b/>
          <w:color w:val="808080"/>
          <w:w w:val="120"/>
          <w:lang w:val="bg-BG"/>
        </w:rPr>
        <w:t xml:space="preserve"> </w:t>
      </w:r>
      <w:r>
        <w:rPr>
          <w:rFonts w:ascii="Trebuchet MS"/>
          <w:b/>
          <w:color w:val="808080"/>
          <w:w w:val="120"/>
          <w:lang w:val="bg-BG"/>
        </w:rPr>
        <w:t>принципа</w:t>
      </w:r>
      <w:r>
        <w:rPr>
          <w:rFonts w:ascii="Trebuchet MS"/>
          <w:b/>
          <w:color w:val="808080"/>
          <w:w w:val="120"/>
          <w:lang w:val="bg-BG"/>
        </w:rPr>
        <w:t xml:space="preserve"> </w:t>
      </w:r>
      <w:r>
        <w:rPr>
          <w:rFonts w:ascii="Trebuchet MS"/>
          <w:b/>
          <w:color w:val="808080"/>
          <w:w w:val="120"/>
          <w:lang w:val="bg-BG"/>
        </w:rPr>
        <w:t>за</w:t>
      </w:r>
      <w:r>
        <w:rPr>
          <w:rFonts w:ascii="Trebuchet MS"/>
          <w:b/>
          <w:color w:val="808080"/>
          <w:w w:val="120"/>
          <w:lang w:val="bg-BG"/>
        </w:rPr>
        <w:t xml:space="preserve"> </w:t>
      </w:r>
      <w:r>
        <w:rPr>
          <w:rFonts w:ascii="Trebuchet MS"/>
          <w:b/>
          <w:color w:val="808080"/>
          <w:w w:val="120"/>
          <w:lang w:val="bg-BG"/>
        </w:rPr>
        <w:t>действащо</w:t>
      </w:r>
      <w:r>
        <w:rPr>
          <w:rFonts w:ascii="Trebuchet MS"/>
          <w:b/>
          <w:color w:val="808080"/>
          <w:w w:val="120"/>
          <w:lang w:val="bg-BG"/>
        </w:rPr>
        <w:t xml:space="preserve"> </w:t>
      </w:r>
      <w:r>
        <w:rPr>
          <w:rFonts w:ascii="Trebuchet MS"/>
          <w:b/>
          <w:color w:val="808080"/>
          <w:w w:val="120"/>
          <w:lang w:val="bg-BG"/>
        </w:rPr>
        <w:t>предприятие</w:t>
      </w:r>
      <w:r w:rsidR="007B6330">
        <w:rPr>
          <w:rFonts w:ascii="Trebuchet MS"/>
          <w:b/>
          <w:color w:val="808080"/>
          <w:w w:val="120"/>
        </w:rPr>
        <w:t xml:space="preserve">: </w:t>
      </w:r>
      <w:r>
        <w:rPr>
          <w:rFonts w:ascii="Trebuchet MS"/>
          <w:b/>
          <w:color w:val="808080"/>
          <w:w w:val="120"/>
          <w:lang w:val="bg-BG"/>
        </w:rPr>
        <w:t>идеи</w:t>
      </w:r>
      <w:r>
        <w:rPr>
          <w:rFonts w:ascii="Trebuchet MS"/>
          <w:b/>
          <w:color w:val="808080"/>
          <w:w w:val="120"/>
          <w:lang w:val="bg-BG"/>
        </w:rPr>
        <w:t xml:space="preserve">, </w:t>
      </w:r>
      <w:r>
        <w:rPr>
          <w:rFonts w:ascii="Trebuchet MS"/>
          <w:b/>
          <w:color w:val="808080"/>
          <w:w w:val="120"/>
          <w:lang w:val="bg-BG"/>
        </w:rPr>
        <w:lastRenderedPageBreak/>
        <w:t>които</w:t>
      </w:r>
      <w:r>
        <w:rPr>
          <w:rFonts w:ascii="Trebuchet MS"/>
          <w:b/>
          <w:color w:val="808080"/>
          <w:w w:val="120"/>
          <w:lang w:val="bg-BG"/>
        </w:rPr>
        <w:t xml:space="preserve"> </w:t>
      </w:r>
      <w:r>
        <w:rPr>
          <w:rFonts w:ascii="Trebuchet MS"/>
          <w:b/>
          <w:color w:val="808080"/>
          <w:w w:val="120"/>
          <w:lang w:val="bg-BG"/>
        </w:rPr>
        <w:t>да</w:t>
      </w:r>
      <w:r>
        <w:rPr>
          <w:rFonts w:ascii="Trebuchet MS"/>
          <w:b/>
          <w:color w:val="808080"/>
          <w:w w:val="120"/>
          <w:lang w:val="bg-BG"/>
        </w:rPr>
        <w:t xml:space="preserve"> </w:t>
      </w:r>
      <w:r>
        <w:rPr>
          <w:rFonts w:ascii="Trebuchet MS"/>
          <w:b/>
          <w:color w:val="808080"/>
          <w:w w:val="120"/>
          <w:lang w:val="bg-BG"/>
        </w:rPr>
        <w:t>бъдат</w:t>
      </w:r>
      <w:r>
        <w:rPr>
          <w:rFonts w:ascii="Trebuchet MS"/>
          <w:b/>
          <w:color w:val="808080"/>
          <w:w w:val="120"/>
          <w:lang w:val="bg-BG"/>
        </w:rPr>
        <w:t xml:space="preserve"> </w:t>
      </w:r>
      <w:r>
        <w:rPr>
          <w:rFonts w:ascii="Trebuchet MS"/>
          <w:b/>
          <w:color w:val="808080"/>
          <w:w w:val="120"/>
          <w:lang w:val="bg-BG"/>
        </w:rPr>
        <w:t>проучени</w:t>
      </w:r>
    </w:p>
    <w:p w:rsidR="009B0AB0" w:rsidRDefault="00923FA7">
      <w:pPr>
        <w:pStyle w:val="Heading2"/>
        <w:spacing w:before="186" w:line="249" w:lineRule="auto"/>
        <w:ind w:right="273"/>
      </w:pPr>
      <w:r>
        <w:rPr>
          <w:lang w:val="bg-BG"/>
        </w:rPr>
        <w:t>Оценяване на дългосрочната жизнеспособност и устойчивост на компаниите</w:t>
      </w:r>
    </w:p>
    <w:p w:rsidR="009B0AB0" w:rsidRDefault="00923FA7" w:rsidP="00923FA7">
      <w:pPr>
        <w:pStyle w:val="BodyText"/>
        <w:spacing w:before="202" w:line="249" w:lineRule="auto"/>
        <w:ind w:right="273"/>
      </w:pPr>
      <w:r>
        <w:rPr>
          <w:lang w:val="bg-BG"/>
        </w:rPr>
        <w:t>Понастоящем работата на компаниите и одиторите във връзка с принципа за действащо предприятие се фокусира върху следващите</w:t>
      </w:r>
      <w:r w:rsidR="007B6330">
        <w:t xml:space="preserve"> 12 </w:t>
      </w:r>
      <w:r>
        <w:rPr>
          <w:lang w:val="bg-BG"/>
        </w:rPr>
        <w:t>месеца</w:t>
      </w:r>
      <w:r w:rsidR="007B6330">
        <w:t xml:space="preserve">. </w:t>
      </w:r>
      <w:r>
        <w:rPr>
          <w:lang w:val="bg-BG"/>
        </w:rPr>
        <w:t>Някои заинтересовани страни предлагат, че надграждайки над това, законодателните органи биха могли да обмислят въвеждането на по-дългосрочна оценка на жизнеспособността и устойчивостта на ПОИ</w:t>
      </w:r>
      <w:r w:rsidR="007B6330">
        <w:t xml:space="preserve">. </w:t>
      </w:r>
      <w:r>
        <w:rPr>
          <w:lang w:val="bg-BG"/>
        </w:rPr>
        <w:t xml:space="preserve">Това би </w:t>
      </w:r>
      <w:r>
        <w:rPr>
          <w:lang w:val="bg-BG"/>
        </w:rPr>
        <w:t>засягало способността на компанията да се адаптира към промените, за да оцелее и се развива в по-дългосрочен аспект</w:t>
      </w:r>
      <w:r w:rsidR="007B6330">
        <w:t xml:space="preserve">. </w:t>
      </w:r>
      <w:r>
        <w:rPr>
          <w:lang w:val="bg-BG"/>
        </w:rPr>
        <w:t xml:space="preserve">Ръководството би изготвяло изложения за </w:t>
      </w:r>
      <w:r w:rsidRPr="00923FA7">
        <w:rPr>
          <w:lang w:val="bg-BG"/>
        </w:rPr>
        <w:t>жизнеспособност и устойчивост</w:t>
      </w:r>
      <w:r>
        <w:rPr>
          <w:lang w:val="bg-BG"/>
        </w:rPr>
        <w:t>, като участието на одиторите би могло да следва</w:t>
      </w:r>
      <w:r w:rsidRPr="00923FA7">
        <w:t xml:space="preserve"> </w:t>
      </w:r>
      <w:r>
        <w:rPr>
          <w:lang w:val="bg-BG"/>
        </w:rPr>
        <w:t>стъпаловиден подход</w:t>
      </w:r>
      <w:r w:rsidR="007B6330">
        <w:t xml:space="preserve">, </w:t>
      </w:r>
      <w:r>
        <w:rPr>
          <w:lang w:val="bg-BG"/>
        </w:rPr>
        <w:t>т.е. с по-голямо участие при по-краткосрочните оценки</w:t>
      </w:r>
      <w:r w:rsidR="007B6330">
        <w:t>.</w:t>
      </w:r>
    </w:p>
    <w:p w:rsidR="009B0AB0" w:rsidRDefault="00923FA7">
      <w:pPr>
        <w:pStyle w:val="Heading2"/>
        <w:spacing w:before="204" w:line="249" w:lineRule="auto"/>
        <w:ind w:right="572"/>
      </w:pPr>
      <w:r>
        <w:rPr>
          <w:lang w:val="bg-BG"/>
        </w:rPr>
        <w:t>Взаимосвързване на финансова и нефинансова информация</w:t>
      </w:r>
    </w:p>
    <w:p w:rsidR="009B0AB0" w:rsidRDefault="00923FA7">
      <w:pPr>
        <w:pStyle w:val="BodyText"/>
        <w:spacing w:before="81" w:line="249" w:lineRule="auto"/>
        <w:ind w:right="597"/>
      </w:pPr>
      <w:r>
        <w:rPr>
          <w:lang w:val="bg-BG"/>
        </w:rPr>
        <w:t xml:space="preserve">Разбирането на устойчивостта на компанията изисква </w:t>
      </w:r>
      <w:r>
        <w:rPr>
          <w:lang w:val="bg-BG"/>
        </w:rPr>
        <w:t>разглеждането както на финансова информация, така и на нефинансова информация</w:t>
      </w:r>
      <w:bookmarkStart w:id="0" w:name="_GoBack"/>
      <w:bookmarkEnd w:id="0"/>
      <w:r w:rsidR="007B6330">
        <w:t>.</w:t>
      </w:r>
    </w:p>
    <w:p w:rsidR="009B0AB0" w:rsidRDefault="00B92627">
      <w:pPr>
        <w:pStyle w:val="BodyText"/>
        <w:spacing w:before="4" w:line="249" w:lineRule="auto"/>
        <w:ind w:right="151"/>
      </w:pPr>
      <w:r>
        <w:rPr>
          <w:lang w:val="bg-BG"/>
        </w:rPr>
        <w:t>Законодателните органи биха могли да обмислят изискването за ръководството на всички ПОИ да разглежда финансова и нефинансова информация, за да има пълната картина за компанията</w:t>
      </w:r>
      <w:r w:rsidR="007B6330">
        <w:rPr>
          <w:spacing w:val="-3"/>
        </w:rPr>
        <w:t xml:space="preserve">. </w:t>
      </w:r>
      <w:r w:rsidRPr="00B92627">
        <w:rPr>
          <w:lang w:val="bg-BG"/>
        </w:rPr>
        <w:t xml:space="preserve">Законодателните органи биха могли да обмислят </w:t>
      </w:r>
      <w:r>
        <w:rPr>
          <w:lang w:val="bg-BG"/>
        </w:rPr>
        <w:t>също така въвеждането на задължително изискване за изразяване на сигурност по отношение на определени части от отчитането на нефинансова информация за всички ПОИ</w:t>
      </w:r>
      <w:r w:rsidR="007B6330">
        <w:t>.</w:t>
      </w:r>
    </w:p>
    <w:p w:rsidR="009B0AB0" w:rsidRDefault="009B0AB0">
      <w:pPr>
        <w:pStyle w:val="BodyText"/>
        <w:ind w:left="0"/>
      </w:pPr>
    </w:p>
    <w:p w:rsidR="009B0AB0" w:rsidRDefault="00FD791C">
      <w:pPr>
        <w:pStyle w:val="BodyText"/>
        <w:spacing w:before="10"/>
        <w:ind w:left="0"/>
        <w:rPr>
          <w:sz w:val="13"/>
        </w:rPr>
      </w:pPr>
      <w:r>
        <w:pict>
          <v:group id="_x0000_s1027" style="position:absolute;margin-left:397.35pt;margin-top:9.95pt;width:161.45pt;height:202.7pt;z-index:-15725568;mso-wrap-distance-left:0;mso-wrap-distance-right:0;mso-position-horizontal-relative:page" coordorigin="7947,199" coordsize="3229,4749">
            <v:rect id="_x0000_s1030" style="position:absolute;left:7947;top:199;width:3229;height:3484" fillcolor="#f2f2f2" stroked="f"/>
            <v:shape id="_x0000_s1029" type="#_x0000_t202" style="position:absolute;left:8117;top:399;width:2778;height:567" filled="f" stroked="f">
              <v:textbox inset="0,0,0,0">
                <w:txbxContent>
                  <w:p w:rsidR="009B0AB0" w:rsidRPr="004E3AD7" w:rsidRDefault="004E3AD7">
                    <w:pPr>
                      <w:spacing w:before="3"/>
                      <w:rPr>
                        <w:rFonts w:ascii="Trebuchet MS"/>
                        <w:sz w:val="20"/>
                        <w:szCs w:val="20"/>
                        <w:lang w:val="bg-BG"/>
                      </w:rPr>
                    </w:pPr>
                    <w:r w:rsidRPr="004E3AD7">
                      <w:rPr>
                        <w:rFonts w:ascii="Trebuchet MS"/>
                        <w:b/>
                        <w:color w:val="FFCC00"/>
                        <w:w w:val="120"/>
                        <w:sz w:val="20"/>
                        <w:szCs w:val="20"/>
                        <w:lang w:val="bg-BG"/>
                      </w:rPr>
                      <w:t>Изпратете</w:t>
                    </w:r>
                    <w:r w:rsidRPr="004E3AD7">
                      <w:rPr>
                        <w:rFonts w:ascii="Trebuchet MS"/>
                        <w:b/>
                        <w:color w:val="FFCC00"/>
                        <w:w w:val="120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4E3AD7">
                      <w:rPr>
                        <w:rFonts w:ascii="Trebuchet MS"/>
                        <w:b/>
                        <w:color w:val="FFCC00"/>
                        <w:w w:val="120"/>
                        <w:sz w:val="20"/>
                        <w:szCs w:val="20"/>
                        <w:lang w:val="bg-BG"/>
                      </w:rPr>
                      <w:t>ни</w:t>
                    </w:r>
                    <w:r w:rsidRPr="004E3AD7">
                      <w:rPr>
                        <w:rFonts w:ascii="Trebuchet MS"/>
                        <w:b/>
                        <w:color w:val="FFCC00"/>
                        <w:w w:val="120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4E3AD7">
                      <w:rPr>
                        <w:rFonts w:ascii="Trebuchet MS"/>
                        <w:b/>
                        <w:color w:val="FFCC00"/>
                        <w:w w:val="120"/>
                        <w:sz w:val="20"/>
                        <w:szCs w:val="20"/>
                        <w:lang w:val="bg-BG"/>
                      </w:rPr>
                      <w:t>Вашата</w:t>
                    </w:r>
                  </w:p>
                </w:txbxContent>
              </v:textbox>
            </v:shape>
            <v:shape id="_x0000_s1028" type="#_x0000_t202" style="position:absolute;left:8117;top:639;width:2903;height:4309" filled="f" stroked="f">
              <v:textbox inset="0,0,0,0">
                <w:txbxContent>
                  <w:p w:rsidR="009B0AB0" w:rsidRPr="004E3AD7" w:rsidRDefault="004E3AD7">
                    <w:pPr>
                      <w:spacing w:before="3"/>
                      <w:rPr>
                        <w:rFonts w:ascii="Trebuchet MS"/>
                        <w:b/>
                        <w:sz w:val="20"/>
                        <w:szCs w:val="20"/>
                        <w:lang w:val="bg-BG"/>
                      </w:rPr>
                    </w:pPr>
                    <w:r w:rsidRPr="004E3AD7">
                      <w:rPr>
                        <w:rFonts w:ascii="Trebuchet MS"/>
                        <w:b/>
                        <w:color w:val="FFCC00"/>
                        <w:w w:val="115"/>
                        <w:sz w:val="20"/>
                        <w:szCs w:val="20"/>
                        <w:lang w:val="bg-BG"/>
                      </w:rPr>
                      <w:t>обратна</w:t>
                    </w:r>
                    <w:r w:rsidRPr="004E3AD7">
                      <w:rPr>
                        <w:rFonts w:ascii="Trebuchet MS"/>
                        <w:b/>
                        <w:color w:val="FFCC00"/>
                        <w:w w:val="115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4E3AD7">
                      <w:rPr>
                        <w:rFonts w:ascii="Trebuchet MS"/>
                        <w:b/>
                        <w:color w:val="FFCC00"/>
                        <w:w w:val="115"/>
                        <w:sz w:val="20"/>
                        <w:szCs w:val="20"/>
                        <w:lang w:val="bg-BG"/>
                      </w:rPr>
                      <w:t>информация</w:t>
                    </w:r>
                    <w:r w:rsidRPr="004E3AD7">
                      <w:rPr>
                        <w:rFonts w:ascii="Trebuchet MS"/>
                        <w:b/>
                        <w:color w:val="FFCC00"/>
                        <w:w w:val="115"/>
                        <w:sz w:val="20"/>
                        <w:szCs w:val="20"/>
                        <w:lang w:val="bg-BG"/>
                      </w:rPr>
                      <w:t>!</w:t>
                    </w:r>
                  </w:p>
                  <w:p w:rsidR="009B0AB0" w:rsidRPr="004E3AD7" w:rsidRDefault="004E3AD7" w:rsidP="004E3AD7">
                    <w:pPr>
                      <w:spacing w:before="267" w:line="266" w:lineRule="auto"/>
                      <w:ind w:right="192"/>
                      <w:rPr>
                        <w:sz w:val="20"/>
                        <w:szCs w:val="20"/>
                      </w:rPr>
                    </w:pPr>
                    <w:r w:rsidRPr="004E3AD7">
                      <w:rPr>
                        <w:sz w:val="20"/>
                        <w:szCs w:val="20"/>
                        <w:lang w:val="bg-BG"/>
                      </w:rPr>
                      <w:t>Призоваваме за съвместно усилие на ключовите страни с цел укрепване на екосистемата</w:t>
                    </w:r>
                    <w:r w:rsidR="007B6330" w:rsidRPr="004E3AD7">
                      <w:rPr>
                        <w:sz w:val="20"/>
                        <w:szCs w:val="20"/>
                      </w:rPr>
                      <w:t xml:space="preserve">. </w:t>
                    </w:r>
                    <w:r w:rsidRPr="004E3AD7">
                      <w:rPr>
                        <w:sz w:val="20"/>
                        <w:szCs w:val="20"/>
                        <w:lang w:val="bg-BG"/>
                      </w:rPr>
                      <w:t>За тази цел</w:t>
                    </w:r>
                    <w:r w:rsidR="007B6330" w:rsidRPr="004E3AD7">
                      <w:rPr>
                        <w:sz w:val="20"/>
                        <w:szCs w:val="20"/>
                      </w:rPr>
                      <w:t xml:space="preserve">, </w:t>
                    </w:r>
                    <w:r w:rsidRPr="004E3AD7">
                      <w:rPr>
                        <w:sz w:val="20"/>
                        <w:szCs w:val="20"/>
                        <w:lang w:val="bg-BG"/>
                      </w:rPr>
                      <w:t>молим да ни изпратите Вашите виждания и мнения във връзка с нашите препоръки до</w:t>
                    </w:r>
                    <w:r w:rsidR="007B6330" w:rsidRPr="004E3AD7">
                      <w:rPr>
                        <w:sz w:val="20"/>
                        <w:szCs w:val="20"/>
                      </w:rPr>
                      <w:t xml:space="preserve"> </w:t>
                    </w:r>
                    <w:hyperlink r:id="rId10">
                      <w:proofErr w:type="spellStart"/>
                      <w:r w:rsidR="007B6330" w:rsidRPr="004E3AD7">
                        <w:rPr>
                          <w:color w:val="002060"/>
                          <w:sz w:val="20"/>
                          <w:szCs w:val="20"/>
                          <w:u w:val="single" w:color="002060"/>
                        </w:rPr>
                        <w:t>julia</w:t>
                      </w:r>
                      <w:proofErr w:type="spellEnd"/>
                      <w:r w:rsidR="007B6330" w:rsidRPr="004E3AD7">
                        <w:rPr>
                          <w:color w:val="002060"/>
                          <w:sz w:val="20"/>
                          <w:szCs w:val="20"/>
                          <w:u w:val="single" w:color="002060"/>
                        </w:rPr>
                        <w:t>@</w:t>
                      </w:r>
                    </w:hyperlink>
                    <w:r w:rsidR="007B6330" w:rsidRPr="004E3AD7">
                      <w:rPr>
                        <w:color w:val="002060"/>
                        <w:sz w:val="20"/>
                        <w:szCs w:val="20"/>
                      </w:rPr>
                      <w:t xml:space="preserve"> </w:t>
                    </w:r>
                    <w:hyperlink r:id="rId11">
                      <w:r w:rsidR="007B6330" w:rsidRPr="004E3AD7">
                        <w:rPr>
                          <w:color w:val="002060"/>
                          <w:sz w:val="20"/>
                          <w:szCs w:val="20"/>
                          <w:u w:val="single" w:color="002060"/>
                        </w:rPr>
                        <w:t>accountancyeurope.eu</w:t>
                      </w:r>
                      <w:r w:rsidR="007B6330" w:rsidRPr="004E3AD7">
                        <w:rPr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</w:hyperlink>
                    <w:r w:rsidRPr="004E3AD7">
                      <w:rPr>
                        <w:sz w:val="20"/>
                        <w:szCs w:val="20"/>
                        <w:lang w:val="bg-BG"/>
                      </w:rPr>
                      <w:t>преди</w:t>
                    </w:r>
                    <w:r w:rsidR="007B6330" w:rsidRPr="004E3AD7">
                      <w:rPr>
                        <w:sz w:val="20"/>
                        <w:szCs w:val="20"/>
                      </w:rPr>
                      <w:t xml:space="preserve"> 30</w:t>
                    </w:r>
                    <w:r w:rsidRPr="004E3AD7">
                      <w:rPr>
                        <w:sz w:val="20"/>
                        <w:szCs w:val="20"/>
                        <w:lang w:val="bg-BG"/>
                      </w:rPr>
                      <w:t xml:space="preserve"> април</w:t>
                    </w:r>
                    <w:r w:rsidR="007B6330" w:rsidRPr="004E3AD7">
                      <w:rPr>
                        <w:sz w:val="20"/>
                        <w:szCs w:val="20"/>
                      </w:rPr>
                      <w:t xml:space="preserve"> 2021</w:t>
                    </w:r>
                    <w:r w:rsidRPr="004E3AD7">
                      <w:rPr>
                        <w:sz w:val="20"/>
                        <w:szCs w:val="20"/>
                        <w:lang w:val="bg-BG"/>
                      </w:rPr>
                      <w:t xml:space="preserve"> г</w:t>
                    </w:r>
                    <w:r w:rsidR="007B6330" w:rsidRPr="004E3AD7">
                      <w:rPr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B0AB0" w:rsidRDefault="009B0AB0">
      <w:pPr>
        <w:rPr>
          <w:sz w:val="13"/>
        </w:rPr>
        <w:sectPr w:rsidR="009B0AB0">
          <w:pgSz w:w="11910" w:h="16840"/>
          <w:pgMar w:top="580" w:right="620" w:bottom="280" w:left="620" w:header="720" w:footer="720" w:gutter="0"/>
          <w:cols w:num="3" w:space="720" w:equalWidth="0">
            <w:col w:w="3356" w:space="252"/>
            <w:col w:w="3360" w:space="249"/>
            <w:col w:w="3453"/>
          </w:cols>
        </w:sectPr>
      </w:pPr>
    </w:p>
    <w:p w:rsidR="009B0AB0" w:rsidRDefault="009B0AB0">
      <w:pPr>
        <w:pStyle w:val="BodyText"/>
        <w:ind w:left="0"/>
      </w:pPr>
    </w:p>
    <w:p w:rsidR="009B0AB0" w:rsidRDefault="009B0AB0">
      <w:pPr>
        <w:pStyle w:val="BodyText"/>
        <w:spacing w:before="2"/>
        <w:ind w:left="0"/>
        <w:rPr>
          <w:sz w:val="18"/>
        </w:rPr>
      </w:pPr>
    </w:p>
    <w:p w:rsidR="009B0AB0" w:rsidRDefault="00FD791C">
      <w:pPr>
        <w:pStyle w:val="BodyText"/>
      </w:pPr>
      <w:r>
        <w:pict>
          <v:shape id="_x0000_s1036" type="#_x0000_t202" style="width:523.3pt;height:52.8pt;mso-left-percent:-10001;mso-top-percent:-10001;mso-position-horizontal:absolute;mso-position-horizontal-relative:char;mso-position-vertical:absolute;mso-position-vertical-relative:line;mso-left-percent:-10001;mso-top-percent:-10001" fillcolor="#f2f2f2" stroked="f">
            <v:textbox inset="0,0,0,0">
              <w:txbxContent>
                <w:p w:rsidR="009B0AB0" w:rsidRDefault="00864896">
                  <w:pPr>
                    <w:spacing w:before="128" w:line="249" w:lineRule="auto"/>
                    <w:ind w:left="169" w:right="491"/>
                    <w:rPr>
                      <w:sz w:val="16"/>
                    </w:rPr>
                  </w:pPr>
                  <w:r>
                    <w:rPr>
                      <w:sz w:val="16"/>
                      <w:lang w:val="bg-BG"/>
                    </w:rPr>
                    <w:t>ОГРАНИЧАВАНЕ НА ОТГОВОРНОСТТА</w:t>
                  </w:r>
                  <w:r w:rsidR="007B6330">
                    <w:rPr>
                      <w:sz w:val="16"/>
                    </w:rPr>
                    <w:t xml:space="preserve">: Accountancy Europe </w:t>
                  </w:r>
                  <w:r>
                    <w:rPr>
                      <w:sz w:val="16"/>
                      <w:lang w:val="bg-BG"/>
                    </w:rPr>
                    <w:t>полага всички усилия, но не може да гарантира, че информацията в настоящата публикация е точна и ние не можем да поемем никаква отговорност във връзка с тази информация. Насърчаваме разпространението на тази публикация</w:t>
                  </w:r>
                  <w:r w:rsidR="007B6330">
                    <w:rPr>
                      <w:sz w:val="16"/>
                    </w:rPr>
                    <w:t xml:space="preserve">, </w:t>
                  </w:r>
                  <w:r>
                    <w:rPr>
                      <w:sz w:val="16"/>
                      <w:lang w:val="bg-BG"/>
                    </w:rPr>
                    <w:t>в случай че се прави позоваване на нас като на източник на материала и е включен хиперлинк, препращащ към оригиналното ни съдържание</w:t>
                  </w:r>
                  <w:r w:rsidR="007B6330">
                    <w:rPr>
                      <w:sz w:val="16"/>
                    </w:rPr>
                    <w:t xml:space="preserve">. </w:t>
                  </w:r>
                  <w:r>
                    <w:rPr>
                      <w:sz w:val="16"/>
                      <w:lang w:val="bg-BG"/>
                    </w:rPr>
                    <w:t>Ако желаете да възпроизведете или преведете настоящата публикация, моля да изпратите съответното искане до</w:t>
                  </w:r>
                  <w:r w:rsidR="007B6330">
                    <w:rPr>
                      <w:spacing w:val="2"/>
                      <w:sz w:val="16"/>
                    </w:rPr>
                    <w:t xml:space="preserve"> </w:t>
                  </w:r>
                  <w:hyperlink r:id="rId12">
                    <w:r w:rsidR="007B6330">
                      <w:rPr>
                        <w:sz w:val="16"/>
                      </w:rPr>
                      <w:t>info@accountancyeurope.eu.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sectPr w:rsidR="009B0AB0" w:rsidSect="009B0AB0">
      <w:type w:val="continuous"/>
      <w:pgSz w:w="11910" w:h="16840"/>
      <w:pgMar w:top="0" w:right="620" w:bottom="0" w:left="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96058"/>
    <w:multiLevelType w:val="hybridMultilevel"/>
    <w:tmpl w:val="ABB27A42"/>
    <w:lvl w:ilvl="0" w:tplc="9F702F9E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  <w:w w:val="142"/>
        <w:sz w:val="20"/>
        <w:szCs w:val="20"/>
        <w:lang w:val="en-US" w:eastAsia="en-US" w:bidi="ar-SA"/>
      </w:rPr>
    </w:lvl>
    <w:lvl w:ilvl="1" w:tplc="48E4ACC6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2" w:tplc="9E14D928">
      <w:numFmt w:val="bullet"/>
      <w:lvlText w:val="•"/>
      <w:lvlJc w:val="left"/>
      <w:pPr>
        <w:ind w:left="1039" w:hanging="360"/>
      </w:pPr>
      <w:rPr>
        <w:rFonts w:hint="default"/>
        <w:lang w:val="en-US" w:eastAsia="en-US" w:bidi="ar-SA"/>
      </w:rPr>
    </w:lvl>
    <w:lvl w:ilvl="3" w:tplc="874E48CC">
      <w:numFmt w:val="bullet"/>
      <w:lvlText w:val="•"/>
      <w:lvlJc w:val="left"/>
      <w:pPr>
        <w:ind w:left="1328" w:hanging="360"/>
      </w:pPr>
      <w:rPr>
        <w:rFonts w:hint="default"/>
        <w:lang w:val="en-US" w:eastAsia="en-US" w:bidi="ar-SA"/>
      </w:rPr>
    </w:lvl>
    <w:lvl w:ilvl="4" w:tplc="495A604C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5" w:tplc="B0F42E72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6" w:tplc="3D847896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7" w:tplc="A93AA85E">
      <w:numFmt w:val="bullet"/>
      <w:lvlText w:val="•"/>
      <w:lvlJc w:val="left"/>
      <w:pPr>
        <w:ind w:left="2487" w:hanging="360"/>
      </w:pPr>
      <w:rPr>
        <w:rFonts w:hint="default"/>
        <w:lang w:val="en-US" w:eastAsia="en-US" w:bidi="ar-SA"/>
      </w:rPr>
    </w:lvl>
    <w:lvl w:ilvl="8" w:tplc="CD48E624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9B0AB0"/>
    <w:rsid w:val="001848D6"/>
    <w:rsid w:val="0036770E"/>
    <w:rsid w:val="004B6B40"/>
    <w:rsid w:val="004E3AD7"/>
    <w:rsid w:val="00613C68"/>
    <w:rsid w:val="007834FE"/>
    <w:rsid w:val="007B6330"/>
    <w:rsid w:val="00835C14"/>
    <w:rsid w:val="00864896"/>
    <w:rsid w:val="008B053B"/>
    <w:rsid w:val="008E5D26"/>
    <w:rsid w:val="00923FA7"/>
    <w:rsid w:val="009B0AB0"/>
    <w:rsid w:val="00B92627"/>
    <w:rsid w:val="00CA2612"/>
    <w:rsid w:val="00CE2116"/>
    <w:rsid w:val="00DA13F0"/>
    <w:rsid w:val="00F12719"/>
    <w:rsid w:val="00F77801"/>
    <w:rsid w:val="00FD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EE7DDD3F-5C32-4EF8-A854-FFF1ECF9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B0AB0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9B0AB0"/>
    <w:pPr>
      <w:spacing w:before="106"/>
      <w:ind w:left="561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9B0AB0"/>
    <w:pPr>
      <w:ind w:left="100" w:right="44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B0AB0"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"/>
    <w:qFormat/>
    <w:rsid w:val="009B0AB0"/>
    <w:pPr>
      <w:spacing w:before="120"/>
      <w:ind w:left="2020" w:right="268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9B0AB0"/>
    <w:pPr>
      <w:spacing w:before="5"/>
      <w:ind w:left="460" w:right="52" w:hanging="360"/>
    </w:pPr>
  </w:style>
  <w:style w:type="paragraph" w:customStyle="1" w:styleId="TableParagraph">
    <w:name w:val="Table Paragraph"/>
    <w:basedOn w:val="Normal"/>
    <w:uiPriority w:val="1"/>
    <w:qFormat/>
    <w:rsid w:val="009B0AB0"/>
  </w:style>
  <w:style w:type="character" w:styleId="Hyperlink">
    <w:name w:val="Hyperlink"/>
    <w:basedOn w:val="DefaultParagraphFont"/>
    <w:uiPriority w:val="99"/>
    <w:unhideWhenUsed/>
    <w:rsid w:val="00F77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ountancyeurope.eu/publications/going-concern-recommendations-to-strengthen-the-financial-reporting-ecosyste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countancyeurope.eu/publications/going-concern-recommendations-to-strengthen-the-financial-reporting-ecosystem/" TargetMode="External"/><Relationship Id="rId12" Type="http://schemas.openxmlformats.org/officeDocument/2006/relationships/hyperlink" Target="mailto:info@accountancyeurop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julia@accountancyeurope.e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julia@accountancyeurop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countancyeurope.eu/publications/fraud-recommendations-to-strengthen-the-financial-reporting-ecosyste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1337</Words>
  <Characters>8638</Characters>
  <Application>Microsoft Office Word</Application>
  <DocSecurity>0</DocSecurity>
  <Lines>392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VS</cp:lastModifiedBy>
  <cp:revision>8</cp:revision>
  <dcterms:created xsi:type="dcterms:W3CDTF">2021-04-13T04:03:00Z</dcterms:created>
  <dcterms:modified xsi:type="dcterms:W3CDTF">2021-04-13T08:17:00Z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2021-04-13T00:00:00Z</vt:filetime>
  </property>
</Properties>
</file>