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F3" w:rsidRPr="00EC0D06" w:rsidRDefault="00EC0D06" w:rsidP="00B372F3">
      <w:pPr>
        <w:pStyle w:val="Heading1"/>
        <w:shd w:val="clear" w:color="auto" w:fill="A41F35"/>
        <w:spacing w:before="0"/>
        <w:rPr>
          <w:rFonts w:asciiTheme="minorHAnsi" w:eastAsia="Times New Roman" w:hAnsiTheme="minorHAnsi" w:cs="Helvetica"/>
          <w:b/>
          <w:bCs/>
          <w:color w:val="FFFFFF"/>
          <w:kern w:val="36"/>
          <w:sz w:val="58"/>
          <w:szCs w:val="58"/>
        </w:rPr>
      </w:pPr>
      <w:r w:rsidRPr="002D5931">
        <w:rPr>
          <w:rFonts w:asciiTheme="minorHAnsi" w:eastAsia="Times New Roman" w:hAnsiTheme="minorHAnsi" w:cs="Helvetica"/>
          <w:b/>
          <w:bCs/>
          <w:color w:val="FFFFFF"/>
          <w:kern w:val="36"/>
          <w:sz w:val="58"/>
          <w:szCs w:val="58"/>
          <w:lang w:val="bg-BG"/>
        </w:rPr>
        <w:t xml:space="preserve">Информационен бюлетин на Съвета по международни счетоводни стандарти (IASB) – </w:t>
      </w:r>
      <w:r>
        <w:rPr>
          <w:rFonts w:asciiTheme="minorHAnsi" w:eastAsia="Times New Roman" w:hAnsiTheme="minorHAnsi" w:cs="Helvetica"/>
          <w:b/>
          <w:bCs/>
          <w:color w:val="FFFFFF"/>
          <w:kern w:val="36"/>
          <w:sz w:val="58"/>
          <w:szCs w:val="58"/>
          <w:lang w:val="bg-BG"/>
        </w:rPr>
        <w:t>декември</w:t>
      </w:r>
      <w:r w:rsidRPr="002D5931">
        <w:rPr>
          <w:rFonts w:asciiTheme="minorHAnsi" w:eastAsia="Times New Roman" w:hAnsiTheme="minorHAnsi" w:cs="Helvetica"/>
          <w:b/>
          <w:bCs/>
          <w:color w:val="FFFFFF"/>
          <w:kern w:val="36"/>
          <w:sz w:val="58"/>
          <w:szCs w:val="58"/>
          <w:lang w:val="bg-BG"/>
        </w:rPr>
        <w:t xml:space="preserve"> 2020 г.</w:t>
      </w:r>
    </w:p>
    <w:p w:rsidR="00B372F3" w:rsidRPr="00EC0D06" w:rsidRDefault="00B372F3" w:rsidP="00B372F3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bCs/>
          <w:color w:val="FFFFFF"/>
          <w:kern w:val="36"/>
          <w:sz w:val="58"/>
          <w:szCs w:val="58"/>
        </w:rPr>
      </w:pPr>
      <w:r w:rsidRPr="00EC0D06">
        <w:rPr>
          <w:rFonts w:eastAsia="Times New Roman" w:cs="Helvetica"/>
          <w:b/>
          <w:bCs/>
          <w:color w:val="FFFFFF"/>
          <w:kern w:val="36"/>
          <w:sz w:val="58"/>
          <w:szCs w:val="58"/>
        </w:rPr>
        <w:t>ASB Update December 2020</w:t>
      </w:r>
    </w:p>
    <w:p w:rsidR="00B372F3" w:rsidRPr="00EC0D06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Настоящият бюлетин на Съвета по международни счетоводни стандарти (IASB) (”Съветът”) представя предварителните решения на Съвета. Окончателните решения на Съвета по международни счетоводни стандарти относно: МСФО стандарти (МСФО</w:t>
      </w:r>
      <w:r w:rsidRPr="002D5931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 Standards), Изменения и Разяснения (IFRIC</w:t>
      </w:r>
      <w:r w:rsidRPr="002D5931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 Interpretations) се подлагат на официално гласуване, съгласно предвиденото в </w:t>
      </w:r>
      <w:r w:rsidRPr="002D5931">
        <w:rPr>
          <w:rFonts w:eastAsia="Times New Roman" w:cs="Helvetica"/>
          <w:i/>
          <w:color w:val="575757"/>
          <w:sz w:val="24"/>
          <w:szCs w:val="24"/>
          <w:lang w:val="bg-BG"/>
        </w:rPr>
        <w:t>Ръководството по регламентираната процедура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на Фондация МСФО (МСФО</w:t>
      </w:r>
      <w:r w:rsidRPr="002D5931">
        <w:rPr>
          <w:rFonts w:eastAsia="Times New Roman" w:cs="Helvetica"/>
          <w:color w:val="575757"/>
          <w:sz w:val="24"/>
          <w:szCs w:val="24"/>
          <w:vertAlign w:val="superscript"/>
          <w:lang w:val="bg-BG"/>
        </w:rPr>
        <w:t>®</w:t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 xml:space="preserve"> Foundation) и Комитета по разясненията на МСФО (МСФО Interpretation Committee).</w:t>
      </w:r>
      <w:r w:rsidR="00B372F3" w:rsidRPr="00EC0D06">
        <w:rPr>
          <w:rFonts w:eastAsia="Times New Roman" w:cs="Helvetica"/>
          <w:color w:val="575757"/>
          <w:sz w:val="24"/>
          <w:szCs w:val="24"/>
        </w:rPr>
        <w:br/>
      </w:r>
      <w:r w:rsidR="00B372F3" w:rsidRPr="00EC0D06">
        <w:rPr>
          <w:rFonts w:eastAsia="Times New Roman" w:cs="Helvetica"/>
          <w:color w:val="575757"/>
          <w:sz w:val="24"/>
          <w:szCs w:val="24"/>
        </w:rPr>
        <w:br/>
      </w: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Съветът проведе дистанционно заседание на</w:t>
      </w:r>
      <w:r w:rsidRPr="00EC0D06">
        <w:t xml:space="preserve"> </w:t>
      </w:r>
      <w:hyperlink r:id="rId5" w:history="1">
        <w:r w:rsidR="00B372F3" w:rsidRPr="00555B34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14–16 </w:t>
        </w:r>
        <w:r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декември</w:t>
        </w:r>
        <w:r w:rsidR="00B372F3" w:rsidRPr="00555B34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2020</w:t>
        </w:r>
      </w:hyperlink>
      <w:r w:rsidRPr="00555B34">
        <w:rPr>
          <w:rFonts w:eastAsia="Times New Roman" w:cs="Helvetica"/>
          <w:color w:val="CD3333"/>
          <w:sz w:val="24"/>
          <w:szCs w:val="24"/>
          <w:u w:val="single"/>
          <w:lang w:val="bg-BG"/>
        </w:rPr>
        <w:t xml:space="preserve"> г</w:t>
      </w:r>
      <w:r w:rsidR="00B372F3" w:rsidRPr="00555B34">
        <w:rPr>
          <w:rFonts w:eastAsia="Times New Roman" w:cs="Helvetica"/>
          <w:color w:val="CD3333"/>
          <w:sz w:val="24"/>
          <w:szCs w:val="24"/>
          <w:u w:val="single"/>
          <w:lang w:val="bg-BG"/>
        </w:rPr>
        <w:t>.</w:t>
      </w:r>
    </w:p>
    <w:p w:rsidR="00B372F3" w:rsidRPr="00EC0D06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Темите, по реда на обсъждането им, включваха</w:t>
      </w:r>
      <w:r w:rsidR="00B372F3" w:rsidRPr="00EC0D06">
        <w:rPr>
          <w:rFonts w:eastAsia="Times New Roman" w:cs="Helvetica"/>
          <w:color w:val="575757"/>
          <w:sz w:val="24"/>
          <w:szCs w:val="24"/>
        </w:rPr>
        <w:t>:</w:t>
      </w:r>
    </w:p>
    <w:p w:rsidR="00B372F3" w:rsidRPr="00EC0D06" w:rsidRDefault="00CB4B6D" w:rsidP="00B372F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6" w:anchor="1" w:history="1">
        <w:r w:rsidR="00C033D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Поддържане и последователно прилагане на стандартите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(</w:t>
        </w:r>
        <w:r w:rsidR="00EC0D06">
          <w:rPr>
            <w:rFonts w:eastAsia="Times New Roman" w:cs="Helvetica"/>
            <w:color w:val="CD3333"/>
            <w:sz w:val="24"/>
            <w:szCs w:val="24"/>
            <w:u w:val="single"/>
          </w:rPr>
          <w:t>Документ по програмата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12)</w:t>
        </w:r>
      </w:hyperlink>
    </w:p>
    <w:p w:rsidR="00B372F3" w:rsidRPr="00EC0D06" w:rsidRDefault="00CB4B6D" w:rsidP="00B372F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7" w:anchor="2" w:history="1">
        <w:r w:rsidR="00C033D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Втори всеобхватен преглед на стандарта </w:t>
        </w:r>
        <w:r w:rsidR="00C033D1" w:rsidRPr="00C033D1">
          <w:rPr>
            <w:rFonts w:eastAsia="Times New Roman" w:cs="Helvetica"/>
            <w:i/>
            <w:color w:val="CD3333"/>
            <w:sz w:val="24"/>
            <w:szCs w:val="24"/>
            <w:u w:val="single"/>
            <w:lang w:val="bg-BG"/>
          </w:rPr>
          <w:t>МСФО за МСП</w:t>
        </w:r>
        <w:r w:rsidR="00B372F3" w:rsidRPr="00C033D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 xml:space="preserve"> (</w:t>
        </w:r>
        <w:r w:rsidR="00EC0D06" w:rsidRPr="00C033D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Докум</w:t>
        </w:r>
        <w:r w:rsidR="00EC0D06">
          <w:rPr>
            <w:rFonts w:eastAsia="Times New Roman" w:cs="Helvetica"/>
            <w:color w:val="CD3333"/>
            <w:sz w:val="24"/>
            <w:szCs w:val="24"/>
            <w:u w:val="single"/>
          </w:rPr>
          <w:t>ент по програмата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30)</w:t>
        </w:r>
      </w:hyperlink>
    </w:p>
    <w:p w:rsidR="00B372F3" w:rsidRPr="00EC0D06" w:rsidRDefault="00CB4B6D" w:rsidP="00B372F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8" w:anchor="3" w:history="1">
        <w:r w:rsidR="00C033D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Инициатива за оповестяване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>—</w:t>
        </w:r>
        <w:r w:rsidR="00C033D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счетоводни политики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(</w:t>
        </w:r>
        <w:r w:rsidR="00EC0D06">
          <w:rPr>
            <w:rFonts w:eastAsia="Times New Roman" w:cs="Helvetica"/>
            <w:color w:val="CD3333"/>
            <w:sz w:val="24"/>
            <w:szCs w:val="24"/>
            <w:u w:val="single"/>
          </w:rPr>
          <w:t>Документ по програмата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20)</w:t>
        </w:r>
      </w:hyperlink>
    </w:p>
    <w:p w:rsidR="00B372F3" w:rsidRPr="00EC0D06" w:rsidRDefault="00CB4B6D" w:rsidP="00B372F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9" w:anchor="4" w:history="1">
        <w:r w:rsidR="00C033D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Основни финансови отчети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(</w:t>
        </w:r>
        <w:r w:rsidR="00EC0D06">
          <w:rPr>
            <w:rFonts w:eastAsia="Times New Roman" w:cs="Helvetica"/>
            <w:color w:val="CD3333"/>
            <w:sz w:val="24"/>
            <w:szCs w:val="24"/>
            <w:u w:val="single"/>
          </w:rPr>
          <w:t>Документ по програмата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21)</w:t>
        </w:r>
      </w:hyperlink>
    </w:p>
    <w:p w:rsidR="00B372F3" w:rsidRPr="00EC0D06" w:rsidRDefault="00CB4B6D" w:rsidP="00B372F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10" w:anchor="5" w:history="1">
        <w:r w:rsidR="00C033D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Преглед след въвеждане на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</w:t>
        </w:r>
        <w:r w:rsidR="00EC0D06">
          <w:rPr>
            <w:rFonts w:eastAsia="Times New Roman" w:cs="Helvetica"/>
            <w:color w:val="CD3333"/>
            <w:sz w:val="24"/>
            <w:szCs w:val="24"/>
            <w:u w:val="single"/>
          </w:rPr>
          <w:t>МСФО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9—</w:t>
        </w:r>
        <w:r w:rsidR="00C033D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класифициране и оценяване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(</w:t>
        </w:r>
        <w:r w:rsidR="00EC0D06">
          <w:rPr>
            <w:rFonts w:eastAsia="Times New Roman" w:cs="Helvetica"/>
            <w:color w:val="CD3333"/>
            <w:sz w:val="24"/>
            <w:szCs w:val="24"/>
            <w:u w:val="single"/>
          </w:rPr>
          <w:t>Документ по програмата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3)</w:t>
        </w:r>
      </w:hyperlink>
    </w:p>
    <w:p w:rsidR="00B372F3" w:rsidRPr="00EC0D06" w:rsidRDefault="00CB4B6D" w:rsidP="00B372F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11" w:anchor="6" w:history="1">
        <w:r w:rsidR="00C033D1" w:rsidRPr="00C033D1">
          <w:t xml:space="preserve"> </w:t>
        </w:r>
        <w:r w:rsidR="00C033D1" w:rsidRPr="00C033D1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Инициатива за оповестяване 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>—</w:t>
        </w:r>
        <w:r w:rsidR="00C033D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дъщерни предприятия, които са МСП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(</w:t>
        </w:r>
        <w:r w:rsidR="00EC0D06">
          <w:rPr>
            <w:rFonts w:eastAsia="Times New Roman" w:cs="Helvetica"/>
            <w:color w:val="CD3333"/>
            <w:sz w:val="24"/>
            <w:szCs w:val="24"/>
            <w:u w:val="single"/>
          </w:rPr>
          <w:t>Документ по програмата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31)</w:t>
        </w:r>
      </w:hyperlink>
    </w:p>
    <w:p w:rsidR="00B372F3" w:rsidRPr="00EC0D06" w:rsidRDefault="00CB4B6D" w:rsidP="00B372F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12" w:anchor="7" w:history="1">
        <w:r w:rsidR="00C033D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Финансови инструменти с характеристики на собствен капитал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(</w:t>
        </w:r>
        <w:r w:rsidR="00EC0D06">
          <w:rPr>
            <w:rFonts w:eastAsia="Times New Roman" w:cs="Helvetica"/>
            <w:color w:val="CD3333"/>
            <w:sz w:val="24"/>
            <w:szCs w:val="24"/>
            <w:u w:val="single"/>
          </w:rPr>
          <w:t>Документ по програмата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5)</w:t>
        </w:r>
      </w:hyperlink>
    </w:p>
    <w:p w:rsidR="00B372F3" w:rsidRPr="00EC0D06" w:rsidRDefault="00CB4B6D" w:rsidP="00B372F3">
      <w:pPr>
        <w:numPr>
          <w:ilvl w:val="0"/>
          <w:numId w:val="1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hyperlink r:id="rId13" w:anchor="8" w:history="1">
        <w:r w:rsidR="00C033D1">
          <w:rPr>
            <w:rFonts w:eastAsia="Times New Roman" w:cs="Helvetica"/>
            <w:color w:val="CD3333"/>
            <w:sz w:val="24"/>
            <w:szCs w:val="24"/>
            <w:u w:val="single"/>
            <w:lang w:val="bg-BG"/>
          </w:rPr>
          <w:t>Пенсионни доходи, които варират в зависимост от възвръщаемостта на активи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(</w:t>
        </w:r>
        <w:r w:rsidR="00EC0D06">
          <w:rPr>
            <w:rFonts w:eastAsia="Times New Roman" w:cs="Helvetica"/>
            <w:color w:val="CD3333"/>
            <w:sz w:val="24"/>
            <w:szCs w:val="24"/>
            <w:u w:val="single"/>
          </w:rPr>
          <w:t>Документ по програмата</w:t>
        </w:r>
        <w:r w:rsidR="00B372F3" w:rsidRPr="00EC0D06">
          <w:rPr>
            <w:rFonts w:eastAsia="Times New Roman" w:cs="Helvetica"/>
            <w:color w:val="CD3333"/>
            <w:sz w:val="24"/>
            <w:szCs w:val="24"/>
            <w:u w:val="single"/>
          </w:rPr>
          <w:t xml:space="preserve"> 6)</w:t>
        </w:r>
      </w:hyperlink>
    </w:p>
    <w:p w:rsidR="00B372F3" w:rsidRPr="00EC0D06" w:rsidRDefault="00EC0D06" w:rsidP="00B372F3">
      <w:pPr>
        <w:shd w:val="clear" w:color="auto" w:fill="F6F6F6"/>
        <w:spacing w:before="225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</w:rPr>
      </w:pPr>
      <w:r w:rsidRPr="002D5931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Допълнителна информация</w:t>
      </w:r>
    </w:p>
    <w:p w:rsidR="00B372F3" w:rsidRPr="00EC0D06" w:rsidRDefault="00EC0D06" w:rsidP="00B372F3">
      <w:pPr>
        <w:shd w:val="clear" w:color="auto" w:fill="F6F6F6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2D5931">
        <w:rPr>
          <w:rFonts w:eastAsia="Times New Roman" w:cs="Helvetica"/>
          <w:color w:val="575757"/>
          <w:sz w:val="24"/>
          <w:szCs w:val="24"/>
          <w:lang w:val="bg-BG"/>
        </w:rPr>
        <w:t>Предстоящи заседания на Съвета</w:t>
      </w:r>
      <w:r w:rsidR="00B372F3" w:rsidRPr="00EC0D06">
        <w:rPr>
          <w:rFonts w:eastAsia="Times New Roman" w:cs="Helvetica"/>
          <w:color w:val="575757"/>
          <w:sz w:val="24"/>
          <w:szCs w:val="24"/>
        </w:rPr>
        <w:t>:</w:t>
      </w:r>
    </w:p>
    <w:p w:rsidR="00B372F3" w:rsidRPr="00EC0D06" w:rsidRDefault="00B372F3" w:rsidP="00B372F3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 w:rsidRPr="00EC0D06">
        <w:rPr>
          <w:rFonts w:eastAsia="Times New Roman" w:cs="Helvetica"/>
          <w:color w:val="575757"/>
          <w:sz w:val="24"/>
          <w:szCs w:val="24"/>
        </w:rPr>
        <w:t xml:space="preserve">25–26 </w:t>
      </w:r>
      <w:r w:rsidR="00EC0D06">
        <w:rPr>
          <w:rFonts w:eastAsia="Times New Roman" w:cs="Helvetica"/>
          <w:color w:val="575757"/>
          <w:sz w:val="24"/>
          <w:szCs w:val="24"/>
          <w:lang w:val="bg-BG"/>
        </w:rPr>
        <w:t>януари</w:t>
      </w:r>
      <w:r w:rsidRPr="00EC0D06">
        <w:rPr>
          <w:rFonts w:eastAsia="Times New Roman" w:cs="Helvetica"/>
          <w:color w:val="575757"/>
          <w:sz w:val="24"/>
          <w:szCs w:val="24"/>
        </w:rPr>
        <w:t xml:space="preserve"> 2021</w:t>
      </w:r>
      <w:r w:rsidR="00EC0D06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B372F3" w:rsidRPr="00EC0D06" w:rsidRDefault="00B372F3" w:rsidP="00B372F3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 w:rsidRPr="00EC0D06">
        <w:rPr>
          <w:rFonts w:eastAsia="Times New Roman" w:cs="Helvetica"/>
          <w:color w:val="575757"/>
          <w:sz w:val="24"/>
          <w:szCs w:val="24"/>
        </w:rPr>
        <w:t xml:space="preserve">15–19 </w:t>
      </w:r>
      <w:r w:rsidR="00EC0D06">
        <w:rPr>
          <w:rFonts w:eastAsia="Times New Roman" w:cs="Helvetica"/>
          <w:color w:val="575757"/>
          <w:sz w:val="24"/>
          <w:szCs w:val="24"/>
          <w:lang w:val="bg-BG"/>
        </w:rPr>
        <w:t>февруари</w:t>
      </w:r>
      <w:r w:rsidRPr="00EC0D06">
        <w:rPr>
          <w:rFonts w:eastAsia="Times New Roman" w:cs="Helvetica"/>
          <w:color w:val="575757"/>
          <w:sz w:val="24"/>
          <w:szCs w:val="24"/>
        </w:rPr>
        <w:t xml:space="preserve"> 2021</w:t>
      </w:r>
      <w:r w:rsidR="00EC0D06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B372F3" w:rsidRPr="00EC0D06" w:rsidRDefault="00B372F3" w:rsidP="00B372F3">
      <w:pPr>
        <w:numPr>
          <w:ilvl w:val="0"/>
          <w:numId w:val="2"/>
        </w:numPr>
        <w:shd w:val="clear" w:color="auto" w:fill="F6F6F6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</w:rPr>
      </w:pPr>
      <w:r w:rsidRPr="00EC0D06">
        <w:rPr>
          <w:rFonts w:eastAsia="Times New Roman" w:cs="Helvetica"/>
          <w:color w:val="575757"/>
          <w:sz w:val="24"/>
          <w:szCs w:val="24"/>
        </w:rPr>
        <w:lastRenderedPageBreak/>
        <w:t xml:space="preserve">22–26 </w:t>
      </w:r>
      <w:r w:rsidR="00EC0D06">
        <w:rPr>
          <w:rFonts w:eastAsia="Times New Roman" w:cs="Helvetica"/>
          <w:color w:val="575757"/>
          <w:sz w:val="24"/>
          <w:szCs w:val="24"/>
          <w:lang w:val="bg-BG"/>
        </w:rPr>
        <w:t>март</w:t>
      </w:r>
      <w:r w:rsidRPr="00EC0D06">
        <w:rPr>
          <w:rFonts w:eastAsia="Times New Roman" w:cs="Helvetica"/>
          <w:color w:val="575757"/>
          <w:sz w:val="24"/>
          <w:szCs w:val="24"/>
        </w:rPr>
        <w:t xml:space="preserve"> 2021</w:t>
      </w:r>
      <w:r w:rsidR="00EC0D06">
        <w:rPr>
          <w:rFonts w:eastAsia="Times New Roman" w:cs="Helvetica"/>
          <w:color w:val="575757"/>
          <w:sz w:val="24"/>
          <w:szCs w:val="24"/>
          <w:lang w:val="bg-BG"/>
        </w:rPr>
        <w:t xml:space="preserve"> г.</w:t>
      </w:r>
    </w:p>
    <w:p w:rsidR="00B372F3" w:rsidRPr="00E5012D" w:rsidRDefault="00C033D1" w:rsidP="00B372F3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0" w:name="1"/>
      <w:r w:rsidRPr="00E5012D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Поддържане и последователно прилагане на стандартите </w:t>
      </w:r>
      <w:r w:rsidR="00B372F3" w:rsidRPr="00E5012D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="00EC0D06" w:rsidRPr="00E5012D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B372F3" w:rsidRPr="00E5012D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12)</w:t>
      </w:r>
      <w:bookmarkEnd w:id="0"/>
    </w:p>
    <w:p w:rsidR="00B372F3" w:rsidRPr="00E5012D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E5012D">
        <w:rPr>
          <w:rFonts w:eastAsia="Times New Roman" w:cs="Helvetica"/>
          <w:color w:val="575757"/>
          <w:sz w:val="24"/>
          <w:szCs w:val="24"/>
          <w:lang w:val="bg-BG"/>
        </w:rPr>
        <w:t>На 14 декември 2020 г. Съветът проведе заседание, за да обсъди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E5012D" w:rsidRPr="00E5012D">
        <w:rPr>
          <w:rFonts w:eastAsia="Times New Roman" w:cs="Helvetica"/>
          <w:color w:val="575757"/>
          <w:sz w:val="24"/>
          <w:szCs w:val="24"/>
          <w:lang w:val="bg-BG"/>
        </w:rPr>
        <w:t>дали някой от членовете на Съвета възразява срещу решението на Комитета по разясненията на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E5012D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E5012D"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да публикува </w:t>
      </w:r>
      <w:r w:rsidR="00E5012D">
        <w:rPr>
          <w:rFonts w:eastAsia="Times New Roman" w:cs="Helvetica"/>
          <w:color w:val="575757"/>
          <w:sz w:val="24"/>
          <w:szCs w:val="24"/>
          <w:lang w:val="bg-BG"/>
        </w:rPr>
        <w:t>взетото в рамките на програмата за работата на Комитета решение</w:t>
      </w:r>
      <w:r w:rsidR="00E5012D"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 във връзка с </w:t>
      </w:r>
      <w:r w:rsidR="00E5012D" w:rsidRPr="00E5012D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Финансови споразумения по веригата на доставките</w:t>
      </w:r>
      <w:r w:rsidR="00B372F3" w:rsidRPr="00E5012D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—</w:t>
      </w:r>
      <w:r w:rsidR="00E5012D" w:rsidRPr="00E5012D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обратен факторинг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E5012D" w:rsidRDefault="00E5012D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E5012D">
        <w:rPr>
          <w:rFonts w:eastAsia="Times New Roman" w:cs="Helvetica"/>
          <w:color w:val="575757"/>
          <w:sz w:val="24"/>
          <w:szCs w:val="24"/>
          <w:lang w:val="bg-BG"/>
        </w:rPr>
        <w:t>Нито един от членовете на Съвета не възрази срещу това решение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В тази връзка решението ще бъде публикувано </w:t>
      </w:r>
      <w:r>
        <w:rPr>
          <w:rFonts w:eastAsia="Times New Roman" w:cs="Helvetica"/>
          <w:color w:val="575757"/>
          <w:sz w:val="24"/>
          <w:szCs w:val="24"/>
          <w:lang w:val="bg-BG"/>
        </w:rPr>
        <w:t>в</w:t>
      </w:r>
      <w:r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 Бюлетина с актуална информация от КРМСФО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E5012D" w:rsidRDefault="00C033D1" w:rsidP="00B372F3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1" w:name="2"/>
      <w:r w:rsidRPr="00E5012D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Втори всеобхватен преглед на стандарта </w:t>
      </w:r>
      <w:r w:rsidR="00EC0D06" w:rsidRPr="00E5012D">
        <w:rPr>
          <w:rFonts w:eastAsia="Times New Roman" w:cs="Helvetica"/>
          <w:b/>
          <w:bCs/>
          <w:i/>
          <w:iCs/>
          <w:color w:val="CD3333"/>
          <w:sz w:val="34"/>
          <w:szCs w:val="34"/>
          <w:lang w:val="bg-BG"/>
        </w:rPr>
        <w:t>МСФО</w:t>
      </w:r>
      <w:r w:rsidR="00B372F3" w:rsidRPr="00E5012D">
        <w:rPr>
          <w:rFonts w:eastAsia="Times New Roman" w:cs="Helvetica"/>
          <w:b/>
          <w:bCs/>
          <w:i/>
          <w:iCs/>
          <w:color w:val="CD3333"/>
          <w:sz w:val="34"/>
          <w:szCs w:val="34"/>
          <w:lang w:val="bg-BG"/>
        </w:rPr>
        <w:t xml:space="preserve"> </w:t>
      </w:r>
      <w:r w:rsidRPr="00E5012D">
        <w:rPr>
          <w:rFonts w:eastAsia="Times New Roman" w:cs="Helvetica"/>
          <w:b/>
          <w:bCs/>
          <w:i/>
          <w:iCs/>
          <w:color w:val="CD3333"/>
          <w:sz w:val="34"/>
          <w:szCs w:val="34"/>
          <w:lang w:val="bg-BG"/>
        </w:rPr>
        <w:t>за МСП</w:t>
      </w:r>
      <w:r w:rsidR="00B372F3" w:rsidRPr="00E5012D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="00EC0D06" w:rsidRPr="00E5012D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B372F3" w:rsidRPr="00E5012D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30)</w:t>
      </w:r>
      <w:bookmarkEnd w:id="1"/>
    </w:p>
    <w:p w:rsidR="00B372F3" w:rsidRPr="00E5012D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На 14 декември 2020 г. Съветът проведе заседание, за да обсъди </w:t>
      </w:r>
      <w:r w:rsidR="00E5012D" w:rsidRPr="00E5012D">
        <w:rPr>
          <w:rFonts w:eastAsia="Times New Roman" w:cs="Helvetica"/>
          <w:color w:val="575757"/>
          <w:sz w:val="24"/>
          <w:szCs w:val="24"/>
          <w:lang w:val="bg-BG"/>
        </w:rPr>
        <w:t>ключови послания от проведените на терен събития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E5012D"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онлайн анкети и предварителния анализ на писмата с коментари във връзка с Искането за предоставяне на информация по повод </w:t>
      </w:r>
      <w:r w:rsidR="00E5012D" w:rsidRPr="00E5012D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Всеобхватния преглед на стандарта </w:t>
      </w:r>
      <w:r w:rsidRPr="00E5012D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E5012D" w:rsidRPr="00E5012D">
        <w:rPr>
          <w:rFonts w:eastAsia="Times New Roman" w:cs="Helvetica"/>
          <w:color w:val="575757"/>
          <w:sz w:val="24"/>
          <w:szCs w:val="24"/>
          <w:lang w:val="bg-BG"/>
        </w:rPr>
        <w:t>за МСП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E5012D" w:rsidRDefault="00CB39D7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E5012D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E5012D"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 да поиска от Групата за въвеждане на стандарта за МСП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 (SMEIG) </w:t>
      </w:r>
      <w:r w:rsidR="00E5012D" w:rsidRPr="00E5012D">
        <w:rPr>
          <w:rFonts w:eastAsia="Times New Roman" w:cs="Helvetica"/>
          <w:color w:val="575757"/>
          <w:sz w:val="24"/>
          <w:szCs w:val="24"/>
          <w:lang w:val="bg-BG"/>
        </w:rPr>
        <w:t>да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B372F3" w:rsidRPr="00E5012D" w:rsidRDefault="00E5012D" w:rsidP="00B372F3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E5012D">
        <w:rPr>
          <w:rFonts w:eastAsia="Times New Roman" w:cs="Helvetica"/>
          <w:color w:val="575757"/>
          <w:sz w:val="24"/>
          <w:szCs w:val="24"/>
          <w:lang w:val="bg-BG"/>
        </w:rPr>
        <w:t>обсъди всеобхватно обобщение на обратната информация, получена във връзка с Искането за предоставяне на информация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E5012D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B372F3" w:rsidRPr="00E5012D" w:rsidRDefault="00E5012D" w:rsidP="00B372F3">
      <w:pPr>
        <w:numPr>
          <w:ilvl w:val="0"/>
          <w:numId w:val="3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препоръча какво Съветът следва да направи в рамките на втория всеобхватен преглед на стандарта </w:t>
      </w:r>
      <w:r w:rsidR="00EC0D06" w:rsidRPr="00E5012D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</w:t>
      </w:r>
      <w:r w:rsidR="00B372F3" w:rsidRPr="00E5012D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E5012D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за МСП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E5012D" w:rsidRDefault="00CB39D7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E5012D">
        <w:rPr>
          <w:rFonts w:eastAsia="Times New Roman" w:cs="Helvetica"/>
          <w:color w:val="575757"/>
          <w:sz w:val="24"/>
          <w:szCs w:val="24"/>
          <w:lang w:val="bg-BG"/>
        </w:rPr>
        <w:t>Всичките тринадесет членове на Съвета изразиха съгласие с това решение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E5012D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E5012D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:rsidR="00B372F3" w:rsidRPr="00E5012D" w:rsidRDefault="00E5012D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E5012D">
        <w:rPr>
          <w:rFonts w:eastAsia="Times New Roman" w:cs="Helvetica"/>
          <w:color w:val="575757"/>
          <w:sz w:val="24"/>
          <w:szCs w:val="24"/>
          <w:lang w:val="bg-BG"/>
        </w:rPr>
        <w:t>На следващо свое заседание Съветът ще разгледа препоръките, разработени от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 SMEIG </w:t>
      </w:r>
      <w:r w:rsidRPr="00E5012D">
        <w:rPr>
          <w:rFonts w:eastAsia="Times New Roman" w:cs="Helvetica"/>
          <w:color w:val="575757"/>
          <w:sz w:val="24"/>
          <w:szCs w:val="24"/>
          <w:lang w:val="bg-BG"/>
        </w:rPr>
        <w:t xml:space="preserve">относно следващите действия на Съвета в рамките на втория всеобхватен преглед на стандарта </w:t>
      </w:r>
      <w:r w:rsidR="00EC0D06" w:rsidRPr="00E5012D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МСФО</w:t>
      </w:r>
      <w:r w:rsidR="00B372F3" w:rsidRPr="00E5012D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E5012D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за МСП</w:t>
      </w:r>
      <w:r w:rsidR="00B372F3" w:rsidRPr="00E5012D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023565" w:rsidRDefault="00C033D1" w:rsidP="00B372F3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2" w:name="3"/>
      <w:r w:rsidRPr="00023565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Инициатива за оповестяване—счетоводни политики </w:t>
      </w:r>
      <w:r w:rsidR="00B372F3" w:rsidRPr="00023565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="00EC0D06" w:rsidRPr="00023565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B372F3" w:rsidRPr="00023565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20)</w:t>
      </w:r>
      <w:bookmarkEnd w:id="2"/>
    </w:p>
    <w:p w:rsidR="00B372F3" w:rsidRPr="00023565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023565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На 14 декември 2020 г. Съветът проведе заседание, за да обсъди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E5012D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нуждаещи се от уточняване въпроси, възникнали в резултат </w:t>
      </w:r>
      <w:r w:rsidR="00CB4B6D">
        <w:rPr>
          <w:rFonts w:eastAsia="Times New Roman" w:cs="Helvetica"/>
          <w:color w:val="575757"/>
          <w:sz w:val="24"/>
          <w:szCs w:val="24"/>
          <w:lang w:val="bg-BG"/>
        </w:rPr>
        <w:t>на</w:t>
      </w:r>
      <w:r w:rsidR="00E5012D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процедурата по гласуване на </w:t>
      </w:r>
      <w:r w:rsidR="00E5012D" w:rsidRPr="00023565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Оповестяване на счетоводни политики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E5012D" w:rsidRPr="00023565">
        <w:rPr>
          <w:rFonts w:eastAsia="Times New Roman" w:cs="Helvetica"/>
          <w:color w:val="575757"/>
          <w:sz w:val="24"/>
          <w:szCs w:val="24"/>
          <w:lang w:val="bg-BG"/>
        </w:rPr>
        <w:t>което ще измени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023565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1 </w:t>
      </w:r>
      <w:r w:rsidR="00E5012D" w:rsidRPr="00023565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Представяне на финансови отчети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> </w:t>
      </w:r>
      <w:r w:rsidR="00E5012D" w:rsidRPr="00023565">
        <w:rPr>
          <w:rFonts w:eastAsia="Times New Roman" w:cs="Helvetica"/>
          <w:color w:val="575757"/>
          <w:sz w:val="24"/>
          <w:szCs w:val="24"/>
          <w:lang w:val="bg-BG"/>
        </w:rPr>
        <w:t>и Изложението за практика по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023565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2 </w:t>
      </w:r>
      <w:r w:rsidR="00E5012D" w:rsidRPr="00023565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Извършване на преценки относно нивото на същественост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023565" w:rsidRDefault="00023565" w:rsidP="00B372F3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023565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Нуждаещи се от уточняване въпроси </w:t>
      </w:r>
      <w:r w:rsidR="00B372F3" w:rsidRPr="00023565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(</w:t>
      </w:r>
      <w:r w:rsidR="00EC0D06" w:rsidRPr="00023565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B372F3" w:rsidRPr="00023565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20)</w:t>
      </w:r>
    </w:p>
    <w:p w:rsidR="00B372F3" w:rsidRPr="00023565" w:rsidRDefault="00CB39D7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023565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023565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да не добавя изисквания при преход и дата на влизане в сила на измененията в Изложение за практика по МС</w:t>
      </w:r>
      <w:r w:rsidR="00EC0D06" w:rsidRPr="00023565">
        <w:rPr>
          <w:rFonts w:eastAsia="Times New Roman" w:cs="Helvetica"/>
          <w:color w:val="575757"/>
          <w:sz w:val="24"/>
          <w:szCs w:val="24"/>
          <w:lang w:val="bg-BG"/>
        </w:rPr>
        <w:t>ФО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2.</w:t>
      </w:r>
    </w:p>
    <w:p w:rsidR="00B372F3" w:rsidRPr="00023565" w:rsidRDefault="00CB39D7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023565">
        <w:rPr>
          <w:rFonts w:eastAsia="Times New Roman" w:cs="Helvetica"/>
          <w:color w:val="575757"/>
          <w:sz w:val="24"/>
          <w:szCs w:val="24"/>
          <w:lang w:val="bg-BG"/>
        </w:rPr>
        <w:t>Седем от тринадесетте членове на Съвета изразиха съгласие с това решение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023565" w:rsidRDefault="00CB39D7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023565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023565" w:rsidRPr="00023565">
        <w:rPr>
          <w:rFonts w:eastAsia="Times New Roman" w:cs="Helvetica"/>
          <w:color w:val="575757"/>
          <w:sz w:val="24"/>
          <w:szCs w:val="24"/>
          <w:lang w:val="bg-BG"/>
        </w:rPr>
        <w:t>, че параграф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117</w:t>
      </w:r>
      <w:r w:rsidR="00023565" w:rsidRPr="00023565">
        <w:rPr>
          <w:rFonts w:eastAsia="Times New Roman" w:cs="Helvetica"/>
          <w:color w:val="575757"/>
          <w:sz w:val="24"/>
          <w:szCs w:val="24"/>
          <w:lang w:val="bg-BG"/>
        </w:rPr>
        <w:t>Б от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EC0D06" w:rsidRPr="00023565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1 </w:t>
      </w:r>
      <w:r w:rsidR="00023565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следва да посочва, че се очаква информацията за счетоводните политики да отговори на дефиницията за същественост, ако информацията за счетоводните политики е необходима, за да </w:t>
      </w:r>
      <w:r w:rsidR="00023565">
        <w:rPr>
          <w:rFonts w:eastAsia="Times New Roman" w:cs="Helvetica"/>
          <w:color w:val="575757"/>
          <w:sz w:val="24"/>
          <w:szCs w:val="24"/>
          <w:lang w:val="bg-BG"/>
        </w:rPr>
        <w:t>се</w:t>
      </w:r>
      <w:r w:rsidR="00023565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разбере друга съществена информация във финансовия отчет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023565" w:rsidRDefault="00CB39D7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023565">
        <w:rPr>
          <w:rFonts w:eastAsia="Times New Roman" w:cs="Helvetica"/>
          <w:color w:val="575757"/>
          <w:sz w:val="24"/>
          <w:szCs w:val="24"/>
          <w:lang w:val="bg-BG"/>
        </w:rPr>
        <w:t>Всичките тринадесет членове на Съвета изразиха съгласие с това решение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023565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023565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:rsidR="00B372F3" w:rsidRPr="00023565" w:rsidRDefault="00023565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023565">
        <w:rPr>
          <w:rFonts w:eastAsia="Times New Roman" w:cs="Helvetica"/>
          <w:color w:val="575757"/>
          <w:sz w:val="24"/>
          <w:szCs w:val="24"/>
          <w:lang w:val="bg-BG"/>
        </w:rPr>
        <w:t>Съветът очаква да издаде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> </w:t>
      </w:r>
      <w:r w:rsidRPr="00023565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Оповестяване на счетоводни политики</w:t>
      </w:r>
      <w:r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през първото тримесечие на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023565" w:rsidRDefault="00C033D1" w:rsidP="00B372F3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3" w:name="4"/>
      <w:r w:rsidRPr="00023565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Основни финансови отчети</w:t>
      </w:r>
      <w:r w:rsidR="00B372F3" w:rsidRPr="00023565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(</w:t>
      </w:r>
      <w:r w:rsidR="00EC0D06" w:rsidRPr="00023565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B372F3" w:rsidRPr="00023565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21)</w:t>
      </w:r>
      <w:bookmarkEnd w:id="3"/>
    </w:p>
    <w:p w:rsidR="00B372F3" w:rsidRPr="00023565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На 15 и 16 декември 2020 г. Съветът проведе заседания, за да обсъди </w:t>
      </w:r>
      <w:r w:rsidR="00023565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получените като обратна информация становища по Проекта за обсъждане </w:t>
      </w:r>
      <w:r w:rsidR="00023565" w:rsidRPr="00023565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Общо представяне и оповестяване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023565" w:rsidRPr="00023565">
        <w:rPr>
          <w:rFonts w:eastAsia="Times New Roman" w:cs="Helvetica"/>
          <w:color w:val="575757"/>
          <w:sz w:val="24"/>
          <w:szCs w:val="24"/>
          <w:lang w:val="bg-BG"/>
        </w:rPr>
        <w:t>Проектът за обсъждане излага предложенията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023565" w:rsidRPr="00023565">
        <w:rPr>
          <w:rFonts w:eastAsia="Times New Roman" w:cs="Helvetica"/>
          <w:color w:val="575757"/>
          <w:sz w:val="24"/>
          <w:szCs w:val="24"/>
          <w:lang w:val="bg-BG"/>
        </w:rPr>
        <w:t>за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023565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023565" w:rsidRPr="00023565">
        <w:rPr>
          <w:rFonts w:eastAsia="Times New Roman" w:cs="Helvetica"/>
          <w:color w:val="575757"/>
          <w:sz w:val="24"/>
          <w:szCs w:val="24"/>
          <w:lang w:val="bg-BG"/>
        </w:rPr>
        <w:t>стандарт относно представянето и оповестяването във финансовия отчет, който след финализиране би заменил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023565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1 </w:t>
      </w:r>
      <w:r w:rsidR="00023565" w:rsidRPr="00023565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Представяне на финансови отчети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023565" w:rsidRPr="00023565">
        <w:rPr>
          <w:rFonts w:eastAsia="Times New Roman" w:cs="Helvetica"/>
          <w:color w:val="575757"/>
          <w:sz w:val="24"/>
          <w:szCs w:val="24"/>
          <w:lang w:val="bg-BG"/>
        </w:rPr>
        <w:t>Проектът излага и предложените изменения в други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023565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023565" w:rsidRPr="00023565">
        <w:rPr>
          <w:rFonts w:eastAsia="Times New Roman" w:cs="Helvetica"/>
          <w:color w:val="575757"/>
          <w:sz w:val="24"/>
          <w:szCs w:val="24"/>
          <w:lang w:val="bg-BG"/>
        </w:rPr>
        <w:t>стандарти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023565" w:rsidRDefault="00023565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023565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023565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023565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:rsidR="00B372F3" w:rsidRPr="00023565" w:rsidRDefault="00023565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023565">
        <w:rPr>
          <w:rFonts w:eastAsia="Times New Roman" w:cs="Helvetica"/>
          <w:color w:val="575757"/>
          <w:sz w:val="24"/>
          <w:szCs w:val="24"/>
          <w:lang w:val="bg-BG"/>
        </w:rPr>
        <w:t>На следващото си заседание Съветът ще продължи да дискутира обратната информация по Проекта за обсъждане и ще обсъди планове за повторно обсъждане на предложенията по проекта</w:t>
      </w:r>
      <w:r w:rsidR="00B372F3" w:rsidRPr="00023565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1175AD" w:rsidRDefault="00C033D1" w:rsidP="00B372F3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4" w:name="5"/>
      <w:r w:rsidRPr="001175AD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lastRenderedPageBreak/>
        <w:t xml:space="preserve">Преглед след въвеждане на МСФО 9—класифициране и оценяване </w:t>
      </w:r>
      <w:r w:rsidR="00B372F3" w:rsidRPr="001175AD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="00EC0D06" w:rsidRPr="001175AD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B372F3" w:rsidRPr="001175AD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3)</w:t>
      </w:r>
      <w:bookmarkEnd w:id="4"/>
    </w:p>
    <w:p w:rsidR="00B372F3" w:rsidRPr="001175AD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1175AD">
        <w:rPr>
          <w:rFonts w:eastAsia="Times New Roman" w:cs="Helvetica"/>
          <w:color w:val="575757"/>
          <w:sz w:val="24"/>
          <w:szCs w:val="24"/>
          <w:lang w:val="bg-BG"/>
        </w:rPr>
        <w:t xml:space="preserve">На 16 декември 2020 г. Съветът проведе заседание, за да обсъди </w:t>
      </w:r>
      <w:r w:rsidR="00023565" w:rsidRPr="001175AD">
        <w:rPr>
          <w:rFonts w:eastAsia="Times New Roman" w:cs="Helvetica"/>
          <w:color w:val="575757"/>
          <w:sz w:val="24"/>
          <w:szCs w:val="24"/>
          <w:lang w:val="bg-BG"/>
        </w:rPr>
        <w:t>целите</w:t>
      </w:r>
      <w:r w:rsidR="00B372F3" w:rsidRPr="001175AD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023565" w:rsidRPr="001175AD">
        <w:rPr>
          <w:rFonts w:eastAsia="Times New Roman" w:cs="Helvetica"/>
          <w:color w:val="575757"/>
          <w:sz w:val="24"/>
          <w:szCs w:val="24"/>
          <w:lang w:val="bg-BG"/>
        </w:rPr>
        <w:t>дейностите и очакваните срокове по отношение на първата фаза на Прегледа след въвеждане на изискванията за класифициране и оценяване в</w:t>
      </w:r>
      <w:r w:rsidR="00B372F3" w:rsidRPr="001175AD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1175AD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B372F3" w:rsidRPr="001175AD">
        <w:rPr>
          <w:rFonts w:eastAsia="Times New Roman" w:cs="Helvetica"/>
          <w:color w:val="575757"/>
          <w:sz w:val="24"/>
          <w:szCs w:val="24"/>
          <w:lang w:val="bg-BG"/>
        </w:rPr>
        <w:t xml:space="preserve"> 9 </w:t>
      </w:r>
      <w:r w:rsidR="00023565" w:rsidRPr="001175AD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Финансови инструменти</w:t>
      </w:r>
      <w:r w:rsidR="00B372F3" w:rsidRPr="001175AD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1175AD" w:rsidRDefault="00CB39D7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1175AD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B372F3" w:rsidRPr="001175AD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1175AD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1175AD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:rsidR="00B372F3" w:rsidRPr="001175AD" w:rsidRDefault="00023565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1175AD">
        <w:rPr>
          <w:rFonts w:eastAsia="Times New Roman" w:cs="Helvetica"/>
          <w:color w:val="575757"/>
          <w:sz w:val="24"/>
          <w:szCs w:val="24"/>
          <w:lang w:val="bg-BG"/>
        </w:rPr>
        <w:t>Съветът планира да извърши дейности на терен през първата половина на</w:t>
      </w:r>
      <w:r w:rsidR="00B372F3" w:rsidRPr="001175AD">
        <w:rPr>
          <w:rFonts w:eastAsia="Times New Roman" w:cs="Helvetica"/>
          <w:color w:val="575757"/>
          <w:sz w:val="24"/>
          <w:szCs w:val="24"/>
          <w:lang w:val="bg-BG"/>
        </w:rPr>
        <w:t xml:space="preserve"> 2021 </w:t>
      </w:r>
      <w:r w:rsidRPr="001175AD">
        <w:rPr>
          <w:rFonts w:eastAsia="Times New Roman" w:cs="Helvetica"/>
          <w:color w:val="575757"/>
          <w:sz w:val="24"/>
          <w:szCs w:val="24"/>
          <w:lang w:val="bg-BG"/>
        </w:rPr>
        <w:t>г., които да помогнат на Съвета да идентифицира въпроси, по които ще се консултира публично в Искане за предоставяне на информация</w:t>
      </w:r>
      <w:r w:rsidR="00B372F3" w:rsidRPr="001175AD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1175AD" w:rsidRPr="001175AD">
        <w:rPr>
          <w:rFonts w:eastAsia="Times New Roman" w:cs="Helvetica"/>
          <w:color w:val="575757"/>
          <w:sz w:val="24"/>
          <w:szCs w:val="24"/>
          <w:lang w:val="bg-BG"/>
        </w:rPr>
        <w:t xml:space="preserve">Съветът очаква да публикува Искането </w:t>
      </w:r>
      <w:r w:rsidR="001175AD">
        <w:rPr>
          <w:rFonts w:eastAsia="Times New Roman" w:cs="Helvetica"/>
          <w:color w:val="575757"/>
          <w:sz w:val="24"/>
          <w:szCs w:val="24"/>
          <w:lang w:val="bg-BG"/>
        </w:rPr>
        <w:t>за</w:t>
      </w:r>
      <w:r w:rsidR="001175AD" w:rsidRPr="001175AD">
        <w:rPr>
          <w:rFonts w:eastAsia="Times New Roman" w:cs="Helvetica"/>
          <w:color w:val="575757"/>
          <w:sz w:val="24"/>
          <w:szCs w:val="24"/>
          <w:lang w:val="bg-BG"/>
        </w:rPr>
        <w:t xml:space="preserve"> предоставяне на информация през третото тримесечие на</w:t>
      </w:r>
      <w:r w:rsidR="00B372F3" w:rsidRPr="001175AD">
        <w:rPr>
          <w:rFonts w:eastAsia="Times New Roman" w:cs="Helvetica"/>
          <w:color w:val="575757"/>
          <w:sz w:val="24"/>
          <w:szCs w:val="24"/>
          <w:lang w:val="bg-BG"/>
        </w:rPr>
        <w:t xml:space="preserve"> 2021</w:t>
      </w:r>
      <w:r w:rsidR="001175AD" w:rsidRPr="001175AD">
        <w:rPr>
          <w:rFonts w:eastAsia="Times New Roman" w:cs="Helvetica"/>
          <w:color w:val="575757"/>
          <w:sz w:val="24"/>
          <w:szCs w:val="24"/>
          <w:lang w:val="bg-BG"/>
        </w:rPr>
        <w:t xml:space="preserve"> г</w:t>
      </w:r>
      <w:r w:rsidR="00B372F3" w:rsidRPr="001175AD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A00139" w:rsidRDefault="00C033D1" w:rsidP="00B372F3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5" w:name="6"/>
      <w:r w:rsidRPr="00A0013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Инициатива за оповестяване —</w:t>
      </w:r>
      <w:r w:rsidR="00A0013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</w:t>
      </w:r>
      <w:r w:rsidRPr="00A0013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дъщерни предприятия, които са МСП </w:t>
      </w:r>
      <w:r w:rsidR="00B372F3" w:rsidRPr="00A0013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="00EC0D06" w:rsidRPr="00A0013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B372F3" w:rsidRPr="00A00139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31)</w:t>
      </w:r>
      <w:bookmarkEnd w:id="5"/>
    </w:p>
    <w:p w:rsidR="00B372F3" w:rsidRPr="00A00139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На 16 декември 2020 г. Съветът проведе заседание, за да обсъди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B372F3" w:rsidRPr="00A00139" w:rsidRDefault="00B576B2" w:rsidP="00B372F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възможни изисквания с намалени оповестявания по отношение на застрахователни договори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="00EC0D06" w:rsidRPr="00A00139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31A;</w:t>
      </w:r>
    </w:p>
    <w:p w:rsidR="00B372F3" w:rsidRPr="00A00139" w:rsidRDefault="00B576B2" w:rsidP="00B372F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преход към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EC0D06" w:rsidRPr="00A0013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стандарт с намалени оповестявания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="00EC0D06" w:rsidRPr="00A00139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31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Б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B372F3" w:rsidRPr="00A00139" w:rsidRDefault="00B576B2" w:rsidP="00B372F3">
      <w:pPr>
        <w:numPr>
          <w:ilvl w:val="0"/>
          <w:numId w:val="4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обхват на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МСФО стандарта с намалени оповестявания 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—</w:t>
      </w:r>
      <w:r w:rsidR="00EC0D06" w:rsidRPr="00A00139">
        <w:rPr>
          <w:rFonts w:eastAsia="Times New Roman" w:cs="Helvetica"/>
          <w:color w:val="575757"/>
          <w:sz w:val="24"/>
          <w:szCs w:val="24"/>
          <w:lang w:val="bg-BG"/>
        </w:rPr>
        <w:t>Документ по програмата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31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В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A00139" w:rsidRDefault="00EC0D06" w:rsidP="00B372F3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A00139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>МСФО</w:t>
      </w:r>
      <w:r w:rsidR="00B372F3" w:rsidRPr="00A00139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 17</w:t>
      </w:r>
      <w:r w:rsidR="00B372F3"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 </w:t>
      </w:r>
      <w:r w:rsidR="00B576B2"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Застрахователни договори</w:t>
      </w:r>
      <w:r w:rsidR="00B372F3"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(</w:t>
      </w:r>
      <w:r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="00B576B2"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</w:t>
      </w:r>
      <w:r w:rsidR="00B372F3"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31A)</w:t>
      </w:r>
    </w:p>
    <w:p w:rsidR="00B372F3" w:rsidRPr="00A00139" w:rsidRDefault="00CB39D7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B576B2" w:rsidRPr="00A00139">
        <w:rPr>
          <w:rFonts w:eastAsia="Times New Roman" w:cs="Helvetica"/>
          <w:color w:val="575757"/>
          <w:sz w:val="24"/>
          <w:szCs w:val="24"/>
          <w:lang w:val="bg-BG"/>
        </w:rPr>
        <w:t>, че ако предложи МСФО стандарт с намалени оповестявания по отношение на дъщерните предприятия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="00B576B2" w:rsidRPr="00A00139">
        <w:rPr>
          <w:rFonts w:eastAsia="Times New Roman" w:cs="Helvetica"/>
          <w:color w:val="575757"/>
          <w:sz w:val="24"/>
          <w:szCs w:val="24"/>
          <w:lang w:val="bg-BG"/>
        </w:rPr>
        <w:t>консултационният документ не следва да предлага изисквания с намалени оповестявания по отношение на застрахователните договори, попадащи в обхвата на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EC0D06" w:rsidRPr="00A0013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="00B576B2"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17. </w:t>
      </w:r>
      <w:r w:rsidR="00B576B2" w:rsidRPr="00A00139">
        <w:rPr>
          <w:rFonts w:eastAsia="Times New Roman" w:cs="Helvetica"/>
          <w:color w:val="575757"/>
          <w:sz w:val="24"/>
          <w:szCs w:val="24"/>
          <w:lang w:val="bg-BG"/>
        </w:rPr>
        <w:t>Съветът ще потърси виждания във връзка с това свое решение като част от провежданото допитване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Девет от присъстващите дванадесет членове на Съвета изразиха съгласие с това решение. Един от членовете на Съвета отсъстваше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A00139" w:rsidRDefault="00A43BBF" w:rsidP="00B372F3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A00139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Преход към МСФО стандарт с намалени оповестявания </w:t>
      </w:r>
      <w:r w:rsidR="00B372F3"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(</w:t>
      </w:r>
      <w:r w:rsidR="00EC0D06"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</w:t>
      </w:r>
      <w:r w:rsidR="00B372F3"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31</w:t>
      </w:r>
      <w:r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Б</w:t>
      </w:r>
      <w:r w:rsidR="00B372F3"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)</w:t>
      </w:r>
    </w:p>
    <w:p w:rsidR="00B372F3" w:rsidRPr="00A00139" w:rsidRDefault="00CB39D7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Съветът реши в порядък на работна хипотеза</w:t>
      </w:r>
      <w:r w:rsidR="00A43BBF" w:rsidRPr="00A00139">
        <w:rPr>
          <w:rFonts w:eastAsia="Times New Roman" w:cs="Helvetica"/>
          <w:color w:val="575757"/>
          <w:sz w:val="24"/>
          <w:szCs w:val="24"/>
          <w:lang w:val="bg-BG"/>
        </w:rPr>
        <w:t>, че ако предложи МСФО стандарт с намалени оповестявания по отношение на дъщерните предприятия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B372F3" w:rsidRPr="00A00139" w:rsidRDefault="00A43BBF" w:rsidP="00B372F3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A00139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няма да предложи изменения в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EC0D06" w:rsidRPr="00A00139">
        <w:rPr>
          <w:rFonts w:eastAsia="Times New Roman" w:cs="Helvetica"/>
          <w:color w:val="575757"/>
          <w:sz w:val="24"/>
          <w:szCs w:val="24"/>
          <w:lang w:val="bg-BG"/>
        </w:rPr>
        <w:t>МСФО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1 </w:t>
      </w:r>
      <w:r w:rsidRPr="00A0013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Прилагане за първи път на Международните стандарти за финансово отчитане</w:t>
      </w:r>
      <w:r w:rsidR="00CB4B6D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,</w:t>
      </w:r>
      <w:r w:rsidRPr="00A00139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 xml:space="preserve"> 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нито ще включи преходни разпоредби в МСФО стандарта с намалени оповестявания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:rsidR="00B372F3" w:rsidRPr="00A00139" w:rsidRDefault="00A43BBF" w:rsidP="00B372F3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в първия финансов отчет, в който дъщерното предприятие спира да прилага МСФО стандарта с намалени оповестявания и започва да прилага МСФО стандартите с пълни оповестявания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по отношение на оповестяванията, които не са били включени във финансовия отчет за предходната година, ще се изискват сравнителни данни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;</w:t>
      </w:r>
    </w:p>
    <w:p w:rsidR="00B372F3" w:rsidRPr="00A00139" w:rsidRDefault="00A43BBF" w:rsidP="00B372F3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МСФО стандартът с намалени оповестявания може да бъде прилаган от отчитащото се предприятие „за първи път” повече от веднъж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например, когато дъщерното предприятие се премества от отчетна група, която изготвя финансовите си отчети</w:t>
      </w:r>
      <w:r w:rsidR="00A00139">
        <w:rPr>
          <w:rFonts w:eastAsia="Times New Roman" w:cs="Helvetica"/>
          <w:color w:val="575757"/>
          <w:sz w:val="24"/>
          <w:szCs w:val="24"/>
          <w:lang w:val="bg-BG"/>
        </w:rPr>
        <w:t>,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 като прилага МСФО стандартите</w:t>
      </w:r>
      <w:r w:rsidR="00CB4B6D">
        <w:rPr>
          <w:rFonts w:eastAsia="Times New Roman" w:cs="Helvetica"/>
          <w:color w:val="575757"/>
          <w:sz w:val="24"/>
          <w:szCs w:val="24"/>
          <w:lang w:val="bg-BG"/>
        </w:rPr>
        <w:t>,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 към група, която не прави това, но която впоследствие приема за прилагане МСФО стандартите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B372F3" w:rsidRPr="00A00139" w:rsidRDefault="00A43BBF" w:rsidP="00B372F3">
      <w:pPr>
        <w:numPr>
          <w:ilvl w:val="0"/>
          <w:numId w:val="5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МСФО стандартът с намалени оповестявания следва ясно да посочва, че неговото прилагане е по избор и че решението на предприятието да прилага този стандарт може да бъде </w:t>
      </w:r>
      <w:r w:rsidR="00CB4B6D">
        <w:rPr>
          <w:rFonts w:eastAsia="Times New Roman" w:cs="Helvetica"/>
          <w:color w:val="575757"/>
          <w:sz w:val="24"/>
          <w:szCs w:val="24"/>
          <w:lang w:val="bg-BG"/>
        </w:rPr>
        <w:t xml:space="preserve">обратно </w:t>
      </w:r>
      <w:bookmarkStart w:id="6" w:name="_GoBack"/>
      <w:bookmarkEnd w:id="6"/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променено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A00139" w:rsidRDefault="00CB39D7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Всичките присъстващи дванадесет членове на Съвета изразиха съгласие с тези решения. Един от членовете на Съвета отсъстваше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A00139" w:rsidRDefault="00A43BBF" w:rsidP="00B372F3">
      <w:pPr>
        <w:shd w:val="clear" w:color="auto" w:fill="FFFFFF"/>
        <w:spacing w:before="300" w:after="150" w:line="240" w:lineRule="auto"/>
        <w:outlineLvl w:val="2"/>
        <w:rPr>
          <w:rFonts w:eastAsia="Times New Roman" w:cs="Helvetica"/>
          <w:b/>
          <w:bCs/>
          <w:color w:val="333333"/>
          <w:sz w:val="24"/>
          <w:szCs w:val="24"/>
          <w:lang w:val="bg-BG"/>
        </w:rPr>
      </w:pPr>
      <w:r w:rsidRPr="00A00139">
        <w:rPr>
          <w:rFonts w:eastAsia="Times New Roman" w:cs="Helvetica"/>
          <w:b/>
          <w:bCs/>
          <w:i/>
          <w:iCs/>
          <w:color w:val="333333"/>
          <w:sz w:val="24"/>
          <w:szCs w:val="24"/>
          <w:lang w:val="bg-BG"/>
        </w:rPr>
        <w:t xml:space="preserve">Обхват на МСФО стандарта с намалени оповестявания </w:t>
      </w:r>
      <w:r w:rsidR="00B372F3"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(</w:t>
      </w:r>
      <w:r w:rsidR="00EC0D06"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Документ по програмата</w:t>
      </w:r>
      <w:r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 xml:space="preserve"> </w:t>
      </w:r>
      <w:r w:rsidR="00B372F3"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31</w:t>
      </w:r>
      <w:r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В</w:t>
      </w:r>
      <w:r w:rsidR="00B372F3" w:rsidRPr="00A00139">
        <w:rPr>
          <w:rFonts w:eastAsia="Times New Roman" w:cs="Helvetica"/>
          <w:b/>
          <w:bCs/>
          <w:color w:val="333333"/>
          <w:sz w:val="24"/>
          <w:szCs w:val="24"/>
          <w:lang w:val="bg-BG"/>
        </w:rPr>
        <w:t>)</w:t>
      </w:r>
    </w:p>
    <w:p w:rsidR="00B372F3" w:rsidRPr="00A00139" w:rsidRDefault="00A43BBF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Съветът обсъди обхвата на евентуален МСФО стандарт с намалени оповестявания по отношение на дъщерните предприятия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В частност Съветът обсъди дали обхватът следва да бъде разширен </w:t>
      </w:r>
      <w:r w:rsidR="00A00139" w:rsidRPr="00A00139">
        <w:rPr>
          <w:rFonts w:eastAsia="Times New Roman" w:cs="Helvetica"/>
          <w:color w:val="575757"/>
          <w:sz w:val="24"/>
          <w:szCs w:val="24"/>
          <w:lang w:val="bg-BG"/>
        </w:rPr>
        <w:t>отвъд дъщерните предприятия, които са МСП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A00139" w:rsidRDefault="00CB39D7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A00139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A00139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:rsidR="00B372F3" w:rsidRPr="00EC0D06" w:rsidRDefault="00A00139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През януари</w:t>
      </w:r>
      <w:r w:rsidR="00B372F3" w:rsidRPr="00A00139">
        <w:rPr>
          <w:rFonts w:eastAsia="Times New Roman" w:cs="Helvetica"/>
          <w:color w:val="575757"/>
          <w:sz w:val="24"/>
          <w:szCs w:val="24"/>
          <w:lang w:val="bg-BG"/>
        </w:rPr>
        <w:t xml:space="preserve"> 2021 </w:t>
      </w:r>
      <w:r w:rsidRPr="00A00139">
        <w:rPr>
          <w:rFonts w:eastAsia="Times New Roman" w:cs="Helvetica"/>
          <w:color w:val="575757"/>
          <w:sz w:val="24"/>
          <w:szCs w:val="24"/>
          <w:lang w:val="bg-BG"/>
        </w:rPr>
        <w:t>г. Съветът ще продължи обсъжданията си, по-специално във връзка с обхвата на възможен МСФО стандарт с намалени оповестявания</w:t>
      </w:r>
      <w:r w:rsidR="00B372F3" w:rsidRPr="00EC0D06">
        <w:rPr>
          <w:rFonts w:eastAsia="Times New Roman" w:cs="Helvetica"/>
          <w:color w:val="575757"/>
          <w:sz w:val="24"/>
          <w:szCs w:val="24"/>
        </w:rPr>
        <w:t>.</w:t>
      </w:r>
    </w:p>
    <w:p w:rsidR="00B372F3" w:rsidRPr="00B576B2" w:rsidRDefault="00C033D1" w:rsidP="00B372F3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7" w:name="7"/>
      <w:r w:rsidRPr="00B576B2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Финансови инструменти с характеристики на собствен капитал </w:t>
      </w:r>
      <w:r w:rsidR="00B372F3" w:rsidRPr="00B576B2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="00EC0D06" w:rsidRPr="00B576B2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B372F3" w:rsidRPr="00B576B2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5)</w:t>
      </w:r>
      <w:bookmarkEnd w:id="7"/>
    </w:p>
    <w:p w:rsidR="00B372F3" w:rsidRPr="00B576B2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На 16 декември 2020 г. Съветът проведе заседание, за да обсъди </w:t>
      </w:r>
      <w:r w:rsidR="00B576B2" w:rsidRPr="00B576B2">
        <w:rPr>
          <w:rFonts w:eastAsia="Times New Roman" w:cs="Helvetica"/>
          <w:color w:val="575757"/>
          <w:sz w:val="24"/>
          <w:szCs w:val="24"/>
          <w:lang w:val="bg-BG"/>
        </w:rPr>
        <w:t>дали да премести проекта, посветен на финансовите инструменти с характеристики на собствен капитал, от изследователската програма в програмата за изготвяне и въвеждане на стандарти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B576B2" w:rsidRDefault="00B576B2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Съветът реши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>:</w:t>
      </w:r>
    </w:p>
    <w:p w:rsidR="00B372F3" w:rsidRPr="00B576B2" w:rsidRDefault="00B576B2" w:rsidP="00B372F3">
      <w:pPr>
        <w:numPr>
          <w:ilvl w:val="0"/>
          <w:numId w:val="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да прибави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проекта, посветен на финансовите инструменти с характеристики на собствен капитал към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програмата си за изготвяне и въвеждане на стандарти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; </w:t>
      </w: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и</w:t>
      </w:r>
    </w:p>
    <w:p w:rsidR="00B372F3" w:rsidRPr="00B576B2" w:rsidRDefault="00B576B2" w:rsidP="00B372F3">
      <w:pPr>
        <w:numPr>
          <w:ilvl w:val="0"/>
          <w:numId w:val="6"/>
        </w:numPr>
        <w:shd w:val="clear" w:color="auto" w:fill="FFFFFF"/>
        <w:spacing w:before="75" w:after="75" w:line="240" w:lineRule="auto"/>
        <w:ind w:left="495"/>
        <w:rPr>
          <w:rFonts w:eastAsia="Times New Roman" w:cs="Helvetica"/>
          <w:color w:val="575757"/>
          <w:sz w:val="24"/>
          <w:szCs w:val="24"/>
          <w:lang w:val="bg-BG"/>
        </w:rPr>
      </w:pPr>
      <w:r w:rsidRPr="00B576B2">
        <w:rPr>
          <w:rFonts w:eastAsia="Times New Roman" w:cs="Helvetica"/>
          <w:color w:val="575757"/>
          <w:sz w:val="24"/>
          <w:szCs w:val="24"/>
          <w:lang w:val="bg-BG"/>
        </w:rPr>
        <w:lastRenderedPageBreak/>
        <w:t>да продължи да използва експертните знания и умения на консултативни органи, вместо да създава специална консултативна група във връзка с този проект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B576B2" w:rsidRDefault="00CB39D7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Всичките присъстващи дванадесет членове на Съвета изразиха съгласие с тези решения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Един от членовете на Съвета отсъстваше.</w:t>
      </w:r>
    </w:p>
    <w:p w:rsidR="00B372F3" w:rsidRPr="00B576B2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576B2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:rsidR="00B372F3" w:rsidRPr="00B576B2" w:rsidRDefault="00B576B2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На бъдещо свое заседание Съветът ще продължи обсъжданията на темите, включени в плана на проекта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, </w:t>
      </w: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които бяха дискутирани по време на заседанието на Съвета през октомври 2019 г.</w:t>
      </w:r>
    </w:p>
    <w:p w:rsidR="00B372F3" w:rsidRPr="00B576B2" w:rsidRDefault="00C033D1" w:rsidP="00B372F3">
      <w:pPr>
        <w:shd w:val="clear" w:color="auto" w:fill="FFFFFF"/>
        <w:spacing w:before="450" w:after="300" w:line="240" w:lineRule="auto"/>
        <w:outlineLvl w:val="1"/>
        <w:rPr>
          <w:rFonts w:eastAsia="Times New Roman" w:cs="Helvetica"/>
          <w:b/>
          <w:bCs/>
          <w:color w:val="333333"/>
          <w:sz w:val="34"/>
          <w:szCs w:val="34"/>
          <w:lang w:val="bg-BG"/>
        </w:rPr>
      </w:pPr>
      <w:bookmarkStart w:id="8" w:name="8"/>
      <w:r w:rsidRPr="00B576B2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Пенсионни доходи, които варират в зависимост от възвръщаемостта на активи </w:t>
      </w:r>
      <w:r w:rsidR="00B372F3" w:rsidRPr="00B576B2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(</w:t>
      </w:r>
      <w:r w:rsidR="00EC0D06" w:rsidRPr="00B576B2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>Документ по програмата</w:t>
      </w:r>
      <w:r w:rsidR="00B372F3" w:rsidRPr="00B576B2">
        <w:rPr>
          <w:rFonts w:eastAsia="Times New Roman" w:cs="Helvetica"/>
          <w:b/>
          <w:bCs/>
          <w:color w:val="CD3333"/>
          <w:sz w:val="34"/>
          <w:szCs w:val="34"/>
          <w:lang w:val="bg-BG"/>
        </w:rPr>
        <w:t xml:space="preserve"> 6)</w:t>
      </w:r>
      <w:bookmarkEnd w:id="8"/>
    </w:p>
    <w:p w:rsidR="00B372F3" w:rsidRPr="00B576B2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На 16 декември 2020 г. Съветът проведе заседание, за да обсъди </w:t>
      </w:r>
      <w:r w:rsidR="00C033D1" w:rsidRPr="00B576B2">
        <w:rPr>
          <w:rFonts w:eastAsia="Times New Roman" w:cs="Helvetica"/>
          <w:color w:val="575757"/>
          <w:sz w:val="24"/>
          <w:szCs w:val="24"/>
          <w:lang w:val="bg-BG"/>
        </w:rPr>
        <w:t>илюстративни примери за прилагане на подхода на горна граница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033D1" w:rsidRPr="00B576B2">
        <w:rPr>
          <w:rFonts w:eastAsia="Times New Roman" w:cs="Helvetica"/>
          <w:color w:val="575757"/>
          <w:sz w:val="24"/>
          <w:szCs w:val="24"/>
          <w:lang w:val="bg-BG"/>
        </w:rPr>
        <w:t>на пенсионни доходи, които варират в зависимост от възвръщаемостта на активи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C033D1" w:rsidRPr="00B576B2">
        <w:rPr>
          <w:rFonts w:eastAsia="Times New Roman" w:cs="Helvetica"/>
          <w:color w:val="575757"/>
          <w:sz w:val="24"/>
          <w:szCs w:val="24"/>
          <w:lang w:val="bg-BG"/>
        </w:rPr>
        <w:t>Този подход би поставил горна граница на прогнозата за парични потоци, които варират в зависимост от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C033D1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възвръщаемостта на активи по дисконтовия процент, посочен в </w:t>
      </w: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 19 </w:t>
      </w:r>
      <w:r w:rsidR="00C033D1" w:rsidRPr="00B576B2">
        <w:rPr>
          <w:rFonts w:eastAsia="Times New Roman" w:cs="Helvetica"/>
          <w:i/>
          <w:iCs/>
          <w:color w:val="575757"/>
          <w:sz w:val="24"/>
          <w:szCs w:val="24"/>
          <w:lang w:val="bg-BG"/>
        </w:rPr>
        <w:t>Доходи на наети лица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. </w:t>
      </w:r>
      <w:r w:rsidR="00C033D1" w:rsidRPr="00B576B2">
        <w:rPr>
          <w:rFonts w:eastAsia="Times New Roman" w:cs="Helvetica"/>
          <w:color w:val="575757"/>
          <w:sz w:val="24"/>
          <w:szCs w:val="24"/>
          <w:lang w:val="bg-BG"/>
        </w:rPr>
        <w:t>Съветът обсъди въпроса как този подход на поставяне на горна граница би повлиял върху резултата от прилагане на изискванията на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 19.</w:t>
      </w:r>
    </w:p>
    <w:p w:rsidR="00B372F3" w:rsidRPr="00B576B2" w:rsidRDefault="00C033D1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576B2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Образователна сесия</w:t>
      </w:r>
      <w:r w:rsidR="00B372F3" w:rsidRPr="00B576B2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—</w:t>
      </w:r>
      <w:r w:rsidRPr="00B576B2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илюстративни примери</w:t>
      </w:r>
    </w:p>
    <w:p w:rsidR="00B372F3" w:rsidRPr="00B576B2" w:rsidRDefault="00C033D1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Съветът разгледа илюстративни примери за сравняване на счетоводния резултат съгласно подхода на поставяне на горна граница със счетоводния резултат от прилагане на изискванията в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EC0D06" w:rsidRPr="00B576B2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 19.</w:t>
      </w:r>
    </w:p>
    <w:p w:rsidR="00B372F3" w:rsidRPr="00B576B2" w:rsidRDefault="00CB39D7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От Съвета не бе поискано да взема каквито и да е решения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>.</w:t>
      </w:r>
    </w:p>
    <w:p w:rsidR="00B372F3" w:rsidRPr="00B576B2" w:rsidRDefault="00EC0D06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  <w:lang w:val="bg-BG"/>
        </w:rPr>
      </w:pPr>
      <w:r w:rsidRPr="00B576B2">
        <w:rPr>
          <w:rFonts w:eastAsia="Times New Roman" w:cs="Helvetica"/>
          <w:b/>
          <w:bCs/>
          <w:i/>
          <w:iCs/>
          <w:color w:val="575757"/>
          <w:sz w:val="24"/>
          <w:szCs w:val="24"/>
          <w:lang w:val="bg-BG"/>
        </w:rPr>
        <w:t>Следващ етап</w:t>
      </w:r>
    </w:p>
    <w:p w:rsidR="00B372F3" w:rsidRPr="00EC0D06" w:rsidRDefault="00B576B2" w:rsidP="00B372F3">
      <w:pPr>
        <w:shd w:val="clear" w:color="auto" w:fill="FFFFFF"/>
        <w:spacing w:after="300" w:line="240" w:lineRule="auto"/>
        <w:rPr>
          <w:rFonts w:eastAsia="Times New Roman" w:cs="Helvetica"/>
          <w:color w:val="575757"/>
          <w:sz w:val="24"/>
          <w:szCs w:val="24"/>
        </w:rPr>
      </w:pP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През февруари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 2021 </w:t>
      </w: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г. Съветът очаква да приключи прегледа си във връзка с извършеното проучване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Pr="00B576B2">
        <w:rPr>
          <w:rFonts w:eastAsia="Times New Roman" w:cs="Helvetica"/>
          <w:color w:val="575757"/>
          <w:sz w:val="24"/>
          <w:szCs w:val="24"/>
          <w:lang w:val="bg-BG"/>
        </w:rPr>
        <w:t>и да обсъди първоначален анализ на начина, по който подходът на поставяне на горна граница би могъл да бъде въведен в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 </w:t>
      </w:r>
      <w:r w:rsidR="00EC0D06" w:rsidRPr="00B576B2">
        <w:rPr>
          <w:rFonts w:eastAsia="Times New Roman" w:cs="Helvetica"/>
          <w:color w:val="575757"/>
          <w:sz w:val="24"/>
          <w:szCs w:val="24"/>
          <w:lang w:val="bg-BG"/>
        </w:rPr>
        <w:t>МСС</w:t>
      </w:r>
      <w:r w:rsidR="00B372F3" w:rsidRPr="00B576B2">
        <w:rPr>
          <w:rFonts w:eastAsia="Times New Roman" w:cs="Helvetica"/>
          <w:color w:val="575757"/>
          <w:sz w:val="24"/>
          <w:szCs w:val="24"/>
          <w:lang w:val="bg-BG"/>
        </w:rPr>
        <w:t xml:space="preserve"> 19</w:t>
      </w:r>
      <w:r w:rsidR="00B372F3" w:rsidRPr="00EC0D06">
        <w:rPr>
          <w:rFonts w:eastAsia="Times New Roman" w:cs="Helvetica"/>
          <w:color w:val="575757"/>
          <w:sz w:val="24"/>
          <w:szCs w:val="24"/>
        </w:rPr>
        <w:t>.</w:t>
      </w:r>
    </w:p>
    <w:p w:rsidR="00813EB2" w:rsidRPr="00EC0D06" w:rsidRDefault="00813EB2"/>
    <w:sectPr w:rsidR="00813EB2" w:rsidRPr="00EC0D06" w:rsidSect="00C1272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F6A10"/>
    <w:multiLevelType w:val="multilevel"/>
    <w:tmpl w:val="3FC0F7D4"/>
    <w:lvl w:ilvl="0">
      <w:start w:val="1"/>
      <w:numFmt w:val="russianLow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61F20"/>
    <w:multiLevelType w:val="multilevel"/>
    <w:tmpl w:val="96EA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45937"/>
    <w:multiLevelType w:val="multilevel"/>
    <w:tmpl w:val="9400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16592F"/>
    <w:multiLevelType w:val="multilevel"/>
    <w:tmpl w:val="55A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F53E6"/>
    <w:multiLevelType w:val="multilevel"/>
    <w:tmpl w:val="D44C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B940CD"/>
    <w:multiLevelType w:val="multilevel"/>
    <w:tmpl w:val="906C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72F3"/>
    <w:rsid w:val="00023565"/>
    <w:rsid w:val="001175AD"/>
    <w:rsid w:val="00555B34"/>
    <w:rsid w:val="00813EB2"/>
    <w:rsid w:val="009B7356"/>
    <w:rsid w:val="00A00139"/>
    <w:rsid w:val="00A43BBF"/>
    <w:rsid w:val="00B372F3"/>
    <w:rsid w:val="00B576B2"/>
    <w:rsid w:val="00C033D1"/>
    <w:rsid w:val="00C12728"/>
    <w:rsid w:val="00CB39D7"/>
    <w:rsid w:val="00CB4B6D"/>
    <w:rsid w:val="00E5012D"/>
    <w:rsid w:val="00EC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A418-6B76-43A3-9B48-21C543AF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728"/>
  </w:style>
  <w:style w:type="paragraph" w:styleId="Heading1">
    <w:name w:val="heading 1"/>
    <w:basedOn w:val="Normal"/>
    <w:next w:val="Normal"/>
    <w:link w:val="Heading1Char"/>
    <w:uiPriority w:val="9"/>
    <w:qFormat/>
    <w:rsid w:val="00B37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70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6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15" w:color="C6C6C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5895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rs.org/news-and-events/updates/iasb-updates/december-2020/" TargetMode="External"/><Relationship Id="rId13" Type="http://schemas.openxmlformats.org/officeDocument/2006/relationships/hyperlink" Target="https://www.ifrs.org/news-and-events/updates/iasb-updates/december-20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rs.org/news-and-events/updates/iasb-updates/december-2020/" TargetMode="External"/><Relationship Id="rId12" Type="http://schemas.openxmlformats.org/officeDocument/2006/relationships/hyperlink" Target="https://www.ifrs.org/news-and-events/updates/iasb-updates/december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rs.org/news-and-events/updates/iasb-updates/december-2020/" TargetMode="External"/><Relationship Id="rId11" Type="http://schemas.openxmlformats.org/officeDocument/2006/relationships/hyperlink" Target="https://www.ifrs.org/news-and-events/updates/iasb-updates/december-2020/" TargetMode="External"/><Relationship Id="rId5" Type="http://schemas.openxmlformats.org/officeDocument/2006/relationships/hyperlink" Target="https://www.ifrs.org/news-and-events/calendar/2020/december/international-accounting-standards-board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ifrs.org/news-and-events/updates/iasb-updates/december-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frs.org/news-and-events/updates/iasb-updates/december-20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1699</Words>
  <Characters>9842</Characters>
  <Application>Microsoft Office Word</Application>
  <DocSecurity>0</DocSecurity>
  <Lines>192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Svetoslava Velinova</dc:creator>
  <cp:keywords/>
  <dc:description/>
  <cp:lastModifiedBy>VS</cp:lastModifiedBy>
  <cp:revision>3</cp:revision>
  <dcterms:created xsi:type="dcterms:W3CDTF">2021-02-04T08:00:00Z</dcterms:created>
  <dcterms:modified xsi:type="dcterms:W3CDTF">2021-02-04T13:24:00Z</dcterms:modified>
</cp:coreProperties>
</file>