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0F" w:rsidRPr="002D5931" w:rsidRDefault="006C54FD" w:rsidP="00DA4D0F">
      <w:pPr>
        <w:pStyle w:val="Heading1"/>
        <w:shd w:val="clear" w:color="auto" w:fill="A41F35"/>
        <w:spacing w:before="0"/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  <w:lang w:val="bg-BG"/>
        </w:rPr>
      </w:pPr>
      <w:r w:rsidRPr="002D5931"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  <w:lang w:val="bg-BG"/>
        </w:rPr>
        <w:t>Информационен бюлетин на Съвета по международни счетоводни стандарти (IASB) – ноември 2020 г.</w:t>
      </w:r>
    </w:p>
    <w:p w:rsidR="00DA4D0F" w:rsidRPr="002D5931" w:rsidRDefault="00DA4D0F" w:rsidP="00DA4D0F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</w:pPr>
      <w:r w:rsidRPr="002D5931">
        <w:rPr>
          <w:rFonts w:eastAsia="Times New Roman" w:cs="Helvetica"/>
          <w:b/>
          <w:bCs/>
          <w:color w:val="FFFFFF"/>
          <w:kern w:val="36"/>
          <w:sz w:val="58"/>
          <w:szCs w:val="58"/>
          <w:lang w:val="bg-BG"/>
        </w:rPr>
        <w:t>ovember 2020</w:t>
      </w:r>
    </w:p>
    <w:p w:rsidR="00DA4D0F" w:rsidRPr="002D5931" w:rsidRDefault="006C54FD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Настоящият бюлетин на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Съвета по международни счетоводни стандарти (IASB) (”Съветът”) представя предварителните решения на Съвета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Окончателните решения на Съвета по международни счетоводни стандарти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: МСФО стандарти (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2D5931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 Standards), Изменения и Разяснения (IFRIC</w:t>
      </w:r>
      <w:r w:rsidRPr="002D5931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 Interpretations) се подлагат на официално гласуване, съгласно предвиденото в </w:t>
      </w:r>
      <w:r w:rsidRPr="002D5931">
        <w:rPr>
          <w:rFonts w:eastAsia="Times New Roman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 Фондация МСФО (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2D5931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Foundation) и Комитета по разясненията на МСФО (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Interpretation Committee)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 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br/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br/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проведе дистанционн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о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заседани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е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 </w:t>
      </w:r>
      <w:hyperlink r:id="rId5" w:history="1"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18 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ноември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2020</w:t>
        </w:r>
      </w:hyperlink>
      <w:r w:rsidR="00A47656" w:rsidRPr="002D5931">
        <w:rPr>
          <w:lang w:val="bg-BG"/>
        </w:rPr>
        <w:t xml:space="preserve"> 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4765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0D7283" w:rsidP="00DA4D0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6" w:anchor="1" w:history="1"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Работна </w:t>
        </w:r>
        <w:proofErr w:type="gramStart"/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програма на Съвета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—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Прегледи след въвеждане и обществено допитване във връзка с програмата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Документ по програмата</w:t>
        </w:r>
        <w:proofErr w:type="gramEnd"/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8)</w:t>
        </w:r>
      </w:hyperlink>
    </w:p>
    <w:p w:rsidR="00DA4D0F" w:rsidRPr="002D5931" w:rsidRDefault="000D7283" w:rsidP="00DA4D0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7" w:anchor="2" w:history="1"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 на стандартите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Документи по програмата 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12–12A)</w:t>
        </w:r>
      </w:hyperlink>
    </w:p>
    <w:p w:rsidR="00DA4D0F" w:rsidRPr="002D5931" w:rsidRDefault="000D7283" w:rsidP="00DA4D0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8" w:anchor="3" w:history="1"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Инициатива за оповестяване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—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дъщерни предприятия, които са МСП 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(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Документ по програмата 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31)</w:t>
        </w:r>
      </w:hyperlink>
    </w:p>
    <w:p w:rsidR="00DA4D0F" w:rsidRPr="002D5931" w:rsidRDefault="000D7283" w:rsidP="00DA4D0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9" w:anchor="4" w:history="1"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Коментар на ръководството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Документ по програмата 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15)</w:t>
        </w:r>
      </w:hyperlink>
    </w:p>
    <w:p w:rsidR="00DA4D0F" w:rsidRPr="002D5931" w:rsidRDefault="000D7283" w:rsidP="00DA4D0F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hyperlink r:id="rId10" w:anchor="5" w:history="1"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Преглед след въвеждане на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10, 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11 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МСФО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12 (</w:t>
        </w:r>
        <w:r w:rsidR="00A47656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Документ по програмата </w:t>
        </w:r>
        <w:r w:rsidR="00DA4D0F" w:rsidRPr="002D593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7)</w:t>
        </w:r>
      </w:hyperlink>
    </w:p>
    <w:p w:rsidR="00DA4D0F" w:rsidRPr="002D5931" w:rsidRDefault="007031A5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>
        <w:rPr>
          <w:rFonts w:eastAsia="Times New Roman" w:cs="Helvetica"/>
          <w:color w:val="575757"/>
          <w:sz w:val="24"/>
          <w:szCs w:val="24"/>
          <w:lang w:val="bg-BG"/>
        </w:rPr>
        <w:t>Наред с това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proofErr w:type="gramStart"/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по международни счетоводни стандарти (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IASB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) проведе на 19 ноември 2020 г. съвместно дистанционно заседания заедно със Съвета</w:t>
      </w:r>
      <w:proofErr w:type="gramEnd"/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по финансово-счетоводни стандарти на САЩ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(FASB)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4765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A47656" w:rsidP="00DA4D0F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Репутация и обезценка</w:t>
      </w:r>
    </w:p>
    <w:p w:rsidR="00DA4D0F" w:rsidRPr="002D5931" w:rsidRDefault="00A47656" w:rsidP="00DA4D0F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Лизинг, различен от такъв, засегнат от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covid-19</w:t>
      </w:r>
    </w:p>
    <w:p w:rsidR="00DA4D0F" w:rsidRPr="002D5931" w:rsidRDefault="00DA4D0F" w:rsidP="00DA4D0F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Covid-19</w:t>
      </w:r>
    </w:p>
    <w:p w:rsidR="00DA4D0F" w:rsidRPr="002D5931" w:rsidRDefault="00A47656" w:rsidP="00DA4D0F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Финансиране веригата на доставките</w:t>
      </w:r>
    </w:p>
    <w:p w:rsidR="00DA4D0F" w:rsidRPr="002D5931" w:rsidRDefault="00A47656" w:rsidP="00DA4D0F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lastRenderedPageBreak/>
        <w:t xml:space="preserve">Допълнителна </w:t>
      </w:r>
      <w:proofErr w:type="gramStart"/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информация</w:t>
      </w:r>
      <w:proofErr w:type="gramEnd"/>
    </w:p>
    <w:p w:rsidR="00DA4D0F" w:rsidRPr="002D5931" w:rsidRDefault="00A47656" w:rsidP="00DA4D0F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DA4D0F" w:rsidP="00DA4D0F">
      <w:pPr>
        <w:numPr>
          <w:ilvl w:val="0"/>
          <w:numId w:val="3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14–18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декември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DA4D0F" w:rsidRPr="002D5931" w:rsidRDefault="00DA4D0F" w:rsidP="00DA4D0F">
      <w:pPr>
        <w:numPr>
          <w:ilvl w:val="0"/>
          <w:numId w:val="3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25–26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DA4D0F" w:rsidRPr="002D5931" w:rsidRDefault="00DA4D0F" w:rsidP="00DA4D0F">
      <w:pPr>
        <w:numPr>
          <w:ilvl w:val="0"/>
          <w:numId w:val="3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15–19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февруари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DA4D0F" w:rsidRPr="002D5931" w:rsidRDefault="00AA2D2D" w:rsidP="00DA4D0F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0" w:name="1"/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Работна </w:t>
      </w:r>
      <w:proofErr w:type="gramStart"/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програма на Съвета—Прегледи след въвеждане и обществено допитване във връзка с програмата 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proofErr w:type="gramEnd"/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8)</w:t>
      </w:r>
      <w:bookmarkEnd w:id="0"/>
    </w:p>
    <w:p w:rsidR="00DA4D0F" w:rsidRPr="002D5931" w:rsidRDefault="00175445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 18 ноември 2020 г. Съветът проведе заседание, за да </w:t>
      </w:r>
      <w:r w:rsidR="0017726C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разгледа допълнително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сроковете във връзка с Прегледите след въвеждане на изискванията за обезценка и счетоводно отчитане на хеджиране в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9 </w:t>
      </w:r>
      <w:r w:rsidR="00B7657C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Финансови инструменти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15 </w:t>
      </w:r>
      <w:r w:rsidR="00B7657C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Приходи от договори с клиенти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B7657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реши, че не е необходимо да търси изрично обратна информация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началните дати на прегледите след въвеждане в Искането за предоставяне на информация във връзка с общественото допитване относно програмата на Съвета 2020 г.</w:t>
      </w:r>
    </w:p>
    <w:p w:rsidR="00DA4D0F" w:rsidRPr="002D5931" w:rsidRDefault="00D446B9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решение.</w:t>
      </w:r>
    </w:p>
    <w:p w:rsidR="00DA4D0F" w:rsidRPr="002D5931" w:rsidRDefault="00B7657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да преразгледа началните дати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прегледите след въвеждане през втората половина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D446B9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4765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A4D0F" w:rsidRPr="002D5931" w:rsidRDefault="00B7657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ще разгледа сроковете във връзка 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прегледите след въвеждане през втората половина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година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A2D2D" w:rsidP="00DA4D0F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1" w:name="2"/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Поддържане и последователно прилагане на стандартите 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Документи по програмата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12–12A)</w:t>
      </w:r>
      <w:bookmarkEnd w:id="1"/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 18 ноември 2020 г. Съветът проведе заседание, за да обсъди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следните теми, свързани с поддържането и последователното прилагане на стандартите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243045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lastRenderedPageBreak/>
        <w:t xml:space="preserve">Отсрочен данък, свързан с активи и пасиви, произтичащи от една и съща сделка </w:t>
      </w:r>
      <w:r w:rsidR="007031A5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или </w:t>
      </w:r>
      <w:proofErr w:type="gramStart"/>
      <w:r w:rsidR="007031A5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операция</w:t>
      </w:r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(изменение</w:t>
      </w:r>
      <w:proofErr w:type="gramEnd"/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в МСС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12) (</w:t>
      </w:r>
      <w:r w:rsidR="00A47656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12A)</w:t>
      </w:r>
    </w:p>
    <w:p w:rsidR="00DA4D0F" w:rsidRPr="002D5931" w:rsidRDefault="00243045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обсъди датата на влизане в сила на измененията в МСС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12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Данъци върху дохода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обсъди също така и регламентираната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процедура, включително разрешението за пристъпване към процедурата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по гласуване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243045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Измененията стесняват обхвата на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изключението от изискванията за признаване в параграфи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15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24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на МСС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12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, така че изключението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няма да се прилага по отношение на сделки и операции, които пораждат равни по сума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 компенсиращи се временни разлики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243045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Дата на влизане в </w:t>
      </w:r>
      <w:proofErr w:type="gramStart"/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сила</w:t>
      </w:r>
      <w:proofErr w:type="gramEnd"/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хипотеза, че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243045" w:rsidRPr="002D5931">
        <w:rPr>
          <w:rFonts w:eastAsia="Times New Roman" w:cs="Helvetica"/>
          <w:color w:val="575757"/>
          <w:sz w:val="24"/>
          <w:szCs w:val="24"/>
          <w:lang w:val="bg-BG"/>
        </w:rPr>
        <w:t>предприятията следва да прилагат измененията за годишни периоди, започващи на или след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 </w:t>
      </w:r>
      <w:r w:rsidR="00243045" w:rsidRPr="002D5931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2023</w:t>
      </w:r>
      <w:r w:rsidR="00243045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243045" w:rsidRPr="002D5931">
        <w:rPr>
          <w:rFonts w:eastAsia="Times New Roman" w:cs="Helvetica"/>
          <w:color w:val="575757"/>
          <w:sz w:val="24"/>
          <w:szCs w:val="24"/>
          <w:lang w:val="bg-BG"/>
        </w:rPr>
        <w:t>като по-ранното прилагане е разрешено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D446B9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243045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Регламентирана </w:t>
      </w:r>
      <w:proofErr w:type="gramStart"/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процедура</w:t>
      </w:r>
      <w:proofErr w:type="gramEnd"/>
    </w:p>
    <w:p w:rsidR="00DA4D0F" w:rsidRPr="002D5931" w:rsidRDefault="00243045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се съгласи, че измененията не изискват представяне за повторно обсъждане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D446B9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243045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тринадесет членове на </w:t>
      </w:r>
      <w:proofErr w:type="gramStart"/>
      <w:r w:rsidR="007031A5" w:rsidRPr="002D5931">
        <w:rPr>
          <w:rFonts w:eastAsia="Times New Roman" w:cs="Helvetica"/>
          <w:color w:val="575757"/>
          <w:sz w:val="24"/>
          <w:szCs w:val="24"/>
          <w:lang w:val="bg-BG"/>
        </w:rPr>
        <w:t>Съвета потвърдиха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, че са се уверили, че Съветът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е изпълнил приложимите изисквания на регламентираната процедура и е осъществил достатъчно консултации и анализи, за да се пристъпи към процедурата по гласуване на измененията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243045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Нито един от членовете на Съвета не даде индикации, че възнамерява да изрази несъгласие с публикуването на </w:t>
      </w:r>
      <w:r w:rsidR="00CC7F06" w:rsidRPr="002D5931">
        <w:rPr>
          <w:rFonts w:eastAsia="Times New Roman" w:cs="Helvetica"/>
          <w:color w:val="575757"/>
          <w:sz w:val="24"/>
          <w:szCs w:val="24"/>
          <w:lang w:val="bg-BG"/>
        </w:rPr>
        <w:t>тези изменения.</w:t>
      </w:r>
    </w:p>
    <w:p w:rsidR="00DA4D0F" w:rsidRPr="002D5931" w:rsidRDefault="00A4765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A4D0F" w:rsidRPr="002D5931" w:rsidRDefault="00CC7F0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издаде измененията през второто тримесечие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A2D2D" w:rsidP="00DA4D0F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2" w:name="3"/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Инициатива за оповестяване—дъщерни предприятия, които са МСП 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31)</w:t>
      </w:r>
      <w:bookmarkEnd w:id="2"/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 18 ноември 2020 г. Съветът проведе заседание, за да обсъди </w:t>
      </w:r>
      <w:r w:rsidR="00CC7F06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въпроси, произтичащи от анализа на това дали са необходими адаптации на изискванията за оповестяване в стандарта </w:t>
      </w:r>
      <w:r w:rsidR="00A47656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DA4D0F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CC7F06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 МСП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CC7F06" w:rsidRPr="002D5931">
        <w:rPr>
          <w:rFonts w:eastAsia="Times New Roman" w:cs="Helvetica"/>
          <w:color w:val="575757"/>
          <w:sz w:val="24"/>
          <w:szCs w:val="24"/>
          <w:lang w:val="bg-BG"/>
        </w:rPr>
        <w:t>а именно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CC7F06" w:rsidP="00DA4D0F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lastRenderedPageBreak/>
        <w:t>Изключения от процеса по адаптиране на изискванията за оповестяване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31A;</w:t>
      </w:r>
    </w:p>
    <w:p w:rsidR="00DA4D0F" w:rsidRPr="002D5931" w:rsidRDefault="00CC7F06" w:rsidP="00DA4D0F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Кога да бъдат разглеждани изискванията за оповестяване по отношение на нови и изменени МС</w:t>
      </w:r>
      <w:r w:rsidR="00A47656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ФО</w:t>
      </w:r>
      <w:r w:rsidR="007031A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7031A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стандарти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31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A4D0F" w:rsidRPr="002D5931" w:rsidRDefault="00CC7F06" w:rsidP="00DA4D0F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Пропуснати теми и специализирани дейности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31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CC7F06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Изключения от процеса по адаптиране на изискванията за оповестяване 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A47656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8D69BD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31A)</w:t>
      </w:r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хипотеза, че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8D69BD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ако предложи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8D69BD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proofErr w:type="gramStart"/>
      <w:r w:rsidR="008D69BD" w:rsidRPr="002D5931">
        <w:rPr>
          <w:rFonts w:eastAsia="Times New Roman" w:cs="Helvetica"/>
          <w:color w:val="575757"/>
          <w:sz w:val="24"/>
          <w:szCs w:val="24"/>
          <w:lang w:val="bg-BG"/>
        </w:rPr>
        <w:t>стандарт с ограничени оповестявания по отношение на дъщерните предприятия, предложеният стандарт</w:t>
      </w:r>
      <w:proofErr w:type="gramEnd"/>
      <w:r w:rsidR="008D69BD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ще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8D69BD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изключва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изискванията за оповестяване в параграфи 1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9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(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19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Д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–19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Ж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12 </w:t>
      </w: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Оповестяване на участия в други предприятия 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>по отношение на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инвестиционни предприятия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Седем от тринадесетте членове на Съвета изразиха съгласие с това решение.</w:t>
      </w:r>
    </w:p>
    <w:p w:rsidR="00DA4D0F" w:rsidRPr="002D5931" w:rsidRDefault="008D69BD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изисква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равнение между началното и крайното салдо на пасиви, произтичащи от финансови дейности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Седем от тринадесетте членове на Съвета изразиха съгласие с това решение.</w:t>
      </w:r>
    </w:p>
    <w:p w:rsidR="00DA4D0F" w:rsidRPr="002D5931" w:rsidRDefault="008D69BD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изисква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оповестяването, препоръчано в Приложение Б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Документа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по програмата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31A.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Приложение Б изброява изискванията за оповестяване, въведени в нови и изменение МСФО стандарти, с които стандартът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DA4D0F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за МСП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понастоящем не е в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съответствие, 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 xml:space="preserve">и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които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 xml:space="preserve">изисквания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членовете на Съвета препоръчват да бъдат включени в МСФО стандарта с ограничени оповестявания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Девет от тринадесетте членове на Съвета изразиха съгласие с това решение.</w:t>
      </w:r>
    </w:p>
    <w:p w:rsidR="00DA4D0F" w:rsidRPr="002D5931" w:rsidRDefault="008D69BD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изисква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дъщерните предприятия да прилагат параграф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25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6 </w:t>
      </w: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Проучване и оценяване на минерални ресурси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Десет от тринадесетте членове на Съвета изразиха съгласие с това решение.</w:t>
      </w:r>
    </w:p>
    <w:p w:rsidR="00DA4D0F" w:rsidRPr="002D5931" w:rsidRDefault="008D69BD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изисква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дъщерните предприятия да прилагат параграфи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20.13(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11.42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от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 за МСП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също така, че ще разгледа въпроса дали да хармонизира изискванията за оповестяване по отношение на всички финансови пасиви като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част от Втория всеобхватен преглед на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 за МСП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а не като част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от проекта „Дъщерни предприятия, които са МСП”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Единадесет от тринадесетте членове на Съвета изразиха съгласие с тези решения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8D69BD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включва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разширена версия на параграф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28.41(</w:t>
      </w:r>
      <w:r w:rsidR="00016D11" w:rsidRPr="002D5931">
        <w:rPr>
          <w:rFonts w:eastAsia="Times New Roman" w:cs="Helvetica"/>
          <w:color w:val="575757"/>
          <w:sz w:val="24"/>
          <w:szCs w:val="24"/>
          <w:lang w:val="bg-BG"/>
        </w:rPr>
        <w:t>д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="00016D11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от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 за МСП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Десет от тринадесетте членове на Съвета изразиха съгласие с това решение.</w:t>
      </w:r>
    </w:p>
    <w:p w:rsidR="00DA4D0F" w:rsidRPr="002D5931" w:rsidRDefault="00016D11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изключва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целите на оповестяването в МСФО стандартите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Десет от тринадесетте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016D11" w:rsidP="00DA4D0F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по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отношение на изискванията за оповестяване на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 за МСП</w:t>
      </w: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,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които не са включени в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стандартите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016D11" w:rsidP="00DA4D0F">
      <w:pPr>
        <w:numPr>
          <w:ilvl w:val="1"/>
          <w:numId w:val="5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изключва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параграфи 2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8.41(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ж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15.19(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от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 за МСП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DA4D0F" w:rsidRPr="002D5931" w:rsidRDefault="00016D11" w:rsidP="00DA4D0F">
      <w:pPr>
        <w:numPr>
          <w:ilvl w:val="1"/>
          <w:numId w:val="5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изисква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дъщерните предприятия да прилагат адаптирана версия на параграф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20.14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от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 за МСП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DA4D0F" w:rsidRPr="002D5931" w:rsidRDefault="00016D11" w:rsidP="00DA4D0F">
      <w:pPr>
        <w:numPr>
          <w:ilvl w:val="1"/>
          <w:numId w:val="5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включва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облекченията в параграфи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17A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18A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от МСС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24 </w:t>
      </w: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Оповестяване на свързани лица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A4D0F" w:rsidRPr="002D5931" w:rsidRDefault="00016D11" w:rsidP="00DA4D0F">
      <w:pPr>
        <w:numPr>
          <w:ilvl w:val="1"/>
          <w:numId w:val="5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изисква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дъщерните предприятия да прилагат параграфи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28.42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28.43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и адаптирана версия на параграф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3.25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от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 за МСП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D446B9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Седем от тринадесетте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CC7F06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Кога да бъдат разглеждани изискванията за оповестяване по отношение на нови и изменени МСФО</w:t>
      </w:r>
      <w:r w:rsidR="00016D11"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стандарти 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A47656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16D11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</w:t>
      </w:r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Б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хипотеза, че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016D11" w:rsidRPr="002D5931">
        <w:rPr>
          <w:rFonts w:eastAsia="Times New Roman" w:cs="Helvetica"/>
          <w:color w:val="575757"/>
          <w:sz w:val="24"/>
          <w:szCs w:val="24"/>
          <w:lang w:val="bg-BG"/>
        </w:rPr>
        <w:t>ако предложи МСФО стандарт с ограничени оповестявания по отношение на дъщерните предприятия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016D11" w:rsidP="00DA4D0F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отграничителната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дата за съдържанието, което да бъде включено в консултационния документ следва да включва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стандарти и КРМСФО 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>Р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азяснения, издадени към 1 януари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г. и проекти за обсъждане, публикувани към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януари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 изключение на Проекта за обсъждане </w:t>
      </w: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Общо представяне и оповестявания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016D11" w:rsidP="00DA4D0F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ще </w:t>
      </w:r>
      <w:r w:rsidR="007031A5" w:rsidRPr="002D5931">
        <w:rPr>
          <w:rFonts w:eastAsia="Times New Roman" w:cs="Helvetica"/>
          <w:color w:val="575757"/>
          <w:sz w:val="24"/>
          <w:szCs w:val="24"/>
          <w:lang w:val="bg-BG"/>
        </w:rPr>
        <w:t>разглежда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изменения в МСФО стандарта с ограничени оповестявания, когато Съветът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публикува проект за обсъждане на нов или изменен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стандарт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CC7F06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Пропуснати теми и специализирани дейности 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A47656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016D11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</w:t>
      </w:r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В</w:t>
      </w:r>
      <w:r w:rsidR="00DA4D0F"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реши в порядък на работна хипотеза, </w:t>
      </w:r>
      <w:r w:rsidR="00016D11" w:rsidRPr="002D5931">
        <w:rPr>
          <w:rFonts w:eastAsia="Times New Roman" w:cs="Helvetica"/>
          <w:color w:val="575757"/>
          <w:sz w:val="24"/>
          <w:szCs w:val="24"/>
          <w:lang w:val="bg-BG"/>
        </w:rPr>
        <w:t>че ако предложи МСФО стандарт с ограничени оповестявания по отношение на дъщерните предприятия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016D11" w:rsidP="00DA4D0F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дъщерно предприятие, прилагащо стандарта, което избере да оповестява </w:t>
      </w:r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нетна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печалба на акция, следва да се изисква да прилага изискванията за оповестяване 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МСС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33</w:t>
      </w:r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8A336E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Нетна печалба на акция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8A336E" w:rsidP="00DA4D0F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стандартът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следва да включва адаптирана версия на изискванията за оповестяване на МСС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34 </w:t>
      </w:r>
      <w:r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Междинно финансово отчитане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8A336E" w:rsidP="00DA4D0F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когато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е налице повече от един клас акционерен капитал, стандартът следва да изисква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дъщерното предприятие да оповестява в междинния финансов отчет и годишния финансов отчет платените дивиденти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8A336E" w:rsidP="00DA4D0F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стандартът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следва да включва изисквания за оповестяване, извлечени от прилагането на параграф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ОЗ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157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 стандарта 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МСФО за МСП </w:t>
      </w:r>
      <w:bookmarkStart w:id="3" w:name="_GoBack"/>
      <w:bookmarkEnd w:id="3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по отношение на салда по сметки за отсрочени регулаторни разчети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</w:t>
      </w:r>
      <w:r w:rsidR="00B7657C" w:rsidRPr="002D5931">
        <w:rPr>
          <w:rFonts w:eastAsia="Times New Roman" w:cs="Helvetica"/>
          <w:color w:val="575757"/>
          <w:sz w:val="24"/>
          <w:szCs w:val="24"/>
          <w:lang w:val="bg-BG"/>
        </w:rPr>
        <w:t>тринадесет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4765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lastRenderedPageBreak/>
        <w:t xml:space="preserve">Следващ </w:t>
      </w:r>
      <w:proofErr w:type="gramStart"/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A4D0F" w:rsidRPr="002D5931" w:rsidRDefault="000661E2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През декември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2020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г. Съветът ще продължи да обсъжда въпроси, произтичащи от разработването на анализа на адаптациите на изискванията за оповестяване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A2D2D" w:rsidP="00DA4D0F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4" w:name="4"/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Коментар на ръководството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15)</w:t>
      </w:r>
      <w:bookmarkEnd w:id="4"/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 18 ноември 2020 г. Съветът проведе заседание, за да обсъди </w:t>
      </w:r>
      <w:r w:rsidR="000661E2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предложения за преработено </w:t>
      </w:r>
      <w:proofErr w:type="gramStart"/>
      <w:r w:rsidR="000661E2" w:rsidRPr="002D5931">
        <w:rPr>
          <w:rFonts w:eastAsia="Times New Roman" w:cs="Helvetica"/>
          <w:color w:val="575757"/>
          <w:sz w:val="24"/>
          <w:szCs w:val="24"/>
          <w:lang w:val="bg-BG"/>
        </w:rPr>
        <w:t>Изложение за практика по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1 </w:t>
      </w:r>
      <w:r w:rsidR="000661E2" w:rsidRPr="002D5931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Коментар на ръководството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(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>„</w:t>
      </w:r>
      <w:r w:rsidR="000661E2" w:rsidRPr="002D5931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</w:t>
      </w:r>
      <w:proofErr w:type="gramEnd"/>
      <w:r w:rsidR="000661E2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за практика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>”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). </w:t>
      </w:r>
      <w:r w:rsidR="000661E2" w:rsidRPr="002D5931">
        <w:rPr>
          <w:rFonts w:eastAsia="Times New Roman" w:cs="Helvetica"/>
          <w:color w:val="575757"/>
          <w:sz w:val="24"/>
          <w:szCs w:val="24"/>
          <w:lang w:val="bg-BG"/>
        </w:rPr>
        <w:t>По-конкретно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0661E2"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обсъди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8A336E" w:rsidP="00DA4D0F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прилагане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 преработеното Изложение за практика от предприятия, които не прилагат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стандартите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DA4D0F" w:rsidRPr="002D5931" w:rsidRDefault="008A336E" w:rsidP="00DA4D0F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как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в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 да бъде обяснен терминът „отсъствие на грешки”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A4D0F" w:rsidRPr="002D5931" w:rsidRDefault="008A336E" w:rsidP="00DA4D0F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целите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 коментара на ръководството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8A336E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Прилагане на преработеното Изложение за практика от предприятия, които не прилагат МСФО </w:t>
      </w:r>
      <w:proofErr w:type="gramStart"/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стандартите</w:t>
      </w:r>
      <w:proofErr w:type="gramEnd"/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хипотеза, че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 </w:t>
      </w:r>
      <w:proofErr w:type="gramStart"/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предприятие, което спазва изискванията на преработеното Изложение за практика, следва да бъде разрешено да посочи този </w:t>
      </w:r>
      <w:r w:rsidR="007031A5" w:rsidRPr="002D5931">
        <w:rPr>
          <w:rFonts w:eastAsia="Times New Roman" w:cs="Helvetica"/>
          <w:color w:val="575757"/>
          <w:sz w:val="24"/>
          <w:szCs w:val="24"/>
          <w:lang w:val="bg-BG"/>
        </w:rPr>
        <w:t>факт дори ако</w:t>
      </w:r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предприятието</w:t>
      </w:r>
      <w:proofErr w:type="gramEnd"/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не изготвя финансовите си отчети в съответствие 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>стандартите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Девет от тринадесетте членове на Съвета изразиха съгласие с това решение.</w:t>
      </w:r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хипотеза, че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от </w:t>
      </w:r>
      <w:proofErr w:type="gramStart"/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>предприятие, което заявява съответствие 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 следва да се изисква да посочи в коментара на ръководството базата, на която са изготвяни неговите финансови отчети, в случай че предприятието</w:t>
      </w:r>
      <w:proofErr w:type="gramEnd"/>
      <w:r w:rsidR="008A336E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не ги изготвя в съответствие 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403F79" w:rsidRPr="002D5931">
        <w:rPr>
          <w:rFonts w:eastAsia="Times New Roman" w:cs="Helvetica"/>
          <w:color w:val="575757"/>
          <w:sz w:val="24"/>
          <w:szCs w:val="24"/>
          <w:lang w:val="bg-BG"/>
        </w:rPr>
        <w:t>стандартите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D446B9" w:rsidRPr="002D5931">
        <w:rPr>
          <w:rFonts w:eastAsia="Times New Roman" w:cs="Helvetica"/>
          <w:color w:val="575757"/>
          <w:sz w:val="24"/>
          <w:szCs w:val="24"/>
          <w:lang w:val="bg-BG"/>
        </w:rPr>
        <w:t>Дванадесет от тринадесетте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8A336E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Отсъствие на </w:t>
      </w:r>
      <w:proofErr w:type="gramStart"/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грешки</w:t>
      </w:r>
      <w:proofErr w:type="gramEnd"/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хипотеза, че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403F79" w:rsidRPr="002D5931">
        <w:rPr>
          <w:rFonts w:eastAsia="Times New Roman" w:cs="Helvetica"/>
          <w:color w:val="575757"/>
          <w:sz w:val="24"/>
          <w:szCs w:val="24"/>
          <w:lang w:val="bg-BG"/>
        </w:rPr>
        <w:t>преработеното Изложение за практика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403F79" w:rsidP="00DA4D0F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използва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„точност”, за да обясни </w:t>
      </w:r>
      <w:r w:rsidR="007031A5">
        <w:rPr>
          <w:rFonts w:eastAsia="Times New Roman" w:cs="Helvetica"/>
          <w:color w:val="575757"/>
          <w:sz w:val="24"/>
          <w:szCs w:val="24"/>
          <w:lang w:val="bg-BG"/>
        </w:rPr>
        <w:t>отсъствието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 грешки, отбелязвайки, че както качествената, така и количествената информация може да бъде точна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403F79" w:rsidP="00DA4D0F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обяснява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, че не е необходимо информацията да е абсолютно точна във всички аспекти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степента на точност и прецизност, която е необходима и може да бъде постигната, е различна в зависимост от естеството на информацията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403F79" w:rsidP="00DA4D0F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обяснява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, че факторите, които правят информацията точна зависят от вида на информацията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Така например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точността изисква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403F79" w:rsidP="00DA4D0F">
      <w:pPr>
        <w:numPr>
          <w:ilvl w:val="1"/>
          <w:numId w:val="9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фактическата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информация да не съдържа съществени грешки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DA4D0F" w:rsidRPr="002D5931" w:rsidRDefault="00403F79" w:rsidP="00DA4D0F">
      <w:pPr>
        <w:numPr>
          <w:ilvl w:val="1"/>
          <w:numId w:val="9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описанията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да са прецизни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DA4D0F" w:rsidRPr="002D5931" w:rsidRDefault="00403F79" w:rsidP="00DA4D0F">
      <w:pPr>
        <w:numPr>
          <w:ilvl w:val="1"/>
          <w:numId w:val="9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приблизителните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оценки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приблизителните величини и прогнозите ясно да бъдат идентифицирани като такива и да бъдат разработени посредством коректно прилагане на подходящ процес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използвайки разумни и можещи да бъдат подкрепени входящи данни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DA4D0F" w:rsidRPr="002D5931" w:rsidRDefault="00403F79" w:rsidP="00DA4D0F">
      <w:pPr>
        <w:numPr>
          <w:ilvl w:val="1"/>
          <w:numId w:val="9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твърденията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да бъдат базирани на разумна и можеща да бъде подкрепена информация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A4D0F" w:rsidRPr="002D5931" w:rsidRDefault="00403F79" w:rsidP="00DA4D0F">
      <w:pPr>
        <w:numPr>
          <w:ilvl w:val="1"/>
          <w:numId w:val="9"/>
        </w:numPr>
        <w:shd w:val="clear" w:color="auto" w:fill="FFFFFF"/>
        <w:spacing w:before="75" w:after="75" w:line="240" w:lineRule="auto"/>
        <w:ind w:left="1215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информацията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относно преценките на ръководството за бъдещето прецизно да описва тези преценки и начина, по който е достигнато до тях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D446B9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Десет от тринадесетте членове на Съвета изразиха съгласие с тези решения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0661E2" w:rsidP="00DA4D0F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Цели на </w:t>
      </w:r>
      <w:proofErr w:type="gramStart"/>
      <w:r w:rsidRPr="002D5931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оповестяването</w:t>
      </w:r>
      <w:proofErr w:type="gramEnd"/>
    </w:p>
    <w:p w:rsidR="00DA4D0F" w:rsidRPr="002D5931" w:rsidRDefault="000661E2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обсъди предложения за прецизиране както на цялостната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цел на коментара на ръководството, така и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целите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 оповестяването по отношение на определени области на съдържание в коментара на ръководството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4765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 xml:space="preserve">Следващ </w:t>
      </w:r>
      <w:proofErr w:type="gramStart"/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етап</w:t>
      </w:r>
      <w:proofErr w:type="gramEnd"/>
    </w:p>
    <w:p w:rsidR="00DA4D0F" w:rsidRPr="002D5931" w:rsidRDefault="00CC7F0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е стартирал процедурата по изготвяне на проект за обсъждане, който да бъде подложен на гласуване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публикува проекта за обсъждане през април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A2D2D" w:rsidP="00DA4D0F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5" w:name="5"/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Прегледи след въвеждане на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МСФО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10, 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МСФО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11 </w:t>
      </w:r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МСФО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12 (</w:t>
      </w:r>
      <w:r w:rsidR="00A4765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7)</w:t>
      </w:r>
      <w:bookmarkEnd w:id="5"/>
    </w:p>
    <w:p w:rsidR="00DA4D0F" w:rsidRPr="002D5931" w:rsidRDefault="0017726C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На 18 ноември 2020 г. Съветът проведе заседание, за да направи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преглед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C7F06" w:rsidRPr="002D5931">
        <w:rPr>
          <w:rFonts w:eastAsia="Times New Roman" w:cs="Helvetica"/>
          <w:color w:val="575757"/>
          <w:sz w:val="24"/>
          <w:szCs w:val="24"/>
          <w:lang w:val="bg-BG"/>
        </w:rPr>
        <w:t>стъпките от регламентираната процедура, предприети при определяне обхвата на Прегледа</w:t>
      </w:r>
      <w:proofErr w:type="gramEnd"/>
      <w:r w:rsidR="00CC7F06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след въвеждане и разработване на проекта на Искането за предоставяне на информация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CC7F0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Всичките тринадесет членове на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Съвета потвърдиха, че са се уверили, че Съветът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е изпълнил изискванията на регламентираната процедура за определяне обхвата на прегледа.</w:t>
      </w:r>
    </w:p>
    <w:p w:rsidR="00DA4D0F" w:rsidRPr="002D5931" w:rsidRDefault="00CC7F0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реши да публикува Искането за предоставяне на информация с период за изпращане на коментари от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150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дни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17726C" w:rsidRPr="002D5931">
        <w:rPr>
          <w:rFonts w:eastAsia="Times New Roman" w:cs="Helvetica"/>
          <w:color w:val="575757"/>
          <w:sz w:val="24"/>
          <w:szCs w:val="24"/>
          <w:lang w:val="bg-BG"/>
        </w:rPr>
        <w:t>Единадесет от тринадесетте членове на Съвета изразиха съгласие с това решение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4765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DA4D0F" w:rsidRPr="002D5931" w:rsidRDefault="00CC7F0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Съветът очаква да публикува Искането за предоставяне на информация през декември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2020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DA4D0F" w:rsidRPr="002D5931" w:rsidRDefault="00AA2D2D" w:rsidP="00DA4D0F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6" w:name="6"/>
      <w:r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Съвместно заседание на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proofErr w:type="gramStart"/>
      <w:r w:rsidR="00F1513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Съвета по финансово-счетоводни стандарти на САЩ (FASB) и Съвета</w:t>
      </w:r>
      <w:proofErr w:type="gramEnd"/>
      <w:r w:rsidR="00F1513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по международни счетоводни стандарти (</w:t>
      </w:r>
      <w:r w:rsidR="00DA4D0F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IASB</w:t>
      </w:r>
      <w:r w:rsidR="00F15136" w:rsidRPr="002D5931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)</w:t>
      </w:r>
      <w:bookmarkEnd w:id="6"/>
    </w:p>
    <w:p w:rsidR="00DA4D0F" w:rsidRPr="002D5931" w:rsidRDefault="00F1513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по финансово-счетоводни стандарти на САЩ (FASB)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(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„двата съвета”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)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проведоха заседание на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19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ноември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2020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г. за образователна сесия, с цел да обсъдят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DA4D0F" w:rsidRPr="002D5931" w:rsidRDefault="00F15136" w:rsidP="00DA4D0F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Репутация и обезценка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/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Проект на Съвета по финансово-счетоводни стандарти на САЩ (FASB) </w:t>
      </w:r>
      <w:proofErr w:type="gramStart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относно</w:t>
      </w:r>
      <w:proofErr w:type="gramEnd"/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разграничимите нематериални активи и последващо счетоводно отчитане на репутацията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18;</w:t>
      </w:r>
    </w:p>
    <w:p w:rsidR="00DA4D0F" w:rsidRPr="002D5931" w:rsidRDefault="00F15136" w:rsidP="00DA4D0F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Лизинг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12;</w:t>
      </w:r>
    </w:p>
    <w:p w:rsidR="00DA4D0F" w:rsidRPr="002D5931" w:rsidRDefault="00F15136" w:rsidP="00DA4D0F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Предприемане на действия в отговор на кризата с 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covid-19—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32; 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DA4D0F" w:rsidRPr="002D5931" w:rsidRDefault="00F15136" w:rsidP="00DA4D0F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Финансиране веригата на доставките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A47656" w:rsidRPr="002D5931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="00DA4D0F"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27.</w:t>
      </w:r>
    </w:p>
    <w:p w:rsidR="00DA4D0F" w:rsidRPr="002D5931" w:rsidRDefault="00F15136" w:rsidP="00DA4D0F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От двата съвета не бе поискано да вземат каквито и да е решения.</w:t>
      </w:r>
    </w:p>
    <w:p w:rsidR="000E0430" w:rsidRPr="002D5931" w:rsidRDefault="000E0430">
      <w:pPr>
        <w:rPr>
          <w:lang w:val="bg-BG"/>
        </w:rPr>
      </w:pPr>
    </w:p>
    <w:sectPr w:rsidR="000E0430" w:rsidRPr="002D5931" w:rsidSect="00995CB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D21"/>
    <w:multiLevelType w:val="multilevel"/>
    <w:tmpl w:val="B89A75E4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774C5"/>
    <w:multiLevelType w:val="multilevel"/>
    <w:tmpl w:val="43C0A0A2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823F3"/>
    <w:multiLevelType w:val="multilevel"/>
    <w:tmpl w:val="BD1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665B9"/>
    <w:multiLevelType w:val="multilevel"/>
    <w:tmpl w:val="4F9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B7D30"/>
    <w:multiLevelType w:val="multilevel"/>
    <w:tmpl w:val="CEC8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A2A85"/>
    <w:multiLevelType w:val="multilevel"/>
    <w:tmpl w:val="5C10615A"/>
    <w:lvl w:ilvl="0">
      <w:start w:val="1"/>
      <w:numFmt w:val="russianLow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DEC3E5D"/>
    <w:multiLevelType w:val="multilevel"/>
    <w:tmpl w:val="FFCCE244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562FD"/>
    <w:multiLevelType w:val="multilevel"/>
    <w:tmpl w:val="C59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B2BDC"/>
    <w:multiLevelType w:val="multilevel"/>
    <w:tmpl w:val="B2F0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8C19BD"/>
    <w:multiLevelType w:val="multilevel"/>
    <w:tmpl w:val="916C4A58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A4D0F"/>
    <w:rsid w:val="00016D11"/>
    <w:rsid w:val="000661E2"/>
    <w:rsid w:val="000D7283"/>
    <w:rsid w:val="000E0430"/>
    <w:rsid w:val="00175445"/>
    <w:rsid w:val="0017726C"/>
    <w:rsid w:val="00243045"/>
    <w:rsid w:val="002D5931"/>
    <w:rsid w:val="00403F79"/>
    <w:rsid w:val="006C54FD"/>
    <w:rsid w:val="007031A5"/>
    <w:rsid w:val="00793476"/>
    <w:rsid w:val="008A336E"/>
    <w:rsid w:val="008C4F2A"/>
    <w:rsid w:val="008D69BD"/>
    <w:rsid w:val="00995CBD"/>
    <w:rsid w:val="00A47656"/>
    <w:rsid w:val="00AA2D2D"/>
    <w:rsid w:val="00B20127"/>
    <w:rsid w:val="00B7657C"/>
    <w:rsid w:val="00CC7F06"/>
    <w:rsid w:val="00D446B9"/>
    <w:rsid w:val="00DA4D0F"/>
    <w:rsid w:val="00E16DDD"/>
    <w:rsid w:val="00F1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BD"/>
  </w:style>
  <w:style w:type="paragraph" w:styleId="Heading1">
    <w:name w:val="heading 1"/>
    <w:basedOn w:val="Normal"/>
    <w:next w:val="Normal"/>
    <w:link w:val="Heading1Char"/>
    <w:uiPriority w:val="9"/>
    <w:qFormat/>
    <w:rsid w:val="00DA4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173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-updates/november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november-20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november-202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frs.org/news-and-events/calendar/2020/november/international-accounting-standards-board/" TargetMode="External"/><Relationship Id="rId10" Type="http://schemas.openxmlformats.org/officeDocument/2006/relationships/hyperlink" Target="https://www.ifrs.org/news-and-events/updates/iasb-updates/november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-updates/november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2180</Words>
  <Characters>12734</Characters>
  <Application>Microsoft Office Word</Application>
  <DocSecurity>0</DocSecurity>
  <Lines>249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tvs</cp:lastModifiedBy>
  <cp:revision>7</cp:revision>
  <dcterms:created xsi:type="dcterms:W3CDTF">2020-12-02T08:10:00Z</dcterms:created>
  <dcterms:modified xsi:type="dcterms:W3CDTF">2020-12-03T05:47:00Z</dcterms:modified>
</cp:coreProperties>
</file>