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Pr="00922B16" w:rsidRDefault="000A5F0A" w:rsidP="000A5F0A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922B16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IASB Update July 2020</w:t>
      </w:r>
    </w:p>
    <w:p w:rsidR="000A5F0A" w:rsidRPr="00922B16" w:rsidRDefault="007B5F0A" w:rsidP="000A5F0A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922B16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юли 2020 г.</w:t>
      </w:r>
    </w:p>
    <w:p w:rsidR="000A5F0A" w:rsidRPr="00922B16" w:rsidRDefault="000A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: МСФО стандарти (IFRS</w:t>
      </w:r>
      <w:r w:rsidRPr="00922B16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922B16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922B16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922B16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дистанционно заседание на </w:t>
      </w:r>
      <w:hyperlink r:id="rId5" w:history="1"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22–23 </w:t>
        </w:r>
        <w:r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юли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Pr="00922B16">
        <w:rPr>
          <w:lang w:val="bg-BG"/>
        </w:rPr>
        <w:t xml:space="preserve"> 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CB644F" w:rsidP="000A5F0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1" w:history="1">
        <w:r w:rsidR="00FD7B06" w:rsidRPr="00922B16">
          <w:rPr>
            <w:lang w:val="bg-BG"/>
          </w:rPr>
          <w:t xml:space="preserve"> </w:t>
        </w:r>
        <w:r w:rsidR="00FD7B06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Реформата на референтните лихвени проценти и нейният ефект върху финансовото отчитане—Фаза 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2</w:t>
        </w:r>
      </w:hyperlink>
    </w:p>
    <w:p w:rsidR="000A5F0A" w:rsidRPr="00922B16" w:rsidRDefault="00CB644F" w:rsidP="000A5F0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2" w:history="1">
        <w:r w:rsidR="00FD7B06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FD7B06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 политики</w:t>
        </w:r>
      </w:hyperlink>
    </w:p>
    <w:p w:rsidR="000A5F0A" w:rsidRPr="00922B16" w:rsidRDefault="00CB644F" w:rsidP="000A5F0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3" w:history="1">
        <w:r w:rsidR="00FD7B06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 таксономия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FD7B06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актуална устна информация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)</w:t>
        </w:r>
      </w:hyperlink>
    </w:p>
    <w:p w:rsidR="000A5F0A" w:rsidRPr="00922B16" w:rsidRDefault="00CB644F" w:rsidP="000A5F0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4" w:history="1">
        <w:hyperlink r:id="rId10" w:anchor="1" w:history="1">
          <w:r w:rsidR="00FD7B06" w:rsidRPr="00922B16">
            <w:rPr>
              <w:rFonts w:eastAsia="Times New Roman" w:cs="Helvetica"/>
              <w:color w:val="CD3333"/>
              <w:sz w:val="24"/>
              <w:szCs w:val="24"/>
              <w:u w:val="single"/>
              <w:lang w:val="bg-BG"/>
            </w:rPr>
            <w:t>Поддръжка и последователно прилагане на стандартите</w:t>
          </w:r>
        </w:hyperlink>
      </w:hyperlink>
    </w:p>
    <w:p w:rsidR="000A5F0A" w:rsidRPr="00922B16" w:rsidRDefault="00CB644F" w:rsidP="000A5F0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5" w:history="1">
        <w:r w:rsidR="00FD7B06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</w:hyperlink>
    </w:p>
    <w:p w:rsidR="000A5F0A" w:rsidRPr="00922B16" w:rsidRDefault="00CB644F" w:rsidP="000A5F0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2" w:anchor="6" w:history="1">
        <w:r w:rsidR="00FD7B06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0A5F0A" w:rsidRPr="00922B16" w:rsidRDefault="007B5F0A" w:rsidP="000A5F0A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Допълнителна </w:t>
      </w:r>
      <w:proofErr w:type="gramStart"/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информация</w:t>
      </w:r>
      <w:proofErr w:type="gramEnd"/>
    </w:p>
    <w:p w:rsidR="000A5F0A" w:rsidRPr="00922B16" w:rsidRDefault="007B5F0A" w:rsidP="000A5F0A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0A5F0A" w:rsidP="000A5F0A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21–25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0A5F0A" w:rsidRPr="00922B16" w:rsidRDefault="000A5F0A" w:rsidP="000A5F0A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26–30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0A5F0A" w:rsidRPr="00922B16" w:rsidRDefault="000A5F0A" w:rsidP="000A5F0A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16–20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0A5F0A" w:rsidRPr="00922B16" w:rsidRDefault="00FD7B06" w:rsidP="000A5F0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 xml:space="preserve">Реформата на референтните лихвени проценти и нейният ефект върху финансовото отчитане—Фаза 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2 (</w:t>
      </w:r>
      <w:r w:rsidR="007B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14)</w:t>
      </w:r>
      <w:bookmarkEnd w:id="0"/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 22 юли 2020 г. Съветът проведе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заседание, за да продължи с обсъжданията, започнати на заседанието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през юни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г.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E328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 получените като обратна информация становища във връзка с Проекта за обсъждане </w:t>
      </w:r>
      <w:r w:rsidR="00E3280A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Реформа на референтните лихвени проценти – Фаза </w:t>
      </w:r>
      <w:r w:rsidR="000A5F0A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2</w:t>
      </w:r>
      <w:r w:rsidR="00A90DE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>„Проектът за обсъждане”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). 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>Проектът за обсъждане предлага изменения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>МСФО 9 </w:t>
      </w:r>
      <w:proofErr w:type="gramStart"/>
      <w:r w:rsidR="00A90DE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>, МСС 39 </w:t>
      </w:r>
      <w:r w:rsidR="00A90DE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</w:t>
      </w:r>
      <w:proofErr w:type="gramEnd"/>
      <w:r w:rsidR="00A90DE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инструменти: признаване и оценяване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>, МСФО 7 </w:t>
      </w:r>
      <w:r w:rsidR="00A90DE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инструменти: оповестяване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>, МСФО 4 </w:t>
      </w:r>
      <w:r w:rsidR="00A90DE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Застрахователни договори 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>и МСФО 16 </w:t>
      </w:r>
      <w:r w:rsidR="00A90DE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A90DEF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по отношение на проблемни въпроси, които засягат финансовото отчитане по време на реформата на референтен лихвен процент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A90DEF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Документите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по програмата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за това заседание представят получените като обратна информация становища, както и анализ и препоръки във връзка с Въпрос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3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отнасящ се до предложенията за счетоводно отчитане на отговарящи на условията хеджиращи взаимоотношения и групи позиции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стъпките от регламентираната процедура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включително разрешението за пристъпване към гласуване на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39,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7,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4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16.</w:t>
      </w:r>
    </w:p>
    <w:p w:rsidR="000A5F0A" w:rsidRPr="00922B16" w:rsidRDefault="00B73C07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Анализ на обратната информация </w:t>
      </w:r>
      <w:r w:rsidR="000A5F0A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счетоводно отчитане на отговарящи на условията хеджирания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14A)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B73C07" w:rsidP="000A5F0A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разреши</w:t>
      </w:r>
      <w:proofErr w:type="gramEnd"/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а не да изисква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предприятието да преизчисли (коригира)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кумулативните справедливи стойности до нула за целите на извършването на ретроспективното оценяване на ефективността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както е предложено в параграф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102S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B73C07" w:rsidP="000A5F0A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потвърди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останалите предложения в Проекта за обсъждане, отнасящи се до счетоводно отчитане на отговарящи на условията хеджиращи взаимоотношения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B73C07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Стъпки от регламентираната процедура и разрешение за гласуване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</w:t>
      </w: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0A5F0A" w:rsidRPr="00922B16" w:rsidRDefault="000F23A1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се съгласи, че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39,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7,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4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16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не следва да бъдат представяни за повторно обсъждане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дванадесет членове на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Съвета </w:t>
      </w:r>
      <w:r w:rsidR="000F23A1" w:rsidRPr="00922B16">
        <w:rPr>
          <w:rFonts w:eastAsia="Times New Roman" w:cs="Helvetica"/>
          <w:color w:val="575757"/>
          <w:sz w:val="24"/>
          <w:szCs w:val="24"/>
          <w:lang w:val="bg-BG"/>
        </w:rPr>
        <w:t>потвърдиха, че са се уверили, че Съветът</w:t>
      </w:r>
      <w:proofErr w:type="gramEnd"/>
      <w:r w:rsidR="000F23A1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стъпки от регламентираната процедура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F23A1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и е предприел достатъчно </w:t>
      </w:r>
      <w:r w:rsidR="000F23A1"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консултации и анализи, за да се пристъпи към процедурата по гласуване на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39,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7,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4 </w:t>
      </w:r>
      <w:r w:rsidR="000F23A1"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16.</w:t>
      </w:r>
    </w:p>
    <w:p w:rsidR="000A5F0A" w:rsidRPr="00922B16" w:rsidRDefault="000F23A1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Нито един от членовете на Съвета не даде индикации, че възнамерява да изрази несъгласие с публикуването на измененията на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39,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7,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4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16.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0A5F0A" w:rsidRPr="00922B16" w:rsidRDefault="000F23A1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окончателните изменения през август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D7B06" w:rsidP="000A5F0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счетоводни политики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7B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20)</w:t>
      </w:r>
      <w:bookmarkEnd w:id="1"/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На 22 юли 2020 г. Съветът проведе заседание, за да обсъди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397A47" w:rsidP="000A5F0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изискванията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за преход и датата на влизане в сила на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Изложение за практика по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Извършване на преценки във връзка с нивото на същественост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20A;</w:t>
      </w:r>
    </w:p>
    <w:p w:rsidR="000A5F0A" w:rsidRPr="00922B16" w:rsidRDefault="00397A47" w:rsidP="000A5F0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датата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на влизане в сила на измененията в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8 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0A5F0A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промени в счетоводните приблизителни оценки и грешки,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произтичащи от проекта, посветен на счетоводните политики и счетоводните приблизителни оценки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изменения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8);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397A47" w:rsidP="000A5F0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стъпките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от регламентираната процедура и разрешението за пристъпване към процедурата по гласуване на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Изложение за практика по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2—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397A47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Преход и дата на влизане в сила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20A)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изисква предприятието да оповестява през периода на прилагане на измененията за първи път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съществената информация за счетоводната политика за този период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отбеляза, че параграф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38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посочва, че сравнителна информация ще се изисква само ако е уместна за разбирането на финансовия отчет за текущия период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изисква предприятието да прилага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по отношение на годишни отчетни периоди, започващи на или след 1 януари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2023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г.</w:t>
      </w:r>
      <w:r w:rsidR="00922B16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като разреши по-ранното прилагане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Всичките дванадесет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промени датата на влизане в сила на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8</w:t>
      </w:r>
      <w:r w:rsidR="00397A47" w:rsidRPr="00922B16">
        <w:rPr>
          <w:rFonts w:eastAsia="Times New Roman" w:cs="Helvetica"/>
          <w:color w:val="575757"/>
          <w:sz w:val="24"/>
          <w:szCs w:val="24"/>
          <w:lang w:val="bg-BG"/>
        </w:rPr>
        <w:t>, произтичащи от проекта, посветен на счетоводните политики и счетоводните приблизителни оценки, и те станат приложими спрямо годишни отчетни периоди, започващи на или след 1 януари 2023 г., като разреши по-ранното прилагане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Седем от дванадесетте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397A47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Стъпки от регламентираната </w:t>
      </w:r>
      <w:proofErr w:type="gramStart"/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процедура и разрешение за </w:t>
      </w:r>
      <w:r w:rsidR="00042251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пристъпване към процедурата</w:t>
      </w:r>
      <w:proofErr w:type="gramEnd"/>
      <w:r w:rsidR="00042251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по </w:t>
      </w: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гласуване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20</w:t>
      </w:r>
      <w:r w:rsidR="00042251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дванадесет членове на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Съвета </w:t>
      </w:r>
      <w:r w:rsidR="000F23A1" w:rsidRPr="00922B16">
        <w:rPr>
          <w:rFonts w:eastAsia="Times New Roman" w:cs="Helvetica"/>
          <w:color w:val="575757"/>
          <w:sz w:val="24"/>
          <w:szCs w:val="24"/>
          <w:lang w:val="bg-BG"/>
        </w:rPr>
        <w:t>потвърдиха, че са се уверили, че Съветът</w:t>
      </w:r>
      <w:proofErr w:type="gramEnd"/>
      <w:r w:rsidR="000F23A1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изисквания на регламентираната процедура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042251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посочи, че може да изрази несъгласие с издаването на измененията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 Изложение за практика по 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0A5F0A" w:rsidRPr="00922B16" w:rsidRDefault="00042251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планира за издаде измененията в М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Изложение за практика по МСФО 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2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през четвъртото тримесечие 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FD7B06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таксономия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D7B06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актуална устна информация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2"/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 22 юли 2020 г. Съветът проведе заседание, за да бъде запознат с актуална устна информация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DC5B13" w:rsidP="000A5F0A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стъпките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от регламентираната процедура, предприети за разработване на Актуализацията на таксономията по МСФО с оглед 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Намаляване на наеми във връзка с Ковид-19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променящ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16 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0A5F0A" w:rsidRPr="00922B16" w:rsidRDefault="00DC5B13" w:rsidP="000A5F0A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получените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като обратна информация становища във връзка с предложената Актуализацията на таксономията по 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DC5B13" w:rsidP="000A5F0A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следващи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етапи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при финализиране на Актуализацията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0A5F0A" w:rsidRPr="00922B16" w:rsidRDefault="00DC5B13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Към настоящия момент Съветът очаква да публикува Актуализация на таксономията по 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г. 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1 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Намаляване на наеми във връзка с Ковид-19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през август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D7B06" w:rsidP="000A5F0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 xml:space="preserve">Поддръжка и последователно прилагане на стандартите 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</w:t>
      </w:r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7B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по програмата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12–12</w:t>
      </w:r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3"/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 22 юли 2020 г. Съветът проведе заседание, за да обсъди </w:t>
      </w:r>
      <w:r w:rsidR="00DC5B13" w:rsidRPr="00922B16">
        <w:rPr>
          <w:rFonts w:eastAsia="Times New Roman" w:cs="Helvetica"/>
          <w:color w:val="575757"/>
          <w:sz w:val="24"/>
          <w:szCs w:val="24"/>
          <w:lang w:val="bg-BG"/>
        </w:rPr>
        <w:t>две теми, засягащи поддържането и последователното прилагане на МСФО стандартите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DC5B13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Липса на </w:t>
      </w:r>
      <w:r w:rsidR="00266F03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разменяемост (</w:t>
      </w: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възможност за размяна</w:t>
      </w:r>
      <w:r w:rsidR="00266F03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12A)</w:t>
      </w:r>
    </w:p>
    <w:p w:rsidR="000A5F0A" w:rsidRPr="00922B16" w:rsidRDefault="00DC5B13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обсъди изискванията за преход и по-ранно прилагане на предложеното изменение в МС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21 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Ефект</w:t>
      </w:r>
      <w:r w:rsidR="00BA42B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от </w:t>
      </w:r>
      <w:r w:rsidR="00BA42B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промените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в </w:t>
      </w:r>
      <w:r w:rsidR="00BA42B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обменните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курсове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регламентираната процедура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включително разрешение за пристъпване към процедурата по гласуване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DC5B13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Предложеното изменение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21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ще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(a)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дефинира </w:t>
      </w:r>
      <w:proofErr w:type="spellStart"/>
      <w:r w:rsidR="00266F03" w:rsidRPr="00922B16">
        <w:rPr>
          <w:rFonts w:eastAsia="Times New Roman" w:cs="Helvetica"/>
          <w:color w:val="575757"/>
          <w:sz w:val="24"/>
          <w:szCs w:val="24"/>
          <w:lang w:val="bg-BG"/>
        </w:rPr>
        <w:t>разменяемостта</w:t>
      </w:r>
      <w:proofErr w:type="spellEnd"/>
      <w:r w:rsidR="00266F03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възможността за размяна</w:t>
      </w:r>
      <w:r w:rsidR="00266F03" w:rsidRPr="00922B16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и респективно – липсата на възможност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за размяна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посочи как предприятието определя валутния спот курс, когато за дадена валута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липсва възможност за размяна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302537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Преход</w:t>
      </w:r>
      <w:proofErr w:type="gramEnd"/>
    </w:p>
    <w:p w:rsidR="000A5F0A" w:rsidRPr="00922B16" w:rsidRDefault="00302537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Предприятия, които вече прилагат</w:t>
      </w:r>
      <w:r w:rsidR="000A5F0A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proofErr w:type="gramStart"/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стандартите</w:t>
      </w:r>
      <w:proofErr w:type="gramEnd"/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0182C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предложи, ако е приложимо, предприятието да прилага изменението за бъдещи </w:t>
      </w:r>
      <w:proofErr w:type="gramStart"/>
      <w:r w:rsidR="00C0182C" w:rsidRPr="00922B16">
        <w:rPr>
          <w:rFonts w:eastAsia="Times New Roman" w:cs="Helvetica"/>
          <w:color w:val="575757"/>
          <w:sz w:val="24"/>
          <w:szCs w:val="24"/>
          <w:lang w:val="bg-BG"/>
        </w:rPr>
        <w:t>периоди от началото на годишния отчетен период</w:t>
      </w:r>
      <w:proofErr w:type="gramEnd"/>
      <w:r w:rsidR="00C0182C" w:rsidRPr="00922B16">
        <w:rPr>
          <w:rFonts w:eastAsia="Times New Roman" w:cs="Helvetica"/>
          <w:color w:val="575757"/>
          <w:sz w:val="24"/>
          <w:szCs w:val="24"/>
          <w:lang w:val="bg-BG"/>
        </w:rPr>
        <w:t>, в който то прилага изменението за първи път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C0182C" w:rsidRPr="00922B16">
        <w:rPr>
          <w:rFonts w:eastAsia="Times New Roman" w:cs="Helvetica"/>
          <w:color w:val="575757"/>
          <w:sz w:val="24"/>
          <w:szCs w:val="24"/>
          <w:lang w:val="bg-BG"/>
        </w:rPr>
        <w:t>дата на първоначално прилагане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C0182C" w:rsidRPr="00922B16">
        <w:rPr>
          <w:rFonts w:eastAsia="Times New Roman" w:cs="Helvetica"/>
          <w:color w:val="575757"/>
          <w:sz w:val="24"/>
          <w:szCs w:val="24"/>
          <w:lang w:val="bg-BG"/>
        </w:rPr>
        <w:t>и да не преизчислява сравнителната информация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0182C" w:rsidRPr="00922B16">
        <w:rPr>
          <w:rFonts w:eastAsia="Times New Roman" w:cs="Helvetica"/>
          <w:color w:val="575757"/>
          <w:sz w:val="24"/>
          <w:szCs w:val="24"/>
          <w:lang w:val="bg-BG"/>
        </w:rPr>
        <w:t>Предприятие, което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C96A85" w:rsidP="000A5F0A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отчита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сделки в чуждестранна валута в своята функционална валута ще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C96A85" w:rsidP="000A5F0A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преизчислява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парични позиции в чуждестранна валута и непарични позиции, оценявани по справедлива стойност в чуждестранна валута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към датата на първоначално прилагане, използвайки приблизително оценения валутен спот курс към тази дата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C96A85" w:rsidP="000A5F0A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признава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ефекта от първоначалното прилагане на изменението в началното салдо на неразпределената печалба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C96A85" w:rsidP="000A5F0A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използва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валута на представяне, различна от неговата функционална валута 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или преизчислява чуждестранна дейност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ще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C96A85" w:rsidP="000A5F0A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преизчислява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всички активи и пасиви към датата на първоначално прилагане, използвайки приблизително оценения валутен спот курс към тази дата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0A5F0A" w:rsidRPr="00922B16" w:rsidRDefault="00C96A85" w:rsidP="000A5F0A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преизчислява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позиции от собствен капитал към датата на първоначално прилагане,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използвайки приблизително оценения валутен спот курс към тази дата, ако функционалната валута на предприятието е свръхинфлационна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C96A85" w:rsidP="000A5F0A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признава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ефекта от първоначалното прилагане на изменението като корекция на кумулативната сума на разликите от преизчисляване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 собствения капитал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170F05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Предприятия, които прилагат стандартите за първи </w:t>
      </w:r>
      <w:proofErr w:type="gramStart"/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път</w:t>
      </w:r>
      <w:proofErr w:type="gramEnd"/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AE66C3" w:rsidP="000A5F0A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предоставя специални изключения от предложеното изменение на МСС 21 за предприятията, прилагащи за първи път стандартите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AE66C3" w:rsidP="000A5F0A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хармонизира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редакцията на параграф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27(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Прилагане за първи път на Международните стандарти за финансово отчитане 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 дефиницията и описанието на липсата на разменяемост в предложеното изменение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AE66C3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По-ранно </w:t>
      </w: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прилагане</w:t>
      </w:r>
      <w:proofErr w:type="gramEnd"/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E66C3" w:rsidRPr="00922B16">
        <w:rPr>
          <w:rFonts w:eastAsia="Times New Roman" w:cs="Helvetica"/>
          <w:color w:val="575757"/>
          <w:sz w:val="24"/>
          <w:szCs w:val="24"/>
          <w:lang w:val="bg-BG"/>
        </w:rPr>
        <w:t>разреши на предприятието да прилага предложеното изменение преди датата на влизане в сила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изразиха съгласие с тези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AE66C3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Регламентирана </w:t>
      </w: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процедура</w:t>
      </w:r>
      <w:proofErr w:type="gramEnd"/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E66C3" w:rsidRPr="00922B16">
        <w:rPr>
          <w:rFonts w:eastAsia="Times New Roman" w:cs="Helvetica"/>
          <w:color w:val="575757"/>
          <w:sz w:val="24"/>
          <w:szCs w:val="24"/>
          <w:lang w:val="bg-BG"/>
        </w:rPr>
        <w:t>предостави период за коментари от не по-малко от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120 </w:t>
      </w:r>
      <w:r w:rsidR="00AE66C3" w:rsidRPr="00922B16">
        <w:rPr>
          <w:rFonts w:eastAsia="Times New Roman" w:cs="Helvetica"/>
          <w:color w:val="575757"/>
          <w:sz w:val="24"/>
          <w:szCs w:val="24"/>
          <w:lang w:val="bg-BG"/>
        </w:rPr>
        <w:t>дни</w:t>
      </w:r>
      <w:r w:rsidR="00B80185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за проекта за обсъждане на предложеното изменение 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21.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0F23A1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потвърдиха, че са се уверили, че Съветът е изпълнил приложимите стъпки от регламентираната процедура и е предприел достатъчно консултации и анализи, за да се пристъпи към процедурата по гласуване на проекта за обсъждане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B80185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предложенията, съдържащи се в проекта за обсъждане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0A5F0A" w:rsidRPr="00922B16" w:rsidRDefault="00B80185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планира своевременно да публикува проекта си за обсъждане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B80185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Актуална информация от Комитета по разясненията на МСФО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</w:t>
      </w: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0A5F0A" w:rsidRPr="00922B16" w:rsidRDefault="00B80185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проведеното през юни 2020 г. заседание на Комитета по разясненията на 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Подробности от това заседание са публикувани в Бюлетина с актуална информация 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Комитета по разясненията на МСФО</w:t>
      </w:r>
      <w:r w:rsidRPr="00922B16">
        <w:rPr>
          <w:rFonts w:eastAsia="Times New Roman" w:cs="Helvetica"/>
          <w:color w:val="575757"/>
          <w:sz w:val="24"/>
          <w:szCs w:val="24"/>
          <w:u w:val="single"/>
          <w:lang w:val="bg-BG"/>
        </w:rPr>
        <w:t xml:space="preserve"> (</w:t>
      </w:r>
      <w:hyperlink r:id="rId13" w:history="1"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IFRIC </w:t>
        </w:r>
        <w:r w:rsidR="000A5F0A" w:rsidRPr="00922B16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Update</w:t>
        </w:r>
        <w:r w:rsidRPr="00922B16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)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 </w:t>
        </w:r>
        <w:r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за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юни</w:t>
        </w:r>
        <w:r w:rsidR="000A5F0A" w:rsidRPr="00922B1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Pr="00922B16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От Съвета не бе поискано да взема каквито и да е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D7B06" w:rsidP="000A5F0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Добивни дейности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7B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19)</w:t>
      </w:r>
      <w:bookmarkEnd w:id="4"/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 22 юли 2020 г.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изследователските констатации, които да помогнат на Съвета</w:t>
      </w:r>
      <w:proofErr w:type="gramEnd"/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да вземе решение на бъдещо свое заседание дали да замени или измени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6 </w:t>
      </w:r>
      <w:r w:rsidR="00DD04AF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Проучване и оценяване на минерални ресурси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DD04AF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Прилагане на</w:t>
      </w:r>
      <w:r w:rsidR="000A5F0A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16 </w:t>
      </w: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или</w:t>
      </w:r>
      <w:r w:rsidR="000A5F0A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38 </w:t>
      </w: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 отношение на разходи за проучване и оценяване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19A)</w:t>
      </w:r>
    </w:p>
    <w:p w:rsidR="000A5F0A" w:rsidRPr="00922B16" w:rsidRDefault="00DD04AF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разгледа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изследователските констатации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това как предприятието би отчело счетоводно дейности, попадащи в обхвата 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6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при отсъствието на този стандарт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прилагайки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16 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Имоти</w:t>
      </w:r>
      <w:r w:rsidR="000A5F0A"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машини и съоръжения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38 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Нематериални активи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DD04AF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Преглед на научната литература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19</w:t>
      </w: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0A5F0A" w:rsidRPr="00922B16" w:rsidRDefault="00DD04AF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разгледа научни доказателства във връзка с добивните дейности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след преглед на литературата, имаща отношение към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6.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0A5F0A" w:rsidRPr="00922B16" w:rsidRDefault="00DD04AF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ще продължи да обсъжда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изследователските констатации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добивните дейности и ще проведе образователни сесии, с които да задълбочи допълнително разбиранията си по въпроса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D7B06" w:rsidP="000A5F0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7B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15)</w:t>
      </w:r>
      <w:bookmarkEnd w:id="5"/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 23 юли 2020 г. Съветът проведе заседание, за да обсъди 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отчитането на финансовите ресурси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proofErr w:type="gramStart"/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15A) 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и резултати от дейността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състоянието и напредъка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Документи</w:t>
      </w:r>
      <w:proofErr w:type="gramEnd"/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по програмата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15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–15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DD04AF" w:rsidRPr="00922B16">
        <w:rPr>
          <w:rFonts w:eastAsia="Times New Roman" w:cs="Helvetica"/>
          <w:color w:val="575757"/>
          <w:sz w:val="24"/>
          <w:szCs w:val="24"/>
          <w:lang w:val="bg-BG"/>
        </w:rPr>
        <w:t>в коментара на ръководството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DD04AF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Финансови ресурси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15A)</w:t>
      </w:r>
    </w:p>
    <w:p w:rsidR="000A5F0A" w:rsidRPr="00922B16" w:rsidRDefault="00DD04AF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обсъди помощни насоки, които да бъдат включени в преработеното Изложение за практика по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Коментар на </w:t>
      </w:r>
      <w:proofErr w:type="gramStart"/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ръководството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 (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„Изложението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за практика“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FB62E2" w:rsidRPr="00922B16">
        <w:rPr>
          <w:rFonts w:eastAsia="Times New Roman" w:cs="Helvetica"/>
          <w:color w:val="575757"/>
          <w:sz w:val="24"/>
          <w:szCs w:val="24"/>
          <w:lang w:val="bg-BG"/>
        </w:rPr>
        <w:t>във връзка с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предоставянето в коментара на ръководството на информация относно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получаването и разпределянето на финансови ресурси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FD7B06" w:rsidRPr="00922B1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B62E2" w:rsidP="00FD7B06">
      <w:pPr>
        <w:shd w:val="clear" w:color="auto" w:fill="FFFFFF"/>
        <w:tabs>
          <w:tab w:val="left" w:pos="6273"/>
        </w:tabs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Напредък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15</w:t>
      </w: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B62E2" w:rsidRPr="00922B16">
        <w:rPr>
          <w:rFonts w:eastAsia="Times New Roman" w:cs="Helvetica"/>
          <w:color w:val="575757"/>
          <w:sz w:val="24"/>
          <w:szCs w:val="24"/>
          <w:lang w:val="bg-BG"/>
        </w:rPr>
        <w:t>целите на оповестяването по отношение на</w:t>
      </w:r>
      <w:bookmarkStart w:id="6" w:name="_GoBack"/>
      <w:bookmarkEnd w:id="6"/>
      <w:r w:rsidR="00FB62E2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бизнес модела на предприятието, неговата стратегия, ресурси и взаимоотношения, рискове и външна среда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B62E2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следва да изискват ръководството да предостави информация </w:t>
      </w:r>
      <w:proofErr w:type="gramStart"/>
      <w:r w:rsidR="00FB62E2"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FB62E2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напредъка при управлението на ключови въпроси, идентифицирани в тези области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B62E2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Резултати от дейността и състояние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15</w:t>
      </w: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B62E2" w:rsidRPr="00922B16">
        <w:rPr>
          <w:rFonts w:eastAsia="Times New Roman" w:cs="Helvetica"/>
          <w:color w:val="575757"/>
          <w:sz w:val="24"/>
          <w:szCs w:val="24"/>
          <w:lang w:val="bg-BG"/>
        </w:rPr>
        <w:t>посочи в целта на оповестяването по отношение на резултатите от дейността и състоянието, че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C712E7" w:rsidP="000A5F0A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коментарът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на ръководството следва да предоставя информация, която да помогне на инвеститорите и кредиторите да разберат резултатите от дейността и състоянието на предприятието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0A5F0A" w:rsidRPr="00922B16" w:rsidRDefault="00C712E7" w:rsidP="000A5F0A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инвеститорите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и кредиторите използват информацията относно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 на предприятието, за да оценят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C712E7" w:rsidP="000A5F0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ключовите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фактори за промените в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 на предприятието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0A5F0A" w:rsidRPr="00922B16" w:rsidRDefault="00C712E7" w:rsidP="000A5F0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степента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, в която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 на предприятието, отчетени в неговите финансови отчети, са показателни за способността на предприятието да създава стойност и генерира парични потоци в бъдеще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C712E7" w:rsidP="000A5F0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 на предприятието, отчетени в неговите финансови отчети</w:t>
      </w:r>
      <w:r w:rsidR="00AA4B9C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се </w:t>
      </w:r>
      <w:r w:rsidR="00901358" w:rsidRPr="00922B16">
        <w:rPr>
          <w:rFonts w:eastAsia="Times New Roman" w:cs="Helvetica"/>
          <w:color w:val="575757"/>
          <w:sz w:val="24"/>
          <w:szCs w:val="24"/>
          <w:lang w:val="bg-BG"/>
        </w:rPr>
        <w:t>съотнасят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с предходни очаквания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C712E7" w:rsidP="000A5F0A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информацията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относно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 на предприятието следва да се фокусира върху ключовите аспекти на резултатите от дейността и състоянието и да обхваща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C712E7" w:rsidP="000A5F0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какви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са ключовите аспекти на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 и как ръководството наблюдава текущо тези ключови аспекти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0A5F0A" w:rsidRPr="00922B16" w:rsidRDefault="00C712E7" w:rsidP="000A5F0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какво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е оказало влияние върху резултатите от дейността на предприятието за отчетния период или би могло да окаже влияние върху резултатите от дейността в бъдеще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включително в дългосрочен план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0A5F0A" w:rsidRPr="00922B16" w:rsidRDefault="00C712E7" w:rsidP="000A5F0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какво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е оказало влияние върху състоянието на предприятието в края на отчетния период или би могло да окаже влияние върху състоянието в бъдеще, включително в дългосрочен план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901358" w:rsidP="000A5F0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 на предприятието, отчетени в неговите финансови отчети се съотнасят с предходни очаквания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Девет от дванадесетте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01358" w:rsidRPr="00922B16">
        <w:rPr>
          <w:rFonts w:eastAsia="Times New Roman" w:cs="Helvetica"/>
          <w:color w:val="575757"/>
          <w:sz w:val="24"/>
          <w:szCs w:val="24"/>
          <w:lang w:val="bg-BG"/>
        </w:rPr>
        <w:t>В допълнение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901358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подчерта, че целта на оповестяването по отношение на </w:t>
      </w:r>
      <w:proofErr w:type="gramStart"/>
      <w:r w:rsidR="00901358" w:rsidRPr="00922B16">
        <w:rPr>
          <w:rFonts w:eastAsia="Times New Roman" w:cs="Helvetica"/>
          <w:color w:val="575757"/>
          <w:sz w:val="24"/>
          <w:szCs w:val="24"/>
          <w:lang w:val="bg-BG"/>
        </w:rPr>
        <w:t>резултатите от дейността и състоянието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901358" w:rsidRPr="00922B16">
        <w:rPr>
          <w:rFonts w:eastAsia="Times New Roman" w:cs="Helvetica"/>
          <w:color w:val="575757"/>
          <w:sz w:val="24"/>
          <w:szCs w:val="24"/>
          <w:lang w:val="bg-BG"/>
        </w:rPr>
        <w:t>или насоките, които я подпомагат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901358" w:rsidRPr="00922B16">
        <w:rPr>
          <w:rFonts w:eastAsia="Times New Roman" w:cs="Helvetica"/>
          <w:color w:val="575757"/>
          <w:sz w:val="24"/>
          <w:szCs w:val="24"/>
          <w:lang w:val="bg-BG"/>
        </w:rPr>
        <w:t>следва да поясняват, че отправната точка за разглеждане на резултатите</w:t>
      </w:r>
      <w:proofErr w:type="gramEnd"/>
      <w:r w:rsidR="00901358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от дейността и състоянието на предприятието следва да бъдат сумите, включени във финансовите отчети на предприятието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901358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също така в порядък на работна хипотеза да посочи, че ключовите аспекти на резултатите от дейността и състоянието са тези, които отразяват способността на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предприятието да създава стойност и генерира парични потоци и които са наблюдавани текущо от ръководството на предприятието</w:t>
      </w:r>
      <w:proofErr w:type="gramEnd"/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B5F0A" w:rsidRPr="00922B16">
        <w:rPr>
          <w:rFonts w:eastAsia="Times New Roman" w:cs="Helvetica"/>
          <w:color w:val="575757"/>
          <w:sz w:val="24"/>
          <w:szCs w:val="24"/>
          <w:lang w:val="bg-BG"/>
        </w:rPr>
        <w:t>Всичките дванадесет членове на Съвета изразиха съгласие с това решение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901358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възможни насоки, които да подкрепят целта на оповестяването по отношение на резултатите от дейността и състоянието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FD7B06" w:rsidRPr="00922B1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901358" w:rsidP="000A5F0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Оценки и индикатори на ръководството 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7B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15</w:t>
      </w: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0A5F0A"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0A5F0A" w:rsidRPr="00922B16" w:rsidRDefault="00901358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помощни насоки, които биха могли да бъдат включени в преработеното Изложение за практика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901358" w:rsidP="000A5F0A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оценките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и индикаторите на ръководството, които трябва да бъдат разгледани в коментара на ръководството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901358" w:rsidP="000A5F0A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информацията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, която трябва да бъде предоставена в коментара на ръководството относно тези оценки и индикатори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7B5F0A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922B16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0A5F0A" w:rsidRPr="00922B16" w:rsidRDefault="00901358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отбеляза, че сроковете по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проекта са преразгледани и че планираната дата за публикуване на предстоящия да бъде издаден проект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за обсъждане във връзка с преработеното Изложение за практика е февруари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0A5F0A" w:rsidRPr="00922B16" w:rsidRDefault="00FD7B06" w:rsidP="000A5F0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На бъдещо заседание Съветът очаква да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0A5F0A" w:rsidRPr="00922B16" w:rsidRDefault="00901358" w:rsidP="000A5F0A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обсъди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статута на Изложението за практика и оторизацията на коментара на ръководството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0A5F0A" w:rsidRPr="00922B16" w:rsidRDefault="00901358" w:rsidP="000A5F0A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прецени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дали обсъдените помощни насоки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в достатъчна степен </w:t>
      </w:r>
      <w:r w:rsidR="00AA4B9C">
        <w:rPr>
          <w:rFonts w:eastAsia="Times New Roman" w:cs="Helvetica"/>
          <w:color w:val="575757"/>
          <w:sz w:val="24"/>
          <w:szCs w:val="24"/>
          <w:lang w:val="bg-BG"/>
        </w:rPr>
        <w:t xml:space="preserve">и по надлежен начин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обхващат темите, които представляват </w:t>
      </w:r>
      <w:r w:rsidR="00AA4B9C">
        <w:rPr>
          <w:rFonts w:eastAsia="Times New Roman" w:cs="Helvetica"/>
          <w:color w:val="575757"/>
          <w:sz w:val="24"/>
          <w:szCs w:val="24"/>
          <w:lang w:val="bg-BG"/>
        </w:rPr>
        <w:t>специфичен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интерес за заинтересованите от работата на Съвета страни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например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5645E" w:rsidRPr="00922B16">
        <w:rPr>
          <w:rFonts w:eastAsia="Times New Roman" w:cs="Helvetica"/>
          <w:color w:val="575757"/>
          <w:sz w:val="24"/>
          <w:szCs w:val="24"/>
          <w:lang w:val="bg-BG"/>
        </w:rPr>
        <w:t>екологични, социални и управленски въпроси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5645E" w:rsidRPr="00922B16">
        <w:rPr>
          <w:rFonts w:eastAsia="Times New Roman" w:cs="Helvetica"/>
          <w:color w:val="575757"/>
          <w:sz w:val="24"/>
          <w:szCs w:val="24"/>
          <w:lang w:val="bg-BG"/>
        </w:rPr>
        <w:t>нематериални ресурси и взаимоотношения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C5645E" w:rsidRPr="00922B16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0A5F0A" w:rsidRPr="00922B16" w:rsidRDefault="00C5645E" w:rsidP="000A5F0A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вземе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решение дали да пристъпи към процедурата по гласуване на проекта за обсъждане</w:t>
      </w:r>
      <w:r w:rsidR="000A5F0A" w:rsidRPr="00922B16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1A15FB" w:rsidRPr="00922B16" w:rsidRDefault="001A15FB">
      <w:pPr>
        <w:rPr>
          <w:lang w:val="bg-BG"/>
        </w:rPr>
      </w:pPr>
    </w:p>
    <w:sectPr w:rsidR="001A15FB" w:rsidRPr="00922B16" w:rsidSect="00451A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6E0"/>
    <w:multiLevelType w:val="multilevel"/>
    <w:tmpl w:val="51CEE32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4E4A"/>
    <w:multiLevelType w:val="multilevel"/>
    <w:tmpl w:val="5C6CEF6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4EC5"/>
    <w:multiLevelType w:val="multilevel"/>
    <w:tmpl w:val="26A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E560F"/>
    <w:multiLevelType w:val="multilevel"/>
    <w:tmpl w:val="7EF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376B4"/>
    <w:multiLevelType w:val="multilevel"/>
    <w:tmpl w:val="E74AAA3E"/>
    <w:lvl w:ilvl="0">
      <w:start w:val="1"/>
      <w:numFmt w:val="russianLow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5620666"/>
    <w:multiLevelType w:val="multilevel"/>
    <w:tmpl w:val="41409AC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25DE2"/>
    <w:multiLevelType w:val="multilevel"/>
    <w:tmpl w:val="3C421D8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6213A"/>
    <w:multiLevelType w:val="multilevel"/>
    <w:tmpl w:val="ABA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F56E5"/>
    <w:multiLevelType w:val="multilevel"/>
    <w:tmpl w:val="C24C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07B4D"/>
    <w:multiLevelType w:val="multilevel"/>
    <w:tmpl w:val="54387CE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02F03"/>
    <w:multiLevelType w:val="multilevel"/>
    <w:tmpl w:val="67082A1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5F0A"/>
    <w:rsid w:val="00042251"/>
    <w:rsid w:val="000A5F0A"/>
    <w:rsid w:val="000F23A1"/>
    <w:rsid w:val="00170F05"/>
    <w:rsid w:val="001A15FB"/>
    <w:rsid w:val="001A6A5E"/>
    <w:rsid w:val="00266F03"/>
    <w:rsid w:val="002D5CF1"/>
    <w:rsid w:val="00302537"/>
    <w:rsid w:val="00397A47"/>
    <w:rsid w:val="00451A6D"/>
    <w:rsid w:val="004D3D2A"/>
    <w:rsid w:val="005075E5"/>
    <w:rsid w:val="0051505C"/>
    <w:rsid w:val="005C38D6"/>
    <w:rsid w:val="00604513"/>
    <w:rsid w:val="007856DB"/>
    <w:rsid w:val="007B5F0A"/>
    <w:rsid w:val="00835A89"/>
    <w:rsid w:val="00901358"/>
    <w:rsid w:val="00922B16"/>
    <w:rsid w:val="00A90DEF"/>
    <w:rsid w:val="00AA4B9C"/>
    <w:rsid w:val="00AE66C3"/>
    <w:rsid w:val="00B73C07"/>
    <w:rsid w:val="00B80185"/>
    <w:rsid w:val="00BA42BF"/>
    <w:rsid w:val="00C0182C"/>
    <w:rsid w:val="00C5645E"/>
    <w:rsid w:val="00C712E7"/>
    <w:rsid w:val="00C96A85"/>
    <w:rsid w:val="00CB644F"/>
    <w:rsid w:val="00DC5B13"/>
    <w:rsid w:val="00DD04AF"/>
    <w:rsid w:val="00E3280A"/>
    <w:rsid w:val="00FB62E2"/>
    <w:rsid w:val="00F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uly-2020/" TargetMode="External"/><Relationship Id="rId13" Type="http://schemas.openxmlformats.org/officeDocument/2006/relationships/hyperlink" Target="https://www.ifrs.org/news-and-events/updates/ifric-updates/june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uly-2020/" TargetMode="External"/><Relationship Id="rId12" Type="http://schemas.openxmlformats.org/officeDocument/2006/relationships/hyperlink" Target="https://www.ifrs.org/news-and-events/updates/iasb-updates/july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uly-2020/" TargetMode="External"/><Relationship Id="rId11" Type="http://schemas.openxmlformats.org/officeDocument/2006/relationships/hyperlink" Target="https://www.ifrs.org/news-and-events/updates/iasb-updates/july-2020/" TargetMode="External"/><Relationship Id="rId5" Type="http://schemas.openxmlformats.org/officeDocument/2006/relationships/hyperlink" Target="https://www.ifrs.org/news-and-events/calendar/2020/july/international-accounting-standards-boar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frs.org/news-and-events/updates/iasb-updates/june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july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2649</Words>
  <Characters>15419</Characters>
  <Application>Microsoft Office Word</Application>
  <DocSecurity>0</DocSecurity>
  <Lines>296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18</cp:revision>
  <dcterms:created xsi:type="dcterms:W3CDTF">2020-09-16T06:23:00Z</dcterms:created>
  <dcterms:modified xsi:type="dcterms:W3CDTF">2020-09-17T04:40:00Z</dcterms:modified>
</cp:coreProperties>
</file>