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D" w:rsidRPr="00A70C85" w:rsidRDefault="00EF62FD" w:rsidP="00EF62FD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A70C85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ASB Update June 2020</w:t>
      </w:r>
    </w:p>
    <w:p w:rsidR="00EF62FD" w:rsidRPr="00A70C85" w:rsidRDefault="00EF62F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EF62FD" w:rsidRPr="00A70C85" w:rsidRDefault="00BA0933" w:rsidP="00EF62FD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A70C85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юни 2020 г.</w:t>
      </w:r>
    </w:p>
    <w:p w:rsidR="00EF62FD" w:rsidRPr="00A70C85" w:rsidRDefault="00EF62F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: МСФО стандарти (IFRS</w:t>
      </w:r>
      <w:r w:rsidRPr="00A70C8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A70C8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A70C85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A70C8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дистанционно заседание на </w:t>
      </w:r>
      <w:hyperlink r:id="rId5" w:history="1"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23–25 </w:t>
        </w:r>
        <w:r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юни</w:t>
        </w:r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A70C85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Поддръжка и последователно прилагане на стандартите</w:t>
        </w:r>
      </w:hyperlink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</w:hyperlink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целеви преглед на оповестяванията на ниво стандарти</w:t>
        </w:r>
      </w:hyperlink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Класифициране на пасивите като текущи или нетекущи</w:t>
        </w:r>
      </w:hyperlink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5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</w:hyperlink>
    </w:p>
    <w:p w:rsidR="00EF62FD" w:rsidRPr="00A70C85" w:rsidRDefault="00363B3E" w:rsidP="00EF62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6" w:history="1"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Реформата на референтните лихвени проценти и нейният ефект върху финансовото отчитане</w:t>
        </w:r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BA0933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Фаза</w:t>
        </w:r>
        <w:r w:rsidR="00EF62FD" w:rsidRPr="00A70C8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</w:t>
        </w:r>
      </w:hyperlink>
    </w:p>
    <w:p w:rsidR="00EF62FD" w:rsidRPr="00A70C85" w:rsidRDefault="00BA0933" w:rsidP="00EF62FD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Допълнителна </w:t>
      </w:r>
      <w:proofErr w:type="gramStart"/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EF62FD" w:rsidRPr="00A70C85" w:rsidRDefault="00BA0933" w:rsidP="00EF62FD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EF62FD" w:rsidP="00EF62F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20–24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</w:p>
    <w:p w:rsidR="00EF62FD" w:rsidRPr="00A70C85" w:rsidRDefault="00EF62FD" w:rsidP="00EF62F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21–25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EF62FD" w:rsidRPr="00A70C85" w:rsidRDefault="00EF62FD" w:rsidP="00EF62F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26–30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EF62FD" w:rsidRPr="00A70C85" w:rsidRDefault="008A12F8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Поддръжка и последователно прилагане на стандартите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</w:t>
      </w:r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12–12</w:t>
      </w:r>
      <w:r w:rsidR="00C45226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Г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0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На 23 юни 2020 г. Съветът проведе заседание, за да обсъди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две теми, засягащи поддържането и последователното прилагане на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4627A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Продажба на дъщерно предприятие на клиент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12A)</w:t>
      </w:r>
    </w:p>
    <w:p w:rsidR="00EF62FD" w:rsidRPr="00A70C85" w:rsidRDefault="00B462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евентуално изменение с тесен обхват на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стандартите, което да изисква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предприятието да прилага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15 </w:t>
      </w:r>
      <w:r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вместо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10 </w:t>
      </w:r>
      <w:r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по отношение освобождаването от определени видове дъщерни предприятия</w:t>
      </w:r>
      <w:proofErr w:type="gramEnd"/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чрез продажба на клиент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462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добавя този проект към работната си програма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4627A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Промени в счетоводната политика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</w:t>
      </w: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–12</w:t>
      </w: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B462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обсъди получените като обратна информация становища във връзка с Проекта си за обсъждане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счетоводната политика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—</w:t>
      </w:r>
      <w:r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предложение за изменение на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8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 имаха за цел да опростят прилагането на промени в счетоводната политика, които произтичат от решение във връзка с програмата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462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продължава работата по този проект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счетоводни </w:t>
      </w:r>
      <w:r w:rsidR="00B4627A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политики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20)</w:t>
      </w:r>
      <w:bookmarkEnd w:id="1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На 24 юни 2020 г. Съветът проведе заседание, за да обсъди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получените като обратна информация становища във </w:t>
      </w:r>
      <w:proofErr w:type="gramStart"/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връзка с Проекта си за обсъждане </w:t>
      </w:r>
      <w:r w:rsidR="00B4627A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счетоводни политики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B4627A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и Изложение за практика по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="00B4627A" w:rsidRPr="00DF128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Извършване на преценки във връзка</w:t>
      </w:r>
      <w:proofErr w:type="gramEnd"/>
      <w:r w:rsidR="00B4627A" w:rsidRPr="00DF128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с нивото на същественост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 видове информация </w:t>
      </w:r>
      <w:proofErr w:type="gramStart"/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 следва да са обект на преценка във връзка с нивото на същественост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Следователно концепцията за нивото на същественост ще се прилага, когато се взема решение дали да се оповести информация </w:t>
      </w:r>
      <w:proofErr w:type="gramStart"/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</w:t>
      </w:r>
      <w:r w:rsidR="00B4627A" w:rsidRPr="00A70C8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политики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, която е стандартизирана или която дублира или обобщава изискванията в МСФО стандартите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, че понякога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информация </w:t>
      </w:r>
      <w:proofErr w:type="gramStart"/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политики, която е стандартизирана или която дублира или обобщава изискванията в МСФО стандартите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може да е съществена и следва да бъде оповестявана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да добави пример за обстоятелство към предложения параграф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1. </w:t>
      </w:r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Този пример ще пояснява, че съществената информация </w:t>
      </w:r>
      <w:proofErr w:type="gramStart"/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20956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 би могла да включва </w:t>
      </w:r>
      <w:r w:rsidR="00FF13C9" w:rsidRPr="00A70C85">
        <w:rPr>
          <w:rFonts w:eastAsia="Times New Roman" w:cs="Helvetica"/>
          <w:color w:val="575757"/>
          <w:sz w:val="24"/>
          <w:szCs w:val="24"/>
          <w:lang w:val="bg-BG"/>
        </w:rPr>
        <w:t>стандартизирана информация или информация, която дублира или обобщава изискванията в МСФО стандартите, когато счетоводното отчитане, изисквано по отношение на съществена сделка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FF13C9" w:rsidRPr="00A70C85">
        <w:rPr>
          <w:rFonts w:eastAsia="Times New Roman" w:cs="Helvetica"/>
          <w:color w:val="575757"/>
          <w:sz w:val="24"/>
          <w:szCs w:val="24"/>
          <w:lang w:val="bg-BG"/>
        </w:rPr>
        <w:t>друго събитие или условие, е сложно и може да не бъде разбрано от потребителите на финансовите отчети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FF13C9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За да поясни как концепцията за нивото на същественост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е приложима по отношение на всички видове информация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да добави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FF13C9" w:rsidP="00EF62FD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пояснителен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параграф към предложените изменения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1. </w:t>
      </w:r>
      <w:r w:rsidR="0022427D" w:rsidRPr="00A70C85">
        <w:rPr>
          <w:rFonts w:eastAsia="Times New Roman" w:cs="Helvetica"/>
          <w:color w:val="575757"/>
          <w:sz w:val="24"/>
          <w:szCs w:val="24"/>
          <w:lang w:val="bg-BG"/>
        </w:rPr>
        <w:t>Този параграф ще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22427D" w:rsidP="00EF62FD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пояснява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 че на предприятията се разрешава да предоставят несъществена информация относно счетоводните политики, доколкото тя не замъглява или прикрива съществена информация относно тези политики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EF62FD" w:rsidRPr="00A70C85" w:rsidRDefault="0022427D" w:rsidP="00EF62FD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подтиква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предприятията да преценяват дали не замъгляват или прикриват съществена информация относно счетоводните политики с несъществена информация относно тези политики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22427D" w:rsidP="00FD08B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допълнителни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насоки към предложените изменения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Изложение за практика по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F128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 отнасящи се до параграф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Б от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 промените в измененията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 описани в подточка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(a)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по-горе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EF62FD" w:rsidRPr="00A70C85" w:rsidRDefault="0022427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разгледа въпроса дали да пристъпи към процедурата по гласуване на измененията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Инициатива за оповестяване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стандарти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2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>да предостави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180 </w:t>
      </w:r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дни като период за коментари във връзка с проекта за обсъждане, посветен на предложените изменения в разделите </w:t>
      </w:r>
      <w:proofErr w:type="gramStart"/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оповестяванията в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19 </w:t>
      </w:r>
      <w:r w:rsidR="005D22B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13 </w:t>
      </w:r>
      <w:r w:rsidR="005D22B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997D34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Съвета </w:t>
      </w:r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>потвърдиха, че са се уверили, че Съветът</w:t>
      </w:r>
      <w:proofErr w:type="gramEnd"/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изисквания на регламентираната процедура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D22BD" w:rsidRPr="00A70C85">
        <w:rPr>
          <w:rFonts w:eastAsia="Times New Roman" w:cs="Helvetica"/>
          <w:color w:val="575757"/>
          <w:sz w:val="24"/>
          <w:szCs w:val="24"/>
          <w:lang w:val="bg-BG"/>
        </w:rPr>
        <w:t>и е провел в частност достатъчни консултации и анализи, за да се пристъпи към процедурата по гласуване</w:t>
      </w:r>
      <w:r w:rsidR="00B7477A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 проекта за обсъждане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747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Нито един от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членовете на Съвета не даде индикации, че възнамерява да изрази несъгласие с предложенията в проекта за обсъждане, но двама от членовете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 Съвета посочиха, че биха могли да постъпят по този начин в зависимост от редакцията на предложенията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EF62FD" w:rsidRPr="00A70C85" w:rsidRDefault="00B7477A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проекта за обсъждане през март 2021 г.</w:t>
      </w:r>
    </w:p>
    <w:p w:rsidR="00EF62FD" w:rsidRPr="00A70C85" w:rsidRDefault="00C45226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Класифициране на пасивите като текущи или нетекущи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изменения в МСС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1)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29)</w:t>
      </w:r>
      <w:bookmarkEnd w:id="3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На 24 юни 2020 г. Съветът проведе заседание, за да обсъди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>получените като обратна информация становища във връзка с Проекта за обсъждане от май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г. </w:t>
      </w:r>
      <w:r w:rsidR="004D67DE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Класифициране на пасивите като текущи или нетекущи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—</w:t>
      </w:r>
      <w:r w:rsidR="004D67DE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отсрочване на датата на влизане в сила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>който изменя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4D67DE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Проектът за обсъждане предлага отсрочване с една година на датата на влизане в сила на </w:t>
      </w:r>
      <w:r w:rsidR="004D67DE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Класифициране на пасивите като текущи или нетекущи,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>издаден през януари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Изменената дата на влизане в сила става 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1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2023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4D67DE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Анализ на писмата с коментари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 препоръка за финализиране </w:t>
      </w:r>
      <w:r w:rsidR="00392506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на</w:t>
      </w: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изменението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29A)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да финализира предложеното в Проекта за обсъждане </w:t>
      </w:r>
      <w:r w:rsidR="00392506" w:rsidRPr="00A70C85">
        <w:rPr>
          <w:rFonts w:eastAsia="Times New Roman" w:cs="Helvetica"/>
          <w:color w:val="575757"/>
          <w:sz w:val="24"/>
          <w:szCs w:val="24"/>
          <w:lang w:val="bg-BG"/>
        </w:rPr>
        <w:t>изменение без каквито и да е</w:t>
      </w:r>
      <w:r w:rsidR="004D67DE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промени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4D67DE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Регламентирана процедура и разрешение за гласуване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29</w:t>
      </w:r>
      <w:r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4D67DE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да пристъпи към процедурата по гласуване на изменението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без представяне за повторно обсъждане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4D67DE" w:rsidP="004D67D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потвърдиха, че са се уверили, че Съветът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изисквания на регламентираната процедура, за да се пристъпи към процедурата по гласуване на изменението в МСС 1. Нито един от членовете на Съвета не даде индикации, че възнамерява да изрази несъгласие с изменението на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EF62FD" w:rsidRPr="00A70C85" w:rsidRDefault="004D67DE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изменението през юли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19)</w:t>
      </w:r>
      <w:bookmarkEnd w:id="4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На 24 юни 2020 г.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>констатациите от изследователската дейност, която да помогне на Съвета</w:t>
      </w:r>
      <w:proofErr w:type="gramEnd"/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да вземе на бъдещо свое заседание решение дали да замени или измени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6 </w:t>
      </w:r>
      <w:r w:rsidR="00241E28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B501D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Обобщение на получените като обратна информация становища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19A)</w:t>
      </w:r>
    </w:p>
    <w:p w:rsidR="00EF62FD" w:rsidRPr="00A70C85" w:rsidRDefault="00BB501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обсъди обратната информация във връзка с искането за предоставяне на становища от юрисдикции и групи заинтересовани лица, както и от национални органи за изготвяне и въвеждане на стандарти, които помогнаха при разработването на Документа за обсъждане от 2010 г.</w:t>
      </w:r>
      <w:r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Добивни дейности,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обсъден от Съвета през март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B501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EF62FD" w:rsidRPr="00A70C85" w:rsidRDefault="00BB501D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обсъждането на констатациите от изследователската си работа във връзка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 добивните дейности и ще проведе образователни сесии, които да допринесат за задълбочаване на неговите разбирания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Реформата на референтните лихвени проценти и нейният ефект върху финансовото отчитане—Фаза 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2 (</w:t>
      </w:r>
      <w:r w:rsidR="00BA0933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14)</w:t>
      </w:r>
      <w:bookmarkEnd w:id="5"/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25 юни 2020 г.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получените като обратна информация становища във връзка с Проекта за обсъждане 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Реформа на референтните лихвени проценти – Фаза 2 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>„Проектът за обсъждане“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), </w:t>
      </w:r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7 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F62F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4 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 </w:t>
      </w:r>
      <w:r w:rsidR="00BB501D"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="00BB501D" w:rsidRPr="00A70C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Лизинг, </w:t>
      </w:r>
      <w:r w:rsidR="00D106E5" w:rsidRPr="00A70C85">
        <w:rPr>
          <w:rFonts w:eastAsia="Times New Roman" w:cs="Helvetica"/>
          <w:color w:val="575757"/>
          <w:sz w:val="24"/>
          <w:szCs w:val="24"/>
          <w:lang w:val="bg-BG"/>
        </w:rPr>
        <w:t>по отношение на проблемни въпроси, които засягат финансовото отчитане по време на реформата на референтен лихвен процент.</w:t>
      </w:r>
      <w:proofErr w:type="gramEnd"/>
    </w:p>
    <w:p w:rsidR="00EF62FD" w:rsidRPr="00A70C85" w:rsidRDefault="00D106E5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Документите по програмата за това заседание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92506">
        <w:rPr>
          <w:rFonts w:eastAsia="Times New Roman" w:cs="Helvetica"/>
          <w:color w:val="575757"/>
          <w:sz w:val="24"/>
          <w:szCs w:val="24"/>
          <w:lang w:val="bg-BG"/>
        </w:rPr>
        <w:t>представят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получените като обратна информация становища, както и анализ и препоръки във връзка с Проекта за обсъждане, с изключение на обратната информация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Въпрос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3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 отнасящ се до предложенията за счетоводно отчитане на отговарящи на условията хеджиращи взаимоотношения и групи позиции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Тази обратна информация ще бъде предоставена на следващото заседание на Съвета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Анализ на обратната информация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7D06B2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модификации на </w:t>
      </w:r>
      <w:proofErr w:type="gramStart"/>
      <w:r w:rsidR="007D06B2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финансови активи и финансови</w:t>
      </w:r>
      <w:proofErr w:type="gramEnd"/>
      <w:r w:rsidR="007D06B2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пасиви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14A)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>да финализира без съществени промени предложенията, изложени в проекта на изменение на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9,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16 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по отношение на модификациите на </w:t>
      </w:r>
      <w:proofErr w:type="gramStart"/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>финансови активи и финансови</w:t>
      </w:r>
      <w:proofErr w:type="gramEnd"/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пасиви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D960BA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7D06B2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изменения в хеджиращи взаимоотношения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7D06B2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предложенията в Проекта за обсъждане, отнасящи се до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>промените, изисквани по отношение на хеджиращи взаимоотношения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D960BA" w:rsidRPr="00A70C85">
        <w:rPr>
          <w:rFonts w:eastAsia="Times New Roman" w:cs="Helvetica"/>
          <w:color w:val="575757"/>
          <w:sz w:val="24"/>
          <w:szCs w:val="24"/>
          <w:lang w:val="bg-BG"/>
        </w:rPr>
        <w:t>при условие че</w:t>
      </w:r>
      <w:r w:rsidR="007D06B2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бъдат направени пояснения, включително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7D06B2" w:rsidP="00EF62F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препратка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към примерите за модификации, изисквани от реформата да бъде включена като част от промените, изисквани по отношение на хеджиращи взаимоотношения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EF62FD" w:rsidRPr="00A70C85" w:rsidRDefault="007D06B2" w:rsidP="00EF62F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специална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препратка към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определената хеджирана част да бъде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включена като част от промените, изисквани по отношение на хеджираната позиция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7D06B2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 допълнение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45226"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да поясни, че промените в хеджиращите взаимоотношения трябва да бъдат направени преди края на отчетния период, по </w:t>
      </w: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време на който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несигурността, отнасяща се до специфичен елемент от взаимоотношението, е била разрешена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241E28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определяне на рисковите компоненти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241E28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41E28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да финализира предложенията, съдържащи се в Проекта за обсъждане, при условие че бъде пояснено, че 24-месечният период е приложим спрямо отделния алтернативен референтен лихвен </w:t>
      </w:r>
      <w:proofErr w:type="gramStart"/>
      <w:r w:rsidR="00241E28" w:rsidRPr="00A70C85">
        <w:rPr>
          <w:rFonts w:eastAsia="Times New Roman" w:cs="Helvetica"/>
          <w:color w:val="575757"/>
          <w:sz w:val="24"/>
          <w:szCs w:val="24"/>
          <w:lang w:val="bg-BG"/>
        </w:rPr>
        <w:t>процент и следователно започва да тече от датата, на която предприятието определя за първи път конкретен алтернативен референтен лихвен процент</w:t>
      </w:r>
      <w:proofErr w:type="gramEnd"/>
      <w:r w:rsidR="00241E28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като хеджирания риск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241E28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дата на влизане в сила и преходни разпоредби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241E28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41E28" w:rsidRPr="00A70C8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241E28" w:rsidP="00EF62F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финализира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датата на влизане в сила, предложена в Проекта за обсъждане – т.е. от предприятията ще се изисква да прилагат измененията за годишни периоди, започващи на или след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като по-ранното прилагане бъде разрешено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241E28" w:rsidP="00EF62F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финализира изискванията за преход, предложени в Проекта за обсъждане с една промяна в изискването за </w:t>
      </w:r>
      <w:r w:rsidR="006F595F" w:rsidRPr="00A70C85">
        <w:rPr>
          <w:rFonts w:eastAsia="Times New Roman" w:cs="Helvetica"/>
          <w:color w:val="575757"/>
          <w:sz w:val="24"/>
          <w:szCs w:val="24"/>
          <w:lang w:val="bg-BG"/>
        </w:rPr>
        <w:t>възстановяване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 конкретни преустановени хеджиращи взаимоотношения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От предприятието ще се изисква да </w:t>
      </w:r>
      <w:r w:rsidR="006F595F" w:rsidRPr="00A70C85">
        <w:rPr>
          <w:rFonts w:eastAsia="Times New Roman" w:cs="Helvetica"/>
          <w:color w:val="575757"/>
          <w:sz w:val="24"/>
          <w:szCs w:val="24"/>
          <w:lang w:val="bg-BG"/>
        </w:rPr>
        <w:t>възстанови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преустановено хеджиращо взаимоотношение, ако и само ако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6F595F" w:rsidP="00EF62FD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предприятието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е преустановило това взаимоотношение единствено поради промени, изисквани от реформата на референтните лихвени проценти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EF62FD" w:rsidRPr="00A70C85" w:rsidRDefault="006F595F" w:rsidP="00EF62FD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към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датата на първоначално прилагане на измененията това преустановено взаимоотношение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продължава да отговаря на целта на управлението на риска, на базата на която то е отговаряло на условията за счетоводно отчитане на хеджиране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т.е. предприятието продължава да преследва целта за управление на риска по отношение на това хеджиращо взаимоотношение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и е продължавало да отговаря на всички останали критерии за допустимост 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след вземане под внимание на измененията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EF62FD" w:rsidRPr="00A70C85" w:rsidRDefault="000147B7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По отношение на преустановени хеджиращи взаимоотношения, които се изисква да бъдат възстановени, 24-месечният период, разглеждан в </w:t>
      </w:r>
      <w:r w:rsidR="00BA0933" w:rsidRPr="00A70C85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14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Г, започва да тече от датата на първоначално прилагане на измененията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0147B7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оповестяване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0147B7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да финализира предложените изменения в параграфи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–24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Й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147B7" w:rsidRPr="00A70C85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обсъждане, при условие че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E86076" w:rsidP="00EF62F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бъде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променено изменението, предложено в параграф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Й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обсъждане, така че да се изисква оповестяване на количествена информация относно недеривативни финансови активи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недеривативни финансови пасиви и деривативи 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като всеки бъде показан отделно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, които към края на отчетния период остават реферирани към референтни лихвени проценти, обект на реформата на референтните лихвени проценти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Тази информация ще бъде дезагрегирана по съществени референтни лихвени проценти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За целите на това оповестяване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предприятието ще избере представителната база за оповестяване на количествена информация и ще обясни базата, прилагана във финансовия отчет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4846B8" w:rsidP="00EF62F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бъде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заличено изискването за оповестяване, предложено в параграф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Й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4846B8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модификация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/</w:t>
      </w:r>
      <w:r w:rsidR="004846B8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замяна на деривативи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4846B8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Ж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да поясни, че за целите на промените, изисквани по отношение на хеджиращ инструмент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предвидени в предложените параграфи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6.9.</w:t>
      </w:r>
      <w:proofErr w:type="gramStart"/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7(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в</w:t>
      </w:r>
      <w:proofErr w:type="gramEnd"/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102O(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),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модификациите, изисквани от реформата на референтните лихвени проценти, биха могли да бъдат направени по начин, различен от модифицирането на договорните условия на хеджиращия инструмент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стига хеджиращият инструмент да не бъде отписван и резултатът да е икономически еквивалентен на модифициране на хеджиращия инструмент, така че той да реферира към алтернативен референтен лихвен процент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58174B" w:rsidP="00EF62FD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обратната информация </w:t>
      </w:r>
      <w:r w:rsidR="00EF62FD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4846B8" w:rsidRPr="00A70C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други коментари 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BA0933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</w:t>
      </w:r>
      <w:r w:rsidR="004846B8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З</w:t>
      </w:r>
      <w:r w:rsidR="00EF62FD" w:rsidRPr="00A70C8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да не извършва съществени промени в предложенията в Проекта за обсъждане в отговор на </w:t>
      </w:r>
      <w:r w:rsidR="00D960BA">
        <w:rPr>
          <w:rFonts w:eastAsia="Times New Roman" w:cs="Helvetica"/>
          <w:color w:val="575757"/>
          <w:sz w:val="24"/>
          <w:szCs w:val="24"/>
          <w:lang w:val="bg-BG"/>
        </w:rPr>
        <w:t xml:space="preserve">проблемни </w:t>
      </w:r>
      <w:r w:rsidR="004846B8" w:rsidRPr="00A70C85">
        <w:rPr>
          <w:rFonts w:eastAsia="Times New Roman" w:cs="Helvetica"/>
          <w:color w:val="575757"/>
          <w:sz w:val="24"/>
          <w:szCs w:val="24"/>
          <w:lang w:val="bg-BG"/>
        </w:rPr>
        <w:t>въпроси, отнасящи се до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EF62FD" w:rsidRPr="00A70C85" w:rsidRDefault="004846B8" w:rsidP="00EF62FD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класифициране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на финансови активи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единствено плащания на главница и лихви върху непогасената сума на главницата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EF62FD" w:rsidRPr="00A70C85" w:rsidRDefault="004846B8" w:rsidP="00EF62FD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внедрени</w:t>
      </w:r>
      <w:proofErr w:type="gramEnd"/>
      <w:r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деривативи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C45226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EF62FD" w:rsidRPr="00A70C85" w:rsidRDefault="00BA0933" w:rsidP="00EF62F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A70C8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A47BEE" w:rsidRPr="00A70C85" w:rsidRDefault="0058174B" w:rsidP="00D960BA">
      <w:pPr>
        <w:shd w:val="clear" w:color="auto" w:fill="FFFFFF"/>
        <w:spacing w:after="300" w:line="240" w:lineRule="auto"/>
        <w:rPr>
          <w:lang w:val="bg-BG"/>
        </w:rPr>
      </w:pP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На заседанието през юли 2020 г. Съветът планира да обсъди обратната информация във връзка с предложенията за счетоводно отчитане на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отговарящи на условията хеджиращи взаимоотношения и групи позиции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както и въпроси, нуждаещи се от уточняване, които биха могли да възникнат</w:t>
      </w:r>
      <w:r w:rsidR="00EF62FD" w:rsidRPr="00A70C8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70C85">
        <w:rPr>
          <w:rFonts w:eastAsia="Times New Roman" w:cs="Helvetica"/>
          <w:color w:val="575757"/>
          <w:sz w:val="24"/>
          <w:szCs w:val="24"/>
          <w:lang w:val="bg-BG"/>
        </w:rPr>
        <w:t>Съветът ще обсъди също така и пристъпването към процедурата по гласуване във връзка с измененията.</w:t>
      </w:r>
    </w:p>
    <w:sectPr w:rsidR="00A47BEE" w:rsidRPr="00A70C85" w:rsidSect="00C558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DC"/>
    <w:multiLevelType w:val="multilevel"/>
    <w:tmpl w:val="1F369D9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2ED"/>
    <w:multiLevelType w:val="multilevel"/>
    <w:tmpl w:val="9FB6875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A1344"/>
    <w:multiLevelType w:val="multilevel"/>
    <w:tmpl w:val="AC2A374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B62DB"/>
    <w:multiLevelType w:val="multilevel"/>
    <w:tmpl w:val="82A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24794"/>
    <w:multiLevelType w:val="multilevel"/>
    <w:tmpl w:val="B2C2322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0615E"/>
    <w:multiLevelType w:val="multilevel"/>
    <w:tmpl w:val="20F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34654"/>
    <w:multiLevelType w:val="multilevel"/>
    <w:tmpl w:val="023631F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62FD"/>
    <w:rsid w:val="000147B7"/>
    <w:rsid w:val="00220956"/>
    <w:rsid w:val="0022427D"/>
    <w:rsid w:val="00241E28"/>
    <w:rsid w:val="00363B3E"/>
    <w:rsid w:val="00364896"/>
    <w:rsid w:val="00392506"/>
    <w:rsid w:val="004846B8"/>
    <w:rsid w:val="004D67DE"/>
    <w:rsid w:val="0058174B"/>
    <w:rsid w:val="005D22BD"/>
    <w:rsid w:val="005F641F"/>
    <w:rsid w:val="006F595F"/>
    <w:rsid w:val="007D06B2"/>
    <w:rsid w:val="008A12F8"/>
    <w:rsid w:val="00997D34"/>
    <w:rsid w:val="00A37188"/>
    <w:rsid w:val="00A47BEE"/>
    <w:rsid w:val="00A70C85"/>
    <w:rsid w:val="00B4627A"/>
    <w:rsid w:val="00B7477A"/>
    <w:rsid w:val="00BA0933"/>
    <w:rsid w:val="00BB501D"/>
    <w:rsid w:val="00C45226"/>
    <w:rsid w:val="00C55804"/>
    <w:rsid w:val="00CD77A3"/>
    <w:rsid w:val="00CE6264"/>
    <w:rsid w:val="00D106E5"/>
    <w:rsid w:val="00D960BA"/>
    <w:rsid w:val="00DF1282"/>
    <w:rsid w:val="00E86076"/>
    <w:rsid w:val="00EF62FD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0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ne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ne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ne-2020/" TargetMode="External"/><Relationship Id="rId11" Type="http://schemas.openxmlformats.org/officeDocument/2006/relationships/hyperlink" Target="https://www.ifrs.org/news-and-events/updates/iasb-updates/june-2020/" TargetMode="External"/><Relationship Id="rId5" Type="http://schemas.openxmlformats.org/officeDocument/2006/relationships/hyperlink" Target="https://www.ifrs.org/news-and-events/calendar/2020/june/international-accounting-standards-board/" TargetMode="External"/><Relationship Id="rId10" Type="http://schemas.openxmlformats.org/officeDocument/2006/relationships/hyperlink" Target="https://www.ifrs.org/news-and-events/updates/iasb-updates/june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ne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2422</Words>
  <Characters>14387</Characters>
  <Application>Microsoft Office Word</Application>
  <DocSecurity>0</DocSecurity>
  <Lines>261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18</cp:revision>
  <dcterms:created xsi:type="dcterms:W3CDTF">2020-09-15T04:28:00Z</dcterms:created>
  <dcterms:modified xsi:type="dcterms:W3CDTF">2020-09-16T05:07:00Z</dcterms:modified>
</cp:coreProperties>
</file>