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BDB" w:rsidRPr="007C058F" w:rsidRDefault="001578C4" w:rsidP="00212BDB">
      <w:pPr>
        <w:pStyle w:val="Heading1"/>
        <w:shd w:val="clear" w:color="auto" w:fill="A41F35"/>
        <w:spacing w:before="0"/>
        <w:rPr>
          <w:rFonts w:asciiTheme="minorHAnsi" w:eastAsia="Times New Roman" w:hAnsiTheme="minorHAnsi" w:cs="Helvetica"/>
          <w:b/>
          <w:bCs/>
          <w:color w:val="FFFFFF"/>
          <w:kern w:val="36"/>
          <w:sz w:val="58"/>
          <w:szCs w:val="58"/>
          <w:lang w:val="bg-BG"/>
        </w:rPr>
      </w:pPr>
      <w:r w:rsidRPr="007C058F">
        <w:rPr>
          <w:rFonts w:asciiTheme="minorHAnsi" w:eastAsia="Times New Roman" w:hAnsiTheme="minorHAnsi" w:cs="Helvetica"/>
          <w:b/>
          <w:bCs/>
          <w:color w:val="FFFFFF"/>
          <w:kern w:val="36"/>
          <w:sz w:val="58"/>
          <w:szCs w:val="58"/>
          <w:lang w:val="bg-BG"/>
        </w:rPr>
        <w:t>Информационен бюлетин на Съвета по международни счетоводни стандарти (IASB) – май 2020 г.</w:t>
      </w:r>
    </w:p>
    <w:p w:rsidR="00212BDB" w:rsidRPr="007C058F" w:rsidRDefault="00212BDB" w:rsidP="00212BDB">
      <w:pPr>
        <w:shd w:val="clear" w:color="auto" w:fill="FFFFFF"/>
        <w:spacing w:after="0" w:line="240" w:lineRule="auto"/>
        <w:outlineLvl w:val="0"/>
        <w:rPr>
          <w:rFonts w:eastAsia="Times New Roman" w:cs="Helvetica"/>
          <w:b/>
          <w:bCs/>
          <w:color w:val="FFFFFF"/>
          <w:kern w:val="36"/>
          <w:sz w:val="58"/>
          <w:szCs w:val="58"/>
          <w:lang w:val="bg-BG"/>
        </w:rPr>
      </w:pPr>
      <w:r w:rsidRPr="007C058F">
        <w:rPr>
          <w:rFonts w:eastAsia="Times New Roman" w:cs="Helvetica"/>
          <w:b/>
          <w:bCs/>
          <w:color w:val="FFFFFF"/>
          <w:kern w:val="36"/>
          <w:sz w:val="58"/>
          <w:szCs w:val="58"/>
          <w:lang w:val="bg-BG"/>
        </w:rPr>
        <w:t>ASB Update May 2020</w:t>
      </w:r>
    </w:p>
    <w:p w:rsidR="00212BDB" w:rsidRPr="007C058F" w:rsidRDefault="001578C4" w:rsidP="00212BDB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7C058F">
        <w:rPr>
          <w:rFonts w:eastAsia="Times New Roman" w:cs="Helvetica"/>
          <w:color w:val="575757"/>
          <w:sz w:val="24"/>
          <w:szCs w:val="24"/>
          <w:lang w:val="bg-BG"/>
        </w:rPr>
        <w:t xml:space="preserve">Настоящият бюлетин на </w:t>
      </w:r>
      <w:proofErr w:type="gramStart"/>
      <w:r w:rsidRPr="007C058F">
        <w:rPr>
          <w:rFonts w:eastAsia="Times New Roman" w:cs="Helvetica"/>
          <w:color w:val="575757"/>
          <w:sz w:val="24"/>
          <w:szCs w:val="24"/>
          <w:lang w:val="bg-BG"/>
        </w:rPr>
        <w:t>Съвета по международни счетоводни стандарти (IASB) (”Съветът”) представя предварителните решения на Съвета</w:t>
      </w:r>
      <w:proofErr w:type="gramEnd"/>
      <w:r w:rsidRPr="007C058F">
        <w:rPr>
          <w:rFonts w:eastAsia="Times New Roman" w:cs="Helvetica"/>
          <w:color w:val="575757"/>
          <w:sz w:val="24"/>
          <w:szCs w:val="24"/>
          <w:lang w:val="bg-BG"/>
        </w:rPr>
        <w:t xml:space="preserve">. Окончателните решения на Съвета по международни счетоводни стандарти </w:t>
      </w:r>
      <w:proofErr w:type="gramStart"/>
      <w:r w:rsidRPr="007C058F">
        <w:rPr>
          <w:rFonts w:eastAsia="Times New Roman" w:cs="Helvetica"/>
          <w:color w:val="575757"/>
          <w:sz w:val="24"/>
          <w:szCs w:val="24"/>
          <w:lang w:val="bg-BG"/>
        </w:rPr>
        <w:t>относно</w:t>
      </w:r>
      <w:proofErr w:type="gramEnd"/>
      <w:r w:rsidRPr="007C058F">
        <w:rPr>
          <w:rFonts w:eastAsia="Times New Roman" w:cs="Helvetica"/>
          <w:color w:val="575757"/>
          <w:sz w:val="24"/>
          <w:szCs w:val="24"/>
          <w:lang w:val="bg-BG"/>
        </w:rPr>
        <w:t>: МСФО стандарти (IFRS</w:t>
      </w:r>
      <w:r w:rsidRPr="007C058F">
        <w:rPr>
          <w:rFonts w:eastAsia="Times New Roman" w:cs="Helvetica"/>
          <w:color w:val="575757"/>
          <w:sz w:val="24"/>
          <w:szCs w:val="24"/>
          <w:vertAlign w:val="superscript"/>
          <w:lang w:val="bg-BG"/>
        </w:rPr>
        <w:t>®</w:t>
      </w:r>
      <w:r w:rsidRPr="007C058F">
        <w:rPr>
          <w:rFonts w:eastAsia="Times New Roman" w:cs="Helvetica"/>
          <w:color w:val="575757"/>
          <w:sz w:val="24"/>
          <w:szCs w:val="24"/>
          <w:lang w:val="bg-BG"/>
        </w:rPr>
        <w:t> Standards), Изменения и Разяснения (IFRIC</w:t>
      </w:r>
      <w:r w:rsidRPr="007C058F">
        <w:rPr>
          <w:rFonts w:eastAsia="Times New Roman" w:cs="Helvetica"/>
          <w:color w:val="575757"/>
          <w:sz w:val="24"/>
          <w:szCs w:val="24"/>
          <w:vertAlign w:val="superscript"/>
          <w:lang w:val="bg-BG"/>
        </w:rPr>
        <w:t>®</w:t>
      </w:r>
      <w:r w:rsidRPr="007C058F">
        <w:rPr>
          <w:rFonts w:eastAsia="Times New Roman" w:cs="Helvetica"/>
          <w:color w:val="575757"/>
          <w:sz w:val="24"/>
          <w:szCs w:val="24"/>
          <w:lang w:val="bg-BG"/>
        </w:rPr>
        <w:t xml:space="preserve"> Interpretations) се подлагат на официално гласуване, съгласно предвиденото в </w:t>
      </w:r>
      <w:r w:rsidRPr="007C058F">
        <w:rPr>
          <w:rFonts w:eastAsia="Times New Roman" w:cs="Helvetica"/>
          <w:i/>
          <w:color w:val="575757"/>
          <w:sz w:val="24"/>
          <w:szCs w:val="24"/>
          <w:lang w:val="bg-BG"/>
        </w:rPr>
        <w:t>Ръководството по регламентираната процедура</w:t>
      </w:r>
      <w:r w:rsidRPr="007C058F">
        <w:rPr>
          <w:rFonts w:eastAsia="Times New Roman" w:cs="Helvetica"/>
          <w:color w:val="575757"/>
          <w:sz w:val="24"/>
          <w:szCs w:val="24"/>
          <w:lang w:val="bg-BG"/>
        </w:rPr>
        <w:t xml:space="preserve"> на Фондация МСФО (IFRS</w:t>
      </w:r>
      <w:r w:rsidRPr="007C058F">
        <w:rPr>
          <w:rFonts w:eastAsia="Times New Roman" w:cs="Helvetica"/>
          <w:color w:val="575757"/>
          <w:sz w:val="24"/>
          <w:szCs w:val="24"/>
          <w:vertAlign w:val="superscript"/>
          <w:lang w:val="bg-BG"/>
        </w:rPr>
        <w:t>®</w:t>
      </w:r>
      <w:r w:rsidRPr="007C058F">
        <w:rPr>
          <w:rFonts w:eastAsia="Times New Roman" w:cs="Helvetica"/>
          <w:color w:val="575757"/>
          <w:sz w:val="24"/>
          <w:szCs w:val="24"/>
          <w:lang w:val="bg-BG"/>
        </w:rPr>
        <w:t xml:space="preserve"> Foundation) и Комитета по разясненията на МСФО (IFRS Interpretation Committee).</w:t>
      </w:r>
    </w:p>
    <w:p w:rsidR="00212BDB" w:rsidRPr="007C058F" w:rsidRDefault="001578C4" w:rsidP="00212BDB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7C058F">
        <w:rPr>
          <w:rFonts w:eastAsia="Times New Roman" w:cs="Helvetica"/>
          <w:color w:val="575757"/>
          <w:sz w:val="24"/>
          <w:szCs w:val="24"/>
          <w:lang w:val="bg-BG"/>
        </w:rPr>
        <w:t xml:space="preserve">Съветът проведе дистанционно заседание на </w:t>
      </w:r>
      <w:hyperlink r:id="rId5" w:history="1">
        <w:r w:rsidR="00212BDB" w:rsidRPr="007C058F">
          <w:rPr>
            <w:rFonts w:eastAsia="Times New Roman" w:cs="Helvetica"/>
            <w:color w:val="CD3333"/>
            <w:sz w:val="24"/>
            <w:szCs w:val="24"/>
            <w:u w:val="single"/>
            <w:lang w:val="bg-BG"/>
          </w:rPr>
          <w:t xml:space="preserve">20–21 </w:t>
        </w:r>
        <w:r w:rsidRPr="007C058F">
          <w:rPr>
            <w:rFonts w:eastAsia="Times New Roman" w:cs="Helvetica"/>
            <w:color w:val="CD3333"/>
            <w:sz w:val="24"/>
            <w:szCs w:val="24"/>
            <w:u w:val="single"/>
            <w:lang w:val="bg-BG"/>
          </w:rPr>
          <w:t>май</w:t>
        </w:r>
        <w:r w:rsidR="00212BDB" w:rsidRPr="007C058F">
          <w:rPr>
            <w:rFonts w:eastAsia="Times New Roman" w:cs="Helvetica"/>
            <w:color w:val="CD3333"/>
            <w:sz w:val="24"/>
            <w:szCs w:val="24"/>
            <w:u w:val="single"/>
            <w:lang w:val="bg-BG"/>
          </w:rPr>
          <w:t xml:space="preserve"> 2020</w:t>
        </w:r>
      </w:hyperlink>
      <w:r w:rsidRPr="007C058F">
        <w:rPr>
          <w:rFonts w:eastAsia="Times New Roman" w:cs="Helvetica"/>
          <w:color w:val="CD3333"/>
          <w:sz w:val="24"/>
          <w:szCs w:val="24"/>
          <w:u w:val="single"/>
          <w:lang w:val="bg-BG"/>
        </w:rPr>
        <w:t xml:space="preserve"> г</w:t>
      </w:r>
      <w:r w:rsidR="00212BDB" w:rsidRPr="007C058F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212BDB" w:rsidRPr="007C058F" w:rsidRDefault="001578C4" w:rsidP="00212BDB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7C058F">
        <w:rPr>
          <w:rFonts w:eastAsia="Times New Roman" w:cs="Helvetica"/>
          <w:color w:val="575757"/>
          <w:sz w:val="24"/>
          <w:szCs w:val="24"/>
          <w:lang w:val="bg-BG"/>
        </w:rPr>
        <w:t>Темите, по реда на обсъждането им, включваха</w:t>
      </w:r>
      <w:r w:rsidR="00212BDB" w:rsidRPr="007C058F">
        <w:rPr>
          <w:rFonts w:eastAsia="Times New Roman" w:cs="Helvetica"/>
          <w:color w:val="575757"/>
          <w:sz w:val="24"/>
          <w:szCs w:val="24"/>
          <w:lang w:val="bg-BG"/>
        </w:rPr>
        <w:t>:</w:t>
      </w:r>
    </w:p>
    <w:p w:rsidR="00212BDB" w:rsidRPr="007C058F" w:rsidRDefault="00CD06E6" w:rsidP="00212BDB">
      <w:pPr>
        <w:numPr>
          <w:ilvl w:val="0"/>
          <w:numId w:val="1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  <w:lang w:val="bg-BG"/>
        </w:rPr>
      </w:pPr>
      <w:hyperlink r:id="rId6" w:anchor="1" w:history="1">
        <w:r w:rsidR="001578C4" w:rsidRPr="007C058F">
          <w:rPr>
            <w:rFonts w:eastAsia="Times New Roman" w:cs="Helvetica"/>
            <w:color w:val="CD3333"/>
            <w:sz w:val="24"/>
            <w:szCs w:val="24"/>
            <w:u w:val="single"/>
            <w:lang w:val="bg-BG"/>
          </w:rPr>
          <w:t>Изменение на</w:t>
        </w:r>
        <w:r w:rsidR="00212BDB" w:rsidRPr="007C058F">
          <w:rPr>
            <w:rFonts w:eastAsia="Times New Roman" w:cs="Helvetica"/>
            <w:color w:val="CD3333"/>
            <w:sz w:val="24"/>
            <w:szCs w:val="24"/>
            <w:u w:val="single"/>
            <w:lang w:val="bg-BG"/>
          </w:rPr>
          <w:t xml:space="preserve"> </w:t>
        </w:r>
        <w:r w:rsidR="001578C4" w:rsidRPr="007C058F">
          <w:rPr>
            <w:rFonts w:eastAsia="Times New Roman" w:cs="Helvetica"/>
            <w:color w:val="CD3333"/>
            <w:sz w:val="24"/>
            <w:szCs w:val="24"/>
            <w:u w:val="single"/>
            <w:lang w:val="bg-BG"/>
          </w:rPr>
          <w:t>МСФО</w:t>
        </w:r>
        <w:r w:rsidR="00212BDB" w:rsidRPr="007C058F">
          <w:rPr>
            <w:rFonts w:eastAsia="Times New Roman" w:cs="Helvetica"/>
            <w:color w:val="CD3333"/>
            <w:sz w:val="24"/>
            <w:szCs w:val="24"/>
            <w:u w:val="single"/>
            <w:lang w:val="bg-BG"/>
          </w:rPr>
          <w:t xml:space="preserve"> 17 </w:t>
        </w:r>
        <w:r w:rsidR="001578C4" w:rsidRPr="007C058F">
          <w:rPr>
            <w:rFonts w:eastAsia="Times New Roman" w:cs="Helvetica"/>
            <w:i/>
            <w:iCs/>
            <w:color w:val="CD3333"/>
            <w:sz w:val="24"/>
            <w:szCs w:val="24"/>
            <w:lang w:val="bg-BG"/>
          </w:rPr>
          <w:t>Застрахователни договори</w:t>
        </w:r>
      </w:hyperlink>
    </w:p>
    <w:p w:rsidR="00212BDB" w:rsidRPr="007C058F" w:rsidRDefault="00CD06E6" w:rsidP="00212BDB">
      <w:pPr>
        <w:numPr>
          <w:ilvl w:val="0"/>
          <w:numId w:val="1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  <w:lang w:val="bg-BG"/>
        </w:rPr>
      </w:pPr>
      <w:hyperlink r:id="rId7" w:anchor="2" w:history="1">
        <w:r w:rsidR="001578C4" w:rsidRPr="007C058F">
          <w:rPr>
            <w:rFonts w:eastAsia="Times New Roman" w:cs="Helvetica"/>
            <w:color w:val="CD3333"/>
            <w:sz w:val="24"/>
            <w:szCs w:val="24"/>
            <w:u w:val="single"/>
            <w:lang w:val="bg-BG"/>
          </w:rPr>
          <w:t>Коментар на ръководството</w:t>
        </w:r>
      </w:hyperlink>
    </w:p>
    <w:p w:rsidR="00212BDB" w:rsidRPr="007C058F" w:rsidRDefault="00CD06E6" w:rsidP="00212BDB">
      <w:pPr>
        <w:numPr>
          <w:ilvl w:val="0"/>
          <w:numId w:val="1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  <w:lang w:val="bg-BG"/>
        </w:rPr>
      </w:pPr>
      <w:hyperlink r:id="rId8" w:anchor="3" w:history="1">
        <w:r w:rsidR="001578C4" w:rsidRPr="007C058F">
          <w:rPr>
            <w:rFonts w:eastAsia="Times New Roman" w:cs="Helvetica"/>
            <w:color w:val="CD3333"/>
            <w:sz w:val="24"/>
            <w:szCs w:val="24"/>
            <w:u w:val="single"/>
            <w:lang w:val="bg-BG"/>
          </w:rPr>
          <w:t xml:space="preserve">Актуална информация </w:t>
        </w:r>
        <w:proofErr w:type="gramStart"/>
        <w:r w:rsidR="001578C4" w:rsidRPr="007C058F">
          <w:rPr>
            <w:rFonts w:eastAsia="Times New Roman" w:cs="Helvetica"/>
            <w:color w:val="CD3333"/>
            <w:sz w:val="24"/>
            <w:szCs w:val="24"/>
            <w:u w:val="single"/>
            <w:lang w:val="bg-BG"/>
          </w:rPr>
          <w:t>относно</w:t>
        </w:r>
        <w:proofErr w:type="gramEnd"/>
        <w:r w:rsidR="001578C4" w:rsidRPr="007C058F">
          <w:rPr>
            <w:rFonts w:eastAsia="Times New Roman" w:cs="Helvetica"/>
            <w:color w:val="CD3333"/>
            <w:sz w:val="24"/>
            <w:szCs w:val="24"/>
            <w:u w:val="single"/>
            <w:lang w:val="bg-BG"/>
          </w:rPr>
          <w:t xml:space="preserve"> изследователската програма</w:t>
        </w:r>
      </w:hyperlink>
    </w:p>
    <w:p w:rsidR="00212BDB" w:rsidRPr="007C058F" w:rsidRDefault="00CD06E6" w:rsidP="00212BDB">
      <w:pPr>
        <w:numPr>
          <w:ilvl w:val="0"/>
          <w:numId w:val="1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  <w:lang w:val="bg-BG"/>
        </w:rPr>
      </w:pPr>
      <w:hyperlink r:id="rId9" w:anchor="4" w:history="1">
        <w:r w:rsidR="001578C4" w:rsidRPr="007C058F">
          <w:rPr>
            <w:rFonts w:eastAsia="Times New Roman" w:cs="Helvetica"/>
            <w:color w:val="CD3333"/>
            <w:sz w:val="24"/>
            <w:szCs w:val="24"/>
            <w:u w:val="single"/>
            <w:lang w:val="bg-BG"/>
          </w:rPr>
          <w:t>Поддръжка и последователно прилагане</w:t>
        </w:r>
      </w:hyperlink>
    </w:p>
    <w:p w:rsidR="00212BDB" w:rsidRPr="007C058F" w:rsidRDefault="00CD06E6" w:rsidP="00212BDB">
      <w:pPr>
        <w:numPr>
          <w:ilvl w:val="0"/>
          <w:numId w:val="1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  <w:lang w:val="bg-BG"/>
        </w:rPr>
      </w:pPr>
      <w:hyperlink r:id="rId10" w:anchor="5" w:history="1">
        <w:r w:rsidR="001578C4" w:rsidRPr="007C058F">
          <w:rPr>
            <w:rFonts w:eastAsia="Times New Roman" w:cs="Helvetica"/>
            <w:color w:val="CD3333"/>
            <w:sz w:val="24"/>
            <w:szCs w:val="24"/>
            <w:u w:val="single"/>
            <w:lang w:val="bg-BG"/>
          </w:rPr>
          <w:t xml:space="preserve">Реформата на референтните лихвени проценти и ефектът й </w:t>
        </w:r>
        <w:r w:rsidR="00BC6D0B" w:rsidRPr="007C058F">
          <w:rPr>
            <w:rFonts w:eastAsia="Times New Roman" w:cs="Helvetica"/>
            <w:color w:val="CD3333"/>
            <w:sz w:val="24"/>
            <w:szCs w:val="24"/>
            <w:u w:val="single"/>
            <w:lang w:val="bg-BG"/>
          </w:rPr>
          <w:t>върху финансовото отчитане</w:t>
        </w:r>
        <w:r w:rsidR="00212BDB" w:rsidRPr="007C058F">
          <w:rPr>
            <w:rFonts w:eastAsia="Times New Roman" w:cs="Helvetica"/>
            <w:color w:val="CD3333"/>
            <w:sz w:val="24"/>
            <w:szCs w:val="24"/>
            <w:u w:val="single"/>
            <w:lang w:val="bg-BG"/>
          </w:rPr>
          <w:t>—</w:t>
        </w:r>
        <w:r w:rsidR="001578C4" w:rsidRPr="007C058F">
          <w:rPr>
            <w:rFonts w:eastAsia="Times New Roman" w:cs="Helvetica"/>
            <w:color w:val="CD3333"/>
            <w:sz w:val="24"/>
            <w:szCs w:val="24"/>
            <w:u w:val="single"/>
            <w:lang w:val="bg-BG"/>
          </w:rPr>
          <w:t>Фаза</w:t>
        </w:r>
        <w:r w:rsidR="00212BDB" w:rsidRPr="007C058F">
          <w:rPr>
            <w:rFonts w:eastAsia="Times New Roman" w:cs="Helvetica"/>
            <w:color w:val="CD3333"/>
            <w:sz w:val="24"/>
            <w:szCs w:val="24"/>
            <w:u w:val="single"/>
            <w:lang w:val="bg-BG"/>
          </w:rPr>
          <w:t xml:space="preserve"> 2</w:t>
        </w:r>
      </w:hyperlink>
    </w:p>
    <w:p w:rsidR="00212BDB" w:rsidRPr="007C058F" w:rsidRDefault="00CD06E6" w:rsidP="00212BDB">
      <w:pPr>
        <w:numPr>
          <w:ilvl w:val="0"/>
          <w:numId w:val="1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  <w:lang w:val="bg-BG"/>
        </w:rPr>
      </w:pPr>
      <w:hyperlink r:id="rId11" w:anchor="6" w:history="1">
        <w:r w:rsidR="00BC6D0B" w:rsidRPr="007C058F">
          <w:rPr>
            <w:rFonts w:eastAsia="Times New Roman" w:cs="Helvetica"/>
            <w:color w:val="CD3333"/>
            <w:sz w:val="24"/>
            <w:szCs w:val="24"/>
            <w:u w:val="single"/>
            <w:lang w:val="bg-BG"/>
          </w:rPr>
          <w:t>Инициатива за оповестяване</w:t>
        </w:r>
        <w:r w:rsidR="00212BDB" w:rsidRPr="007C058F">
          <w:rPr>
            <w:rFonts w:eastAsia="Times New Roman" w:cs="Helvetica"/>
            <w:color w:val="CD3333"/>
            <w:sz w:val="24"/>
            <w:szCs w:val="24"/>
            <w:u w:val="single"/>
            <w:lang w:val="bg-BG"/>
          </w:rPr>
          <w:t>—</w:t>
        </w:r>
        <w:r w:rsidR="00BC6D0B" w:rsidRPr="007C058F">
          <w:rPr>
            <w:rFonts w:eastAsia="Times New Roman" w:cs="Helvetica"/>
            <w:color w:val="CD3333"/>
            <w:sz w:val="24"/>
            <w:szCs w:val="24"/>
            <w:u w:val="single"/>
            <w:lang w:val="bg-BG"/>
          </w:rPr>
          <w:t>счетоводни политики</w:t>
        </w:r>
      </w:hyperlink>
    </w:p>
    <w:p w:rsidR="00212BDB" w:rsidRPr="007C058F" w:rsidRDefault="001578C4" w:rsidP="00212BDB">
      <w:pPr>
        <w:shd w:val="clear" w:color="auto" w:fill="F6F6F6"/>
        <w:spacing w:before="225" w:after="150" w:line="240" w:lineRule="auto"/>
        <w:outlineLvl w:val="2"/>
        <w:rPr>
          <w:rFonts w:eastAsia="Times New Roman" w:cs="Helvetica"/>
          <w:b/>
          <w:bCs/>
          <w:color w:val="333333"/>
          <w:sz w:val="24"/>
          <w:szCs w:val="24"/>
          <w:lang w:val="bg-BG"/>
        </w:rPr>
      </w:pPr>
      <w:r w:rsidRPr="007C058F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 xml:space="preserve">Допълнителна </w:t>
      </w:r>
      <w:proofErr w:type="gramStart"/>
      <w:r w:rsidRPr="007C058F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информация</w:t>
      </w:r>
      <w:proofErr w:type="gramEnd"/>
    </w:p>
    <w:p w:rsidR="00212BDB" w:rsidRPr="007C058F" w:rsidRDefault="001578C4" w:rsidP="00212BDB">
      <w:pPr>
        <w:shd w:val="clear" w:color="auto" w:fill="F6F6F6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7C058F">
        <w:rPr>
          <w:rFonts w:eastAsia="Times New Roman" w:cs="Helvetica"/>
          <w:color w:val="575757"/>
          <w:sz w:val="24"/>
          <w:szCs w:val="24"/>
          <w:lang w:val="bg-BG"/>
        </w:rPr>
        <w:t>Предстоящи заседания на Съвета</w:t>
      </w:r>
      <w:r w:rsidR="00212BDB" w:rsidRPr="007C058F">
        <w:rPr>
          <w:rFonts w:eastAsia="Times New Roman" w:cs="Helvetica"/>
          <w:color w:val="575757"/>
          <w:sz w:val="24"/>
          <w:szCs w:val="24"/>
          <w:lang w:val="bg-BG"/>
        </w:rPr>
        <w:t>:</w:t>
      </w:r>
    </w:p>
    <w:p w:rsidR="00212BDB" w:rsidRPr="007C058F" w:rsidRDefault="00212BDB" w:rsidP="00212BDB">
      <w:pPr>
        <w:numPr>
          <w:ilvl w:val="0"/>
          <w:numId w:val="2"/>
        </w:numPr>
        <w:shd w:val="clear" w:color="auto" w:fill="F6F6F6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  <w:lang w:val="bg-BG"/>
        </w:rPr>
      </w:pPr>
      <w:r w:rsidRPr="007C058F">
        <w:rPr>
          <w:rFonts w:eastAsia="Times New Roman" w:cs="Helvetica"/>
          <w:color w:val="575757"/>
          <w:sz w:val="24"/>
          <w:szCs w:val="24"/>
          <w:lang w:val="bg-BG"/>
        </w:rPr>
        <w:t xml:space="preserve">22–26 </w:t>
      </w:r>
      <w:r w:rsidR="001578C4" w:rsidRPr="007C058F">
        <w:rPr>
          <w:rFonts w:eastAsia="Times New Roman" w:cs="Helvetica"/>
          <w:color w:val="575757"/>
          <w:sz w:val="24"/>
          <w:szCs w:val="24"/>
          <w:lang w:val="bg-BG"/>
        </w:rPr>
        <w:t>юни</w:t>
      </w:r>
      <w:r w:rsidRPr="007C058F">
        <w:rPr>
          <w:rFonts w:eastAsia="Times New Roman" w:cs="Helvetica"/>
          <w:color w:val="575757"/>
          <w:sz w:val="24"/>
          <w:szCs w:val="24"/>
          <w:lang w:val="bg-BG"/>
        </w:rPr>
        <w:t xml:space="preserve"> 2020</w:t>
      </w:r>
      <w:r w:rsidR="001578C4" w:rsidRPr="007C058F">
        <w:rPr>
          <w:rFonts w:eastAsia="Times New Roman" w:cs="Helvetica"/>
          <w:color w:val="575757"/>
          <w:sz w:val="24"/>
          <w:szCs w:val="24"/>
          <w:lang w:val="bg-BG"/>
        </w:rPr>
        <w:t xml:space="preserve"> г.</w:t>
      </w:r>
    </w:p>
    <w:p w:rsidR="00212BDB" w:rsidRPr="007C058F" w:rsidRDefault="00212BDB" w:rsidP="00212BDB">
      <w:pPr>
        <w:numPr>
          <w:ilvl w:val="0"/>
          <w:numId w:val="2"/>
        </w:numPr>
        <w:shd w:val="clear" w:color="auto" w:fill="F6F6F6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  <w:lang w:val="bg-BG"/>
        </w:rPr>
      </w:pPr>
      <w:r w:rsidRPr="007C058F">
        <w:rPr>
          <w:rFonts w:eastAsia="Times New Roman" w:cs="Helvetica"/>
          <w:color w:val="575757"/>
          <w:sz w:val="24"/>
          <w:szCs w:val="24"/>
          <w:lang w:val="bg-BG"/>
        </w:rPr>
        <w:t xml:space="preserve">20–24 </w:t>
      </w:r>
      <w:r w:rsidR="001578C4" w:rsidRPr="007C058F">
        <w:rPr>
          <w:rFonts w:eastAsia="Times New Roman" w:cs="Helvetica"/>
          <w:color w:val="575757"/>
          <w:sz w:val="24"/>
          <w:szCs w:val="24"/>
          <w:lang w:val="bg-BG"/>
        </w:rPr>
        <w:t>юли</w:t>
      </w:r>
      <w:r w:rsidRPr="007C058F">
        <w:rPr>
          <w:rFonts w:eastAsia="Times New Roman" w:cs="Helvetica"/>
          <w:color w:val="575757"/>
          <w:sz w:val="24"/>
          <w:szCs w:val="24"/>
          <w:lang w:val="bg-BG"/>
        </w:rPr>
        <w:t xml:space="preserve"> 2020</w:t>
      </w:r>
      <w:r w:rsidR="001578C4" w:rsidRPr="007C058F">
        <w:rPr>
          <w:rFonts w:eastAsia="Times New Roman" w:cs="Helvetica"/>
          <w:color w:val="575757"/>
          <w:sz w:val="24"/>
          <w:szCs w:val="24"/>
          <w:lang w:val="bg-BG"/>
        </w:rPr>
        <w:t xml:space="preserve"> г.</w:t>
      </w:r>
    </w:p>
    <w:p w:rsidR="00212BDB" w:rsidRPr="007C058F" w:rsidRDefault="00212BDB" w:rsidP="00212BDB">
      <w:pPr>
        <w:numPr>
          <w:ilvl w:val="0"/>
          <w:numId w:val="2"/>
        </w:numPr>
        <w:shd w:val="clear" w:color="auto" w:fill="F6F6F6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  <w:lang w:val="bg-BG"/>
        </w:rPr>
      </w:pPr>
      <w:r w:rsidRPr="007C058F">
        <w:rPr>
          <w:rFonts w:eastAsia="Times New Roman" w:cs="Helvetica"/>
          <w:color w:val="575757"/>
          <w:sz w:val="24"/>
          <w:szCs w:val="24"/>
          <w:lang w:val="bg-BG"/>
        </w:rPr>
        <w:t xml:space="preserve">21–25 </w:t>
      </w:r>
      <w:r w:rsidR="001578C4" w:rsidRPr="007C058F">
        <w:rPr>
          <w:rFonts w:eastAsia="Times New Roman" w:cs="Helvetica"/>
          <w:color w:val="575757"/>
          <w:sz w:val="24"/>
          <w:szCs w:val="24"/>
          <w:lang w:val="bg-BG"/>
        </w:rPr>
        <w:t>септември</w:t>
      </w:r>
      <w:r w:rsidRPr="007C058F">
        <w:rPr>
          <w:rFonts w:eastAsia="Times New Roman" w:cs="Helvetica"/>
          <w:color w:val="575757"/>
          <w:sz w:val="24"/>
          <w:szCs w:val="24"/>
          <w:lang w:val="bg-BG"/>
        </w:rPr>
        <w:t xml:space="preserve"> 2020</w:t>
      </w:r>
      <w:r w:rsidR="001578C4" w:rsidRPr="007C058F">
        <w:rPr>
          <w:rFonts w:eastAsia="Times New Roman" w:cs="Helvetica"/>
          <w:color w:val="575757"/>
          <w:sz w:val="24"/>
          <w:szCs w:val="24"/>
          <w:lang w:val="bg-BG"/>
        </w:rPr>
        <w:t xml:space="preserve"> г.</w:t>
      </w:r>
    </w:p>
    <w:p w:rsidR="00212BDB" w:rsidRPr="007C058F" w:rsidRDefault="00BC6D0B" w:rsidP="00212BDB">
      <w:pPr>
        <w:shd w:val="clear" w:color="auto" w:fill="FFFFFF"/>
        <w:spacing w:before="450" w:after="300" w:line="240" w:lineRule="auto"/>
        <w:outlineLvl w:val="1"/>
        <w:rPr>
          <w:rFonts w:eastAsia="Times New Roman" w:cs="Helvetica"/>
          <w:b/>
          <w:bCs/>
          <w:color w:val="333333"/>
          <w:sz w:val="34"/>
          <w:szCs w:val="34"/>
          <w:lang w:val="bg-BG"/>
        </w:rPr>
      </w:pPr>
      <w:bookmarkStart w:id="0" w:name="1"/>
      <w:r w:rsidRPr="007C058F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>Изменение на</w:t>
      </w:r>
      <w:r w:rsidR="00212BDB" w:rsidRPr="007C058F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 xml:space="preserve"> </w:t>
      </w:r>
      <w:r w:rsidR="001578C4" w:rsidRPr="007C058F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>МСФО</w:t>
      </w:r>
      <w:r w:rsidR="00212BDB" w:rsidRPr="007C058F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 xml:space="preserve"> 17</w:t>
      </w:r>
      <w:r w:rsidRPr="007C058F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 xml:space="preserve"> </w:t>
      </w:r>
      <w:r w:rsidRPr="007C058F">
        <w:rPr>
          <w:rFonts w:eastAsia="Times New Roman" w:cs="Helvetica"/>
          <w:b/>
          <w:bCs/>
          <w:i/>
          <w:iCs/>
          <w:color w:val="CD3333"/>
          <w:sz w:val="34"/>
          <w:szCs w:val="34"/>
          <w:lang w:val="bg-BG"/>
        </w:rPr>
        <w:t xml:space="preserve">Застрахователни договори </w:t>
      </w:r>
      <w:r w:rsidR="00212BDB" w:rsidRPr="007C058F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>(</w:t>
      </w:r>
      <w:r w:rsidR="001578C4" w:rsidRPr="007C058F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>Документи по програмата</w:t>
      </w:r>
      <w:r w:rsidR="00212BDB" w:rsidRPr="007C058F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 xml:space="preserve"> 2 </w:t>
      </w:r>
      <w:r w:rsidR="001578C4" w:rsidRPr="007C058F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>и</w:t>
      </w:r>
      <w:r w:rsidR="00212BDB" w:rsidRPr="007C058F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 xml:space="preserve"> 2A)</w:t>
      </w:r>
      <w:bookmarkEnd w:id="0"/>
    </w:p>
    <w:p w:rsidR="00212BDB" w:rsidRPr="007C058F" w:rsidRDefault="00314EBA" w:rsidP="00212BDB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7C058F">
        <w:rPr>
          <w:rFonts w:eastAsia="Times New Roman" w:cs="Helvetica"/>
          <w:color w:val="575757"/>
          <w:sz w:val="24"/>
          <w:szCs w:val="24"/>
          <w:lang w:val="bg-BG"/>
        </w:rPr>
        <w:lastRenderedPageBreak/>
        <w:t>На 20 май 2020 г. Съветът проведе заседание, за да обсъди нуждаещите се от уточняване въпроси, идентифицирани по време на процедурата по гласуване на измененията в</w:t>
      </w:r>
      <w:r w:rsidR="00212BDB" w:rsidRPr="007C058F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1578C4" w:rsidRPr="007C058F">
        <w:rPr>
          <w:rFonts w:eastAsia="Times New Roman" w:cs="Helvetica"/>
          <w:color w:val="575757"/>
          <w:sz w:val="24"/>
          <w:szCs w:val="24"/>
          <w:lang w:val="bg-BG"/>
        </w:rPr>
        <w:t>МСФО</w:t>
      </w:r>
      <w:r w:rsidR="00212BDB" w:rsidRPr="007C058F">
        <w:rPr>
          <w:rFonts w:eastAsia="Times New Roman" w:cs="Helvetica"/>
          <w:color w:val="575757"/>
          <w:sz w:val="24"/>
          <w:szCs w:val="24"/>
          <w:lang w:val="bg-BG"/>
        </w:rPr>
        <w:t xml:space="preserve"> 17 </w:t>
      </w:r>
      <w:r w:rsidRPr="007C058F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>Застрахователни договори</w:t>
      </w:r>
      <w:r w:rsidR="00212BDB" w:rsidRPr="007C058F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212BDB" w:rsidRPr="007C058F" w:rsidRDefault="001578C4" w:rsidP="00212BDB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7C058F">
        <w:rPr>
          <w:rFonts w:eastAsia="Times New Roman" w:cs="Helvetica"/>
          <w:color w:val="575757"/>
          <w:sz w:val="24"/>
          <w:szCs w:val="24"/>
          <w:lang w:val="bg-BG"/>
        </w:rPr>
        <w:t>Съветът реши в порядък на работна хипотеза</w:t>
      </w:r>
      <w:r w:rsidR="00212BDB" w:rsidRPr="007C058F">
        <w:rPr>
          <w:rFonts w:eastAsia="Times New Roman" w:cs="Helvetica"/>
          <w:color w:val="575757"/>
          <w:sz w:val="24"/>
          <w:szCs w:val="24"/>
          <w:lang w:val="bg-BG"/>
        </w:rPr>
        <w:t>:</w:t>
      </w:r>
    </w:p>
    <w:p w:rsidR="00212BDB" w:rsidRPr="007C058F" w:rsidRDefault="00E85475" w:rsidP="00212BDB">
      <w:pPr>
        <w:numPr>
          <w:ilvl w:val="0"/>
          <w:numId w:val="3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  <w:lang w:val="bg-BG"/>
        </w:rPr>
      </w:pPr>
      <w:proofErr w:type="gramStart"/>
      <w:r w:rsidRPr="007C058F">
        <w:rPr>
          <w:rFonts w:eastAsia="Times New Roman" w:cs="Helvetica"/>
          <w:color w:val="575757"/>
          <w:sz w:val="24"/>
          <w:szCs w:val="24"/>
          <w:lang w:val="bg-BG"/>
        </w:rPr>
        <w:t>да</w:t>
      </w:r>
      <w:proofErr w:type="gramEnd"/>
      <w:r w:rsidRPr="007C058F">
        <w:rPr>
          <w:rFonts w:eastAsia="Times New Roman" w:cs="Helvetica"/>
          <w:color w:val="575757"/>
          <w:sz w:val="24"/>
          <w:szCs w:val="24"/>
          <w:lang w:val="bg-BG"/>
        </w:rPr>
        <w:t xml:space="preserve"> изисква предприятието да включва в първоначалната оценка на маржа на договорената услуга при група застрахователни договори</w:t>
      </w:r>
      <w:r w:rsidR="00212BDB" w:rsidRPr="007C058F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Pr="007C058F">
        <w:rPr>
          <w:rFonts w:eastAsia="Times New Roman" w:cs="Helvetica"/>
          <w:color w:val="575757"/>
          <w:sz w:val="24"/>
          <w:szCs w:val="24"/>
          <w:lang w:val="bg-BG"/>
        </w:rPr>
        <w:t>ефекта от отписване на актив или пасив за парични потоци, отнасящи се до тази група,</w:t>
      </w:r>
      <w:r w:rsidR="00212BDB" w:rsidRPr="007C058F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Pr="007C058F">
        <w:rPr>
          <w:rFonts w:eastAsia="Times New Roman" w:cs="Helvetica"/>
          <w:color w:val="575757"/>
          <w:sz w:val="24"/>
          <w:szCs w:val="24"/>
          <w:lang w:val="bg-BG"/>
        </w:rPr>
        <w:t>който е бил признат преди признаването на групата</w:t>
      </w:r>
      <w:r w:rsidR="00212BDB" w:rsidRPr="007C058F">
        <w:rPr>
          <w:rFonts w:eastAsia="Times New Roman" w:cs="Helvetica"/>
          <w:color w:val="575757"/>
          <w:sz w:val="24"/>
          <w:szCs w:val="24"/>
          <w:lang w:val="bg-BG"/>
        </w:rPr>
        <w:t>;</w:t>
      </w:r>
    </w:p>
    <w:p w:rsidR="00212BDB" w:rsidRPr="007C058F" w:rsidRDefault="00E85475" w:rsidP="00212BDB">
      <w:pPr>
        <w:numPr>
          <w:ilvl w:val="0"/>
          <w:numId w:val="3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  <w:lang w:val="bg-BG"/>
        </w:rPr>
      </w:pPr>
      <w:proofErr w:type="gramStart"/>
      <w:r w:rsidRPr="007C058F">
        <w:rPr>
          <w:rFonts w:eastAsia="Times New Roman" w:cs="Helvetica"/>
          <w:color w:val="575757"/>
          <w:sz w:val="24"/>
          <w:szCs w:val="24"/>
          <w:lang w:val="bg-BG"/>
        </w:rPr>
        <w:t>да</w:t>
      </w:r>
      <w:proofErr w:type="gramEnd"/>
      <w:r w:rsidRPr="007C058F">
        <w:rPr>
          <w:rFonts w:eastAsia="Times New Roman" w:cs="Helvetica"/>
          <w:color w:val="575757"/>
          <w:sz w:val="24"/>
          <w:szCs w:val="24"/>
          <w:lang w:val="bg-BG"/>
        </w:rPr>
        <w:t xml:space="preserve"> изисква предприятието</w:t>
      </w:r>
      <w:r w:rsidR="00212BDB" w:rsidRPr="007C058F">
        <w:rPr>
          <w:rFonts w:eastAsia="Times New Roman" w:cs="Helvetica"/>
          <w:color w:val="575757"/>
          <w:sz w:val="24"/>
          <w:szCs w:val="24"/>
          <w:lang w:val="bg-BG"/>
        </w:rPr>
        <w:t xml:space="preserve">, </w:t>
      </w:r>
      <w:r w:rsidRPr="007C058F">
        <w:rPr>
          <w:rFonts w:eastAsia="Times New Roman" w:cs="Helvetica"/>
          <w:color w:val="575757"/>
          <w:sz w:val="24"/>
          <w:szCs w:val="24"/>
          <w:lang w:val="bg-BG"/>
        </w:rPr>
        <w:t>когато друг</w:t>
      </w:r>
      <w:r w:rsidR="00212BDB" w:rsidRPr="007C058F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1578C4" w:rsidRPr="007C058F">
        <w:rPr>
          <w:rFonts w:eastAsia="Times New Roman" w:cs="Helvetica"/>
          <w:color w:val="575757"/>
          <w:sz w:val="24"/>
          <w:szCs w:val="24"/>
          <w:lang w:val="bg-BG"/>
        </w:rPr>
        <w:t>МСФО</w:t>
      </w:r>
      <w:r w:rsidR="00212BDB" w:rsidRPr="007C058F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Pr="007C058F">
        <w:rPr>
          <w:rFonts w:eastAsia="Times New Roman" w:cs="Helvetica"/>
          <w:color w:val="575757"/>
          <w:sz w:val="24"/>
          <w:szCs w:val="24"/>
          <w:lang w:val="bg-BG"/>
        </w:rPr>
        <w:t>стандарт изисква от него да признае пасив за парични потоци при бъдещо придобиване на застраховане, преди да признае съответната група застрахователни договори</w:t>
      </w:r>
      <w:r w:rsidR="00212BDB" w:rsidRPr="007C058F">
        <w:rPr>
          <w:rFonts w:eastAsia="Times New Roman" w:cs="Helvetica"/>
          <w:color w:val="575757"/>
          <w:sz w:val="24"/>
          <w:szCs w:val="24"/>
          <w:lang w:val="bg-BG"/>
        </w:rPr>
        <w:t xml:space="preserve">, </w:t>
      </w:r>
      <w:r w:rsidRPr="007C058F">
        <w:rPr>
          <w:rFonts w:eastAsia="Times New Roman" w:cs="Helvetica"/>
          <w:color w:val="575757"/>
          <w:sz w:val="24"/>
          <w:szCs w:val="24"/>
          <w:lang w:val="bg-BG"/>
        </w:rPr>
        <w:t>да признае също така и актив за тази парични потоци</w:t>
      </w:r>
      <w:r w:rsidR="00212BDB" w:rsidRPr="007C058F">
        <w:rPr>
          <w:rFonts w:eastAsia="Times New Roman" w:cs="Helvetica"/>
          <w:color w:val="575757"/>
          <w:sz w:val="24"/>
          <w:szCs w:val="24"/>
          <w:lang w:val="bg-BG"/>
        </w:rPr>
        <w:t>;</w:t>
      </w:r>
    </w:p>
    <w:p w:rsidR="00212BDB" w:rsidRPr="007C058F" w:rsidRDefault="00E85475" w:rsidP="00212BDB">
      <w:pPr>
        <w:numPr>
          <w:ilvl w:val="0"/>
          <w:numId w:val="3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  <w:lang w:val="bg-BG"/>
        </w:rPr>
      </w:pPr>
      <w:proofErr w:type="gramStart"/>
      <w:r w:rsidRPr="007C058F">
        <w:rPr>
          <w:rFonts w:eastAsia="Times New Roman" w:cs="Helvetica"/>
          <w:color w:val="575757"/>
          <w:sz w:val="24"/>
          <w:szCs w:val="24"/>
          <w:lang w:val="bg-BG"/>
        </w:rPr>
        <w:t>да</w:t>
      </w:r>
      <w:proofErr w:type="gramEnd"/>
      <w:r w:rsidRPr="007C058F">
        <w:rPr>
          <w:rFonts w:eastAsia="Times New Roman" w:cs="Helvetica"/>
          <w:color w:val="575757"/>
          <w:sz w:val="24"/>
          <w:szCs w:val="24"/>
          <w:lang w:val="bg-BG"/>
        </w:rPr>
        <w:t xml:space="preserve"> изисква предприятието да използва систематичен и рационален метод за разпределение, за да приложи изискванията в</w:t>
      </w:r>
      <w:r w:rsidR="00212BDB" w:rsidRPr="007C058F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1578C4" w:rsidRPr="007C058F">
        <w:rPr>
          <w:rFonts w:eastAsia="Times New Roman" w:cs="Helvetica"/>
          <w:color w:val="575757"/>
          <w:sz w:val="24"/>
          <w:szCs w:val="24"/>
          <w:lang w:val="bg-BG"/>
        </w:rPr>
        <w:t>МСФО</w:t>
      </w:r>
      <w:r w:rsidR="00212BDB" w:rsidRPr="007C058F">
        <w:rPr>
          <w:rFonts w:eastAsia="Times New Roman" w:cs="Helvetica"/>
          <w:color w:val="575757"/>
          <w:sz w:val="24"/>
          <w:szCs w:val="24"/>
          <w:lang w:val="bg-BG"/>
        </w:rPr>
        <w:t xml:space="preserve"> 17</w:t>
      </w:r>
      <w:r w:rsidRPr="007C058F">
        <w:rPr>
          <w:rFonts w:eastAsia="Times New Roman" w:cs="Helvetica"/>
          <w:color w:val="575757"/>
          <w:sz w:val="24"/>
          <w:szCs w:val="24"/>
          <w:lang w:val="bg-BG"/>
        </w:rPr>
        <w:t>, отнасящи се до възстановяване на загуби от държани презастрахователни договори,</w:t>
      </w:r>
      <w:r w:rsidR="00212BDB" w:rsidRPr="007C058F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Pr="007C058F">
        <w:rPr>
          <w:rFonts w:eastAsia="Times New Roman" w:cs="Helvetica"/>
          <w:color w:val="575757"/>
          <w:sz w:val="24"/>
          <w:szCs w:val="24"/>
          <w:lang w:val="bg-BG"/>
        </w:rPr>
        <w:t>когато предприятието групира заедно стоящите в основата обременителни застрахователни договори, които са покрити от държан презастрахователен договор</w:t>
      </w:r>
      <w:r w:rsidR="00212BDB" w:rsidRPr="007C058F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Pr="007C058F">
        <w:rPr>
          <w:rFonts w:eastAsia="Times New Roman" w:cs="Helvetica"/>
          <w:color w:val="575757"/>
          <w:sz w:val="24"/>
          <w:szCs w:val="24"/>
          <w:lang w:val="bg-BG"/>
        </w:rPr>
        <w:t>и други обременяващи застрахователни договори, издавани от предприятието</w:t>
      </w:r>
      <w:r w:rsidR="00212BDB" w:rsidRPr="007C058F">
        <w:rPr>
          <w:rFonts w:eastAsia="Times New Roman" w:cs="Helvetica"/>
          <w:color w:val="575757"/>
          <w:sz w:val="24"/>
          <w:szCs w:val="24"/>
          <w:lang w:val="bg-BG"/>
        </w:rPr>
        <w:t>;</w:t>
      </w:r>
    </w:p>
    <w:p w:rsidR="00212BDB" w:rsidRPr="007C058F" w:rsidRDefault="00E85475" w:rsidP="00212BDB">
      <w:pPr>
        <w:numPr>
          <w:ilvl w:val="0"/>
          <w:numId w:val="3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  <w:lang w:val="bg-BG"/>
        </w:rPr>
      </w:pPr>
      <w:proofErr w:type="gramStart"/>
      <w:r w:rsidRPr="007C058F">
        <w:rPr>
          <w:rFonts w:eastAsia="Times New Roman" w:cs="Helvetica"/>
          <w:color w:val="575757"/>
          <w:sz w:val="24"/>
          <w:szCs w:val="24"/>
          <w:lang w:val="bg-BG"/>
        </w:rPr>
        <w:t>да</w:t>
      </w:r>
      <w:proofErr w:type="gramEnd"/>
      <w:r w:rsidRPr="007C058F">
        <w:rPr>
          <w:rFonts w:eastAsia="Times New Roman" w:cs="Helvetica"/>
          <w:color w:val="575757"/>
          <w:sz w:val="24"/>
          <w:szCs w:val="24"/>
          <w:lang w:val="bg-BG"/>
        </w:rPr>
        <w:t xml:space="preserve"> изисква предприятието да признава застрахователни приходи, когато предприятието признава в печалбата или загубата</w:t>
      </w:r>
      <w:r w:rsidR="00212BDB" w:rsidRPr="007C058F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Pr="007C058F">
        <w:rPr>
          <w:rFonts w:eastAsia="Times New Roman" w:cs="Helvetica"/>
          <w:color w:val="575757"/>
          <w:sz w:val="24"/>
          <w:szCs w:val="24"/>
          <w:lang w:val="bg-BG"/>
        </w:rPr>
        <w:t>суми, отнасящи се до данъка върху доходите</w:t>
      </w:r>
      <w:r w:rsidR="004F63B6" w:rsidRPr="007C058F">
        <w:rPr>
          <w:rFonts w:eastAsia="Times New Roman" w:cs="Helvetica"/>
          <w:color w:val="575757"/>
          <w:sz w:val="24"/>
          <w:szCs w:val="24"/>
          <w:lang w:val="bg-BG"/>
        </w:rPr>
        <w:t>, който се начислява конкретно на притежателя на полицата съгласно условията на застрахователния договор</w:t>
      </w:r>
      <w:r w:rsidR="00212BDB" w:rsidRPr="007C058F">
        <w:rPr>
          <w:rFonts w:eastAsia="Times New Roman" w:cs="Helvetica"/>
          <w:color w:val="575757"/>
          <w:sz w:val="24"/>
          <w:szCs w:val="24"/>
          <w:lang w:val="bg-BG"/>
        </w:rPr>
        <w:t>;</w:t>
      </w:r>
    </w:p>
    <w:p w:rsidR="00212BDB" w:rsidRPr="007C058F" w:rsidRDefault="004F63B6" w:rsidP="00212BDB">
      <w:pPr>
        <w:numPr>
          <w:ilvl w:val="0"/>
          <w:numId w:val="3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  <w:lang w:val="bg-BG"/>
        </w:rPr>
      </w:pPr>
      <w:proofErr w:type="gramStart"/>
      <w:r w:rsidRPr="007C058F">
        <w:rPr>
          <w:rFonts w:eastAsia="Times New Roman" w:cs="Helvetica"/>
          <w:color w:val="575757"/>
          <w:sz w:val="24"/>
          <w:szCs w:val="24"/>
          <w:lang w:val="bg-BG"/>
        </w:rPr>
        <w:t>да</w:t>
      </w:r>
      <w:proofErr w:type="gramEnd"/>
      <w:r w:rsidRPr="007C058F">
        <w:rPr>
          <w:rFonts w:eastAsia="Times New Roman" w:cs="Helvetica"/>
          <w:color w:val="575757"/>
          <w:sz w:val="24"/>
          <w:szCs w:val="24"/>
          <w:lang w:val="bg-BG"/>
        </w:rPr>
        <w:t xml:space="preserve"> включи в дефинициите на пасив за оставащо покритие и пасив за понесени искове всички задължения, възникващи от застрахователни договори, издадени от предприятието</w:t>
      </w:r>
      <w:r w:rsidR="00212BDB" w:rsidRPr="007C058F">
        <w:rPr>
          <w:rFonts w:eastAsia="Times New Roman" w:cs="Helvetica"/>
          <w:color w:val="575757"/>
          <w:sz w:val="24"/>
          <w:szCs w:val="24"/>
          <w:lang w:val="bg-BG"/>
        </w:rPr>
        <w:t xml:space="preserve">; </w:t>
      </w:r>
      <w:r w:rsidRPr="007C058F">
        <w:rPr>
          <w:rFonts w:eastAsia="Times New Roman" w:cs="Helvetica"/>
          <w:color w:val="575757"/>
          <w:sz w:val="24"/>
          <w:szCs w:val="24"/>
          <w:lang w:val="bg-BG"/>
        </w:rPr>
        <w:t>и</w:t>
      </w:r>
    </w:p>
    <w:p w:rsidR="00212BDB" w:rsidRPr="007C058F" w:rsidRDefault="004F63B6" w:rsidP="00212BDB">
      <w:pPr>
        <w:numPr>
          <w:ilvl w:val="0"/>
          <w:numId w:val="3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  <w:lang w:val="bg-BG"/>
        </w:rPr>
      </w:pPr>
      <w:proofErr w:type="gramStart"/>
      <w:r w:rsidRPr="007C058F">
        <w:rPr>
          <w:rFonts w:eastAsia="Times New Roman" w:cs="Helvetica"/>
          <w:color w:val="575757"/>
          <w:sz w:val="24"/>
          <w:szCs w:val="24"/>
          <w:lang w:val="bg-BG"/>
        </w:rPr>
        <w:t>да</w:t>
      </w:r>
      <w:proofErr w:type="gramEnd"/>
      <w:r w:rsidRPr="007C058F">
        <w:rPr>
          <w:rFonts w:eastAsia="Times New Roman" w:cs="Helvetica"/>
          <w:color w:val="575757"/>
          <w:sz w:val="24"/>
          <w:szCs w:val="24"/>
          <w:lang w:val="bg-BG"/>
        </w:rPr>
        <w:t xml:space="preserve"> измени параграф</w:t>
      </w:r>
      <w:r w:rsidR="00212BDB" w:rsidRPr="007C058F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Pr="007C058F">
        <w:rPr>
          <w:rFonts w:eastAsia="Times New Roman" w:cs="Helvetica"/>
          <w:color w:val="575757"/>
          <w:sz w:val="24"/>
          <w:szCs w:val="24"/>
          <w:lang w:val="bg-BG"/>
        </w:rPr>
        <w:t>Б</w:t>
      </w:r>
      <w:r w:rsidR="00212BDB" w:rsidRPr="007C058F">
        <w:rPr>
          <w:rFonts w:eastAsia="Times New Roman" w:cs="Helvetica"/>
          <w:color w:val="575757"/>
          <w:sz w:val="24"/>
          <w:szCs w:val="24"/>
          <w:lang w:val="bg-BG"/>
        </w:rPr>
        <w:t>96(</w:t>
      </w:r>
      <w:r w:rsidRPr="007C058F">
        <w:rPr>
          <w:rFonts w:eastAsia="Times New Roman" w:cs="Helvetica"/>
          <w:color w:val="575757"/>
          <w:sz w:val="24"/>
          <w:szCs w:val="24"/>
          <w:lang w:val="bg-BG"/>
        </w:rPr>
        <w:t>в</w:t>
      </w:r>
      <w:r w:rsidR="00212BDB" w:rsidRPr="007C058F">
        <w:rPr>
          <w:rFonts w:eastAsia="Times New Roman" w:cs="Helvetica"/>
          <w:color w:val="575757"/>
          <w:sz w:val="24"/>
          <w:szCs w:val="24"/>
          <w:lang w:val="bg-BG"/>
        </w:rPr>
        <w:t xml:space="preserve">) </w:t>
      </w:r>
      <w:r w:rsidRPr="007C058F">
        <w:rPr>
          <w:rFonts w:eastAsia="Times New Roman" w:cs="Helvetica"/>
          <w:color w:val="575757"/>
          <w:sz w:val="24"/>
          <w:szCs w:val="24"/>
          <w:lang w:val="bg-BG"/>
        </w:rPr>
        <w:t>от</w:t>
      </w:r>
      <w:r w:rsidR="00212BDB" w:rsidRPr="007C058F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1578C4" w:rsidRPr="007C058F">
        <w:rPr>
          <w:rFonts w:eastAsia="Times New Roman" w:cs="Helvetica"/>
          <w:color w:val="575757"/>
          <w:sz w:val="24"/>
          <w:szCs w:val="24"/>
          <w:lang w:val="bg-BG"/>
        </w:rPr>
        <w:t>МСФО</w:t>
      </w:r>
      <w:r w:rsidR="00212BDB" w:rsidRPr="007C058F">
        <w:rPr>
          <w:rFonts w:eastAsia="Times New Roman" w:cs="Helvetica"/>
          <w:color w:val="575757"/>
          <w:sz w:val="24"/>
          <w:szCs w:val="24"/>
          <w:lang w:val="bg-BG"/>
        </w:rPr>
        <w:t xml:space="preserve"> 17</w:t>
      </w:r>
      <w:r w:rsidRPr="007C058F">
        <w:rPr>
          <w:rFonts w:eastAsia="Times New Roman" w:cs="Helvetica"/>
          <w:color w:val="575757"/>
          <w:sz w:val="24"/>
          <w:szCs w:val="24"/>
          <w:lang w:val="bg-BG"/>
        </w:rPr>
        <w:t xml:space="preserve"> така, че да поясни третирането на застрахователни финансови приходи или разходи, отнасящи се до</w:t>
      </w:r>
      <w:r w:rsidR="00212BDB" w:rsidRPr="007C058F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Pr="007C058F">
        <w:rPr>
          <w:rFonts w:eastAsia="Times New Roman" w:cs="Helvetica"/>
          <w:color w:val="575757"/>
          <w:sz w:val="24"/>
          <w:szCs w:val="24"/>
          <w:lang w:val="bg-BG"/>
        </w:rPr>
        <w:t>инвестиционни компоненти, които са платени</w:t>
      </w:r>
      <w:r w:rsidR="00212BDB" w:rsidRPr="007C058F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Pr="007C058F">
        <w:rPr>
          <w:rFonts w:eastAsia="Times New Roman" w:cs="Helvetica"/>
          <w:color w:val="575757"/>
          <w:sz w:val="24"/>
          <w:szCs w:val="24"/>
          <w:lang w:val="bg-BG"/>
        </w:rPr>
        <w:t>в период, когато не се е очаквало да бъдат платени</w:t>
      </w:r>
      <w:r w:rsidR="00212BDB" w:rsidRPr="007C058F">
        <w:rPr>
          <w:rFonts w:eastAsia="Times New Roman" w:cs="Helvetica"/>
          <w:color w:val="575757"/>
          <w:sz w:val="24"/>
          <w:szCs w:val="24"/>
          <w:lang w:val="bg-BG"/>
        </w:rPr>
        <w:t xml:space="preserve">, </w:t>
      </w:r>
      <w:r w:rsidRPr="007C058F">
        <w:rPr>
          <w:rFonts w:eastAsia="Times New Roman" w:cs="Helvetica"/>
          <w:color w:val="575757"/>
          <w:sz w:val="24"/>
          <w:szCs w:val="24"/>
          <w:lang w:val="bg-BG"/>
        </w:rPr>
        <w:t>или не са платени в период, когато е било очаквано да бъдат платени</w:t>
      </w:r>
      <w:r w:rsidR="00212BDB" w:rsidRPr="007C058F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212BDB" w:rsidRPr="007C058F" w:rsidRDefault="00276DC7" w:rsidP="00212BDB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7C058F">
        <w:rPr>
          <w:rFonts w:eastAsia="Times New Roman" w:cs="Helvetica"/>
          <w:color w:val="575757"/>
          <w:sz w:val="24"/>
          <w:szCs w:val="24"/>
          <w:lang w:val="bg-BG"/>
        </w:rPr>
        <w:t>Всичките четиринадесет членове на Съвета изразиха съгласие с решенията, описани в</w:t>
      </w:r>
      <w:r w:rsidR="00212BDB" w:rsidRPr="007C058F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Pr="007C058F">
        <w:rPr>
          <w:rFonts w:eastAsia="Times New Roman" w:cs="Helvetica"/>
          <w:color w:val="575757"/>
          <w:sz w:val="24"/>
          <w:szCs w:val="24"/>
          <w:lang w:val="bg-BG"/>
        </w:rPr>
        <w:t xml:space="preserve">подточки </w:t>
      </w:r>
      <w:r w:rsidR="00212BDB" w:rsidRPr="007C058F">
        <w:rPr>
          <w:rFonts w:eastAsia="Times New Roman" w:cs="Helvetica"/>
          <w:color w:val="575757"/>
          <w:sz w:val="24"/>
          <w:szCs w:val="24"/>
          <w:lang w:val="bg-BG"/>
        </w:rPr>
        <w:t>(a)–(</w:t>
      </w:r>
      <w:r w:rsidRPr="007C058F">
        <w:rPr>
          <w:rFonts w:eastAsia="Times New Roman" w:cs="Helvetica"/>
          <w:color w:val="575757"/>
          <w:sz w:val="24"/>
          <w:szCs w:val="24"/>
          <w:lang w:val="bg-BG"/>
        </w:rPr>
        <w:t>б</w:t>
      </w:r>
      <w:r w:rsidR="00212BDB" w:rsidRPr="007C058F">
        <w:rPr>
          <w:rFonts w:eastAsia="Times New Roman" w:cs="Helvetica"/>
          <w:color w:val="575757"/>
          <w:sz w:val="24"/>
          <w:szCs w:val="24"/>
          <w:lang w:val="bg-BG"/>
        </w:rPr>
        <w:t xml:space="preserve">) </w:t>
      </w:r>
      <w:r w:rsidRPr="007C058F">
        <w:rPr>
          <w:rFonts w:eastAsia="Times New Roman" w:cs="Helvetica"/>
          <w:color w:val="575757"/>
          <w:sz w:val="24"/>
          <w:szCs w:val="24"/>
          <w:lang w:val="bg-BG"/>
        </w:rPr>
        <w:t>и</w:t>
      </w:r>
      <w:r w:rsidR="00212BDB" w:rsidRPr="007C058F">
        <w:rPr>
          <w:rFonts w:eastAsia="Times New Roman" w:cs="Helvetica"/>
          <w:color w:val="575757"/>
          <w:sz w:val="24"/>
          <w:szCs w:val="24"/>
          <w:lang w:val="bg-BG"/>
        </w:rPr>
        <w:t xml:space="preserve"> (</w:t>
      </w:r>
      <w:r w:rsidRPr="007C058F">
        <w:rPr>
          <w:rFonts w:eastAsia="Times New Roman" w:cs="Helvetica"/>
          <w:color w:val="575757"/>
          <w:sz w:val="24"/>
          <w:szCs w:val="24"/>
          <w:lang w:val="bg-BG"/>
        </w:rPr>
        <w:t>г</w:t>
      </w:r>
      <w:r w:rsidR="00212BDB" w:rsidRPr="007C058F">
        <w:rPr>
          <w:rFonts w:eastAsia="Times New Roman" w:cs="Helvetica"/>
          <w:color w:val="575757"/>
          <w:sz w:val="24"/>
          <w:szCs w:val="24"/>
          <w:lang w:val="bg-BG"/>
        </w:rPr>
        <w:t>)–(</w:t>
      </w:r>
      <w:r w:rsidRPr="007C058F">
        <w:rPr>
          <w:rFonts w:eastAsia="Times New Roman" w:cs="Helvetica"/>
          <w:color w:val="575757"/>
          <w:sz w:val="24"/>
          <w:szCs w:val="24"/>
          <w:lang w:val="bg-BG"/>
        </w:rPr>
        <w:t>д</w:t>
      </w:r>
      <w:r w:rsidR="00212BDB" w:rsidRPr="007C058F">
        <w:rPr>
          <w:rFonts w:eastAsia="Times New Roman" w:cs="Helvetica"/>
          <w:color w:val="575757"/>
          <w:sz w:val="24"/>
          <w:szCs w:val="24"/>
          <w:lang w:val="bg-BG"/>
        </w:rPr>
        <w:t xml:space="preserve">). </w:t>
      </w:r>
      <w:r w:rsidRPr="007C058F">
        <w:rPr>
          <w:rFonts w:eastAsia="Times New Roman" w:cs="Helvetica"/>
          <w:color w:val="575757"/>
          <w:sz w:val="24"/>
          <w:szCs w:val="24"/>
          <w:lang w:val="bg-BG"/>
        </w:rPr>
        <w:t>Дванадесет от четиринадесетте членове на Съвета изразиха съгласие с решението, описано в подточка</w:t>
      </w:r>
      <w:r w:rsidR="00212BDB" w:rsidRPr="007C058F">
        <w:rPr>
          <w:rFonts w:eastAsia="Times New Roman" w:cs="Helvetica"/>
          <w:color w:val="575757"/>
          <w:sz w:val="24"/>
          <w:szCs w:val="24"/>
          <w:lang w:val="bg-BG"/>
        </w:rPr>
        <w:t xml:space="preserve"> (</w:t>
      </w:r>
      <w:r w:rsidRPr="007C058F">
        <w:rPr>
          <w:rFonts w:eastAsia="Times New Roman" w:cs="Helvetica"/>
          <w:color w:val="575757"/>
          <w:sz w:val="24"/>
          <w:szCs w:val="24"/>
          <w:lang w:val="bg-BG"/>
        </w:rPr>
        <w:t>в</w:t>
      </w:r>
      <w:r w:rsidR="00212BDB" w:rsidRPr="007C058F">
        <w:rPr>
          <w:rFonts w:eastAsia="Times New Roman" w:cs="Helvetica"/>
          <w:color w:val="575757"/>
          <w:sz w:val="24"/>
          <w:szCs w:val="24"/>
          <w:lang w:val="bg-BG"/>
        </w:rPr>
        <w:t>).</w:t>
      </w:r>
    </w:p>
    <w:p w:rsidR="00212BDB" w:rsidRPr="007C058F" w:rsidRDefault="00276DC7" w:rsidP="00212BDB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7C058F">
        <w:rPr>
          <w:rFonts w:eastAsia="Times New Roman" w:cs="Helvetica"/>
          <w:color w:val="575757"/>
          <w:sz w:val="24"/>
          <w:szCs w:val="24"/>
          <w:lang w:val="bg-BG"/>
        </w:rPr>
        <w:t xml:space="preserve">Съветът реши също така в порядък на работна хипотеза </w:t>
      </w:r>
      <w:r w:rsidR="004F63B6" w:rsidRPr="007C058F">
        <w:rPr>
          <w:rFonts w:eastAsia="Times New Roman" w:cs="Helvetica"/>
          <w:color w:val="575757"/>
          <w:sz w:val="24"/>
          <w:szCs w:val="24"/>
          <w:lang w:val="bg-BG"/>
        </w:rPr>
        <w:t xml:space="preserve">да измени опцията за друг всеобхватен доход и опцията за смекчаване на риска в </w:t>
      </w:r>
      <w:r w:rsidR="001578C4" w:rsidRPr="007C058F">
        <w:rPr>
          <w:rFonts w:eastAsia="Times New Roman" w:cs="Helvetica"/>
          <w:color w:val="575757"/>
          <w:sz w:val="24"/>
          <w:szCs w:val="24"/>
          <w:lang w:val="bg-BG"/>
        </w:rPr>
        <w:t>МСФО</w:t>
      </w:r>
      <w:r w:rsidR="00212BDB" w:rsidRPr="007C058F">
        <w:rPr>
          <w:rFonts w:eastAsia="Times New Roman" w:cs="Helvetica"/>
          <w:color w:val="575757"/>
          <w:sz w:val="24"/>
          <w:szCs w:val="24"/>
          <w:lang w:val="bg-BG"/>
        </w:rPr>
        <w:t xml:space="preserve"> 17</w:t>
      </w:r>
      <w:r w:rsidR="004F63B6" w:rsidRPr="007C058F">
        <w:rPr>
          <w:rFonts w:eastAsia="Times New Roman" w:cs="Helvetica"/>
          <w:color w:val="575757"/>
          <w:sz w:val="24"/>
          <w:szCs w:val="24"/>
          <w:lang w:val="bg-BG"/>
        </w:rPr>
        <w:t>, за да</w:t>
      </w:r>
      <w:r w:rsidR="00212BDB" w:rsidRPr="007C058F">
        <w:rPr>
          <w:rFonts w:eastAsia="Times New Roman" w:cs="Helvetica"/>
          <w:color w:val="575757"/>
          <w:sz w:val="24"/>
          <w:szCs w:val="24"/>
          <w:lang w:val="bg-BG"/>
        </w:rPr>
        <w:t>:</w:t>
      </w:r>
    </w:p>
    <w:p w:rsidR="00212BDB" w:rsidRPr="007C058F" w:rsidRDefault="004F63B6" w:rsidP="00212BDB">
      <w:pPr>
        <w:numPr>
          <w:ilvl w:val="0"/>
          <w:numId w:val="4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  <w:lang w:val="bg-BG"/>
        </w:rPr>
      </w:pPr>
      <w:proofErr w:type="gramStart"/>
      <w:r w:rsidRPr="007C058F">
        <w:rPr>
          <w:rFonts w:eastAsia="Times New Roman" w:cs="Helvetica"/>
          <w:color w:val="575757"/>
          <w:sz w:val="24"/>
          <w:szCs w:val="24"/>
          <w:lang w:val="bg-BG"/>
        </w:rPr>
        <w:t>посочи</w:t>
      </w:r>
      <w:proofErr w:type="gramEnd"/>
      <w:r w:rsidRPr="007C058F">
        <w:rPr>
          <w:rFonts w:eastAsia="Times New Roman" w:cs="Helvetica"/>
          <w:color w:val="575757"/>
          <w:sz w:val="24"/>
          <w:szCs w:val="24"/>
          <w:lang w:val="bg-BG"/>
        </w:rPr>
        <w:t>, че параграфи</w:t>
      </w:r>
      <w:r w:rsidR="00212BDB" w:rsidRPr="007C058F">
        <w:rPr>
          <w:rFonts w:eastAsia="Times New Roman" w:cs="Helvetica"/>
          <w:color w:val="575757"/>
          <w:sz w:val="24"/>
          <w:szCs w:val="24"/>
          <w:lang w:val="bg-BG"/>
        </w:rPr>
        <w:t xml:space="preserve"> 88 </w:t>
      </w:r>
      <w:r w:rsidRPr="007C058F">
        <w:rPr>
          <w:rFonts w:eastAsia="Times New Roman" w:cs="Helvetica"/>
          <w:color w:val="575757"/>
          <w:sz w:val="24"/>
          <w:szCs w:val="24"/>
          <w:lang w:val="bg-BG"/>
        </w:rPr>
        <w:t>и</w:t>
      </w:r>
      <w:r w:rsidR="00212BDB" w:rsidRPr="007C058F">
        <w:rPr>
          <w:rFonts w:eastAsia="Times New Roman" w:cs="Helvetica"/>
          <w:color w:val="575757"/>
          <w:sz w:val="24"/>
          <w:szCs w:val="24"/>
          <w:lang w:val="bg-BG"/>
        </w:rPr>
        <w:t xml:space="preserve"> 89 </w:t>
      </w:r>
      <w:r w:rsidRPr="007C058F">
        <w:rPr>
          <w:rFonts w:eastAsia="Times New Roman" w:cs="Helvetica"/>
          <w:color w:val="575757"/>
          <w:sz w:val="24"/>
          <w:szCs w:val="24"/>
          <w:lang w:val="bg-BG"/>
        </w:rPr>
        <w:t>на</w:t>
      </w:r>
      <w:r w:rsidR="00212BDB" w:rsidRPr="007C058F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1578C4" w:rsidRPr="007C058F">
        <w:rPr>
          <w:rFonts w:eastAsia="Times New Roman" w:cs="Helvetica"/>
          <w:color w:val="575757"/>
          <w:sz w:val="24"/>
          <w:szCs w:val="24"/>
          <w:lang w:val="bg-BG"/>
        </w:rPr>
        <w:t>МСФО</w:t>
      </w:r>
      <w:r w:rsidR="00212BDB" w:rsidRPr="007C058F">
        <w:rPr>
          <w:rFonts w:eastAsia="Times New Roman" w:cs="Helvetica"/>
          <w:color w:val="575757"/>
          <w:sz w:val="24"/>
          <w:szCs w:val="24"/>
          <w:lang w:val="bg-BG"/>
        </w:rPr>
        <w:t xml:space="preserve"> 17 </w:t>
      </w:r>
      <w:r w:rsidRPr="007C058F">
        <w:rPr>
          <w:rFonts w:eastAsia="Times New Roman" w:cs="Helvetica"/>
          <w:color w:val="575757"/>
          <w:sz w:val="24"/>
          <w:szCs w:val="24"/>
          <w:lang w:val="bg-BG"/>
        </w:rPr>
        <w:t>не са приложими по отношение на застрахователните финансови приходи или разходи, произтичащи от прилагането на опцията за смекчаване на риска</w:t>
      </w:r>
      <w:r w:rsidR="00212BDB" w:rsidRPr="007C058F">
        <w:rPr>
          <w:rFonts w:eastAsia="Times New Roman" w:cs="Helvetica"/>
          <w:color w:val="575757"/>
          <w:sz w:val="24"/>
          <w:szCs w:val="24"/>
          <w:lang w:val="bg-BG"/>
        </w:rPr>
        <w:t xml:space="preserve">; </w:t>
      </w:r>
      <w:r w:rsidRPr="007C058F">
        <w:rPr>
          <w:rFonts w:eastAsia="Times New Roman" w:cs="Helvetica"/>
          <w:color w:val="575757"/>
          <w:sz w:val="24"/>
          <w:szCs w:val="24"/>
          <w:lang w:val="bg-BG"/>
        </w:rPr>
        <w:t>и</w:t>
      </w:r>
    </w:p>
    <w:p w:rsidR="00212BDB" w:rsidRPr="007C058F" w:rsidRDefault="004F63B6" w:rsidP="00212BDB">
      <w:pPr>
        <w:numPr>
          <w:ilvl w:val="0"/>
          <w:numId w:val="4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  <w:lang w:val="bg-BG"/>
        </w:rPr>
      </w:pPr>
      <w:proofErr w:type="gramStart"/>
      <w:r w:rsidRPr="007C058F">
        <w:rPr>
          <w:rFonts w:eastAsia="Times New Roman" w:cs="Helvetica"/>
          <w:color w:val="575757"/>
          <w:sz w:val="24"/>
          <w:szCs w:val="24"/>
          <w:lang w:val="bg-BG"/>
        </w:rPr>
        <w:lastRenderedPageBreak/>
        <w:t>добави</w:t>
      </w:r>
      <w:proofErr w:type="gramEnd"/>
      <w:r w:rsidRPr="007C058F">
        <w:rPr>
          <w:rFonts w:eastAsia="Times New Roman" w:cs="Helvetica"/>
          <w:color w:val="575757"/>
          <w:sz w:val="24"/>
          <w:szCs w:val="24"/>
          <w:lang w:val="bg-BG"/>
        </w:rPr>
        <w:t xml:space="preserve"> нови изисквания към опцията за смекчаване на риска, които да посочват как да бъдат представени застрахователни финансови приходи или разходи, произтичащи от прилагането на опцията за смекчаване на риска</w:t>
      </w:r>
      <w:r w:rsidR="00212BDB" w:rsidRPr="007C058F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212BDB" w:rsidRPr="007C058F" w:rsidRDefault="00276DC7" w:rsidP="00212BDB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7C058F">
        <w:rPr>
          <w:rFonts w:eastAsia="Times New Roman" w:cs="Helvetica"/>
          <w:color w:val="575757"/>
          <w:sz w:val="24"/>
          <w:szCs w:val="24"/>
          <w:lang w:val="bg-BG"/>
        </w:rPr>
        <w:t>Всичките четиринадесет членове на Съвета изразиха съгласие с тези решения</w:t>
      </w:r>
      <w:r w:rsidR="00212BDB" w:rsidRPr="007C058F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212BDB" w:rsidRPr="007C058F" w:rsidRDefault="001578C4" w:rsidP="00212BDB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7C058F">
        <w:rPr>
          <w:rFonts w:eastAsia="Times New Roman" w:cs="Helvetica"/>
          <w:b/>
          <w:bCs/>
          <w:i/>
          <w:iCs/>
          <w:color w:val="575757"/>
          <w:sz w:val="24"/>
          <w:szCs w:val="24"/>
          <w:lang w:val="bg-BG"/>
        </w:rPr>
        <w:t xml:space="preserve">Следващ </w:t>
      </w:r>
      <w:proofErr w:type="gramStart"/>
      <w:r w:rsidRPr="007C058F">
        <w:rPr>
          <w:rFonts w:eastAsia="Times New Roman" w:cs="Helvetica"/>
          <w:b/>
          <w:bCs/>
          <w:i/>
          <w:iCs/>
          <w:color w:val="575757"/>
          <w:sz w:val="24"/>
          <w:szCs w:val="24"/>
          <w:lang w:val="bg-BG"/>
        </w:rPr>
        <w:t>етап</w:t>
      </w:r>
      <w:proofErr w:type="gramEnd"/>
    </w:p>
    <w:p w:rsidR="00212BDB" w:rsidRPr="007C058F" w:rsidRDefault="004F63B6" w:rsidP="00212BDB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7C058F">
        <w:rPr>
          <w:rFonts w:eastAsia="Times New Roman" w:cs="Helvetica"/>
          <w:color w:val="575757"/>
          <w:sz w:val="24"/>
          <w:szCs w:val="24"/>
          <w:lang w:val="bg-BG"/>
        </w:rPr>
        <w:t xml:space="preserve">Съветът очаква да издаде </w:t>
      </w:r>
      <w:r w:rsidRPr="007C058F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>Изменение на</w:t>
      </w:r>
      <w:r w:rsidR="00212BDB" w:rsidRPr="007C058F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 xml:space="preserve"> </w:t>
      </w:r>
      <w:r w:rsidR="001578C4" w:rsidRPr="007C058F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>МСФО</w:t>
      </w:r>
      <w:r w:rsidR="00212BDB" w:rsidRPr="007C058F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 xml:space="preserve"> 17</w:t>
      </w:r>
      <w:r w:rsidRPr="007C058F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 xml:space="preserve"> </w:t>
      </w:r>
      <w:r w:rsidRPr="007C058F">
        <w:rPr>
          <w:rFonts w:eastAsia="Times New Roman" w:cs="Helvetica"/>
          <w:color w:val="575757"/>
          <w:sz w:val="24"/>
          <w:szCs w:val="24"/>
          <w:lang w:val="bg-BG"/>
        </w:rPr>
        <w:t>към края на юни</w:t>
      </w:r>
      <w:r w:rsidR="00212BDB" w:rsidRPr="007C058F">
        <w:rPr>
          <w:rFonts w:eastAsia="Times New Roman" w:cs="Helvetica"/>
          <w:color w:val="575757"/>
          <w:sz w:val="24"/>
          <w:szCs w:val="24"/>
          <w:lang w:val="bg-BG"/>
        </w:rPr>
        <w:t xml:space="preserve"> 2020</w:t>
      </w:r>
      <w:r w:rsidRPr="007C058F">
        <w:rPr>
          <w:rFonts w:eastAsia="Times New Roman" w:cs="Helvetica"/>
          <w:color w:val="575757"/>
          <w:sz w:val="24"/>
          <w:szCs w:val="24"/>
          <w:lang w:val="bg-BG"/>
        </w:rPr>
        <w:t xml:space="preserve"> г</w:t>
      </w:r>
      <w:r w:rsidR="00212BDB" w:rsidRPr="007C058F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212BDB" w:rsidRPr="007C058F" w:rsidRDefault="00314EBA" w:rsidP="00212BDB">
      <w:pPr>
        <w:shd w:val="clear" w:color="auto" w:fill="FFFFFF"/>
        <w:spacing w:before="450" w:after="300" w:line="240" w:lineRule="auto"/>
        <w:outlineLvl w:val="1"/>
        <w:rPr>
          <w:rFonts w:eastAsia="Times New Roman" w:cs="Helvetica"/>
          <w:b/>
          <w:bCs/>
          <w:color w:val="333333"/>
          <w:sz w:val="34"/>
          <w:szCs w:val="34"/>
          <w:lang w:val="bg-BG"/>
        </w:rPr>
      </w:pPr>
      <w:bookmarkStart w:id="1" w:name="2"/>
      <w:r w:rsidRPr="007C058F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>Коментар на ръководството</w:t>
      </w:r>
      <w:r w:rsidR="00212BDB" w:rsidRPr="007C058F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 xml:space="preserve"> (</w:t>
      </w:r>
      <w:r w:rsidR="001578C4" w:rsidRPr="007C058F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>Документ по програмата</w:t>
      </w:r>
      <w:r w:rsidR="00212BDB" w:rsidRPr="007C058F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 xml:space="preserve"> 15)</w:t>
      </w:r>
      <w:bookmarkEnd w:id="1"/>
    </w:p>
    <w:p w:rsidR="00212BDB" w:rsidRPr="007C058F" w:rsidRDefault="00314EBA" w:rsidP="00212BDB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7C058F">
        <w:rPr>
          <w:rFonts w:eastAsia="Times New Roman" w:cs="Helvetica"/>
          <w:color w:val="575757"/>
          <w:sz w:val="24"/>
          <w:szCs w:val="24"/>
          <w:lang w:val="bg-BG"/>
        </w:rPr>
        <w:t xml:space="preserve">На 20 май 2020 г. Съветът проведе заседание, за да обсъди </w:t>
      </w:r>
      <w:r w:rsidR="00046456" w:rsidRPr="007C058F">
        <w:rPr>
          <w:rFonts w:eastAsia="Times New Roman" w:cs="Helvetica"/>
          <w:color w:val="575757"/>
          <w:sz w:val="24"/>
          <w:szCs w:val="24"/>
          <w:lang w:val="bg-BG"/>
        </w:rPr>
        <w:t xml:space="preserve">целите на оповестяването и подкрепящите ги насоки, които да бъдат включени в преработеното </w:t>
      </w:r>
      <w:proofErr w:type="gramStart"/>
      <w:r w:rsidR="00046456" w:rsidRPr="007C058F">
        <w:rPr>
          <w:rFonts w:eastAsia="Times New Roman" w:cs="Helvetica"/>
          <w:color w:val="575757"/>
          <w:sz w:val="24"/>
          <w:szCs w:val="24"/>
          <w:lang w:val="bg-BG"/>
        </w:rPr>
        <w:t xml:space="preserve">Изложение за практика по </w:t>
      </w:r>
      <w:r w:rsidR="001578C4" w:rsidRPr="007C058F">
        <w:rPr>
          <w:rFonts w:eastAsia="Times New Roman" w:cs="Helvetica"/>
          <w:color w:val="575757"/>
          <w:sz w:val="24"/>
          <w:szCs w:val="24"/>
          <w:lang w:val="bg-BG"/>
        </w:rPr>
        <w:t>МСФО</w:t>
      </w:r>
      <w:r w:rsidR="00212BDB" w:rsidRPr="007C058F">
        <w:rPr>
          <w:rFonts w:eastAsia="Times New Roman" w:cs="Helvetica"/>
          <w:color w:val="575757"/>
          <w:sz w:val="24"/>
          <w:szCs w:val="24"/>
          <w:lang w:val="bg-BG"/>
        </w:rPr>
        <w:t xml:space="preserve"> 1 </w:t>
      </w:r>
      <w:r w:rsidR="00046456" w:rsidRPr="007C058F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>Коментар на ръководството</w:t>
      </w:r>
      <w:r w:rsidR="007C058F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 xml:space="preserve"> </w:t>
      </w:r>
      <w:r w:rsidR="00212BDB" w:rsidRPr="007C058F">
        <w:rPr>
          <w:rFonts w:eastAsia="Times New Roman" w:cs="Helvetica"/>
          <w:color w:val="575757"/>
          <w:sz w:val="24"/>
          <w:szCs w:val="24"/>
          <w:lang w:val="bg-BG"/>
        </w:rPr>
        <w:t>(</w:t>
      </w:r>
      <w:r w:rsidR="00046456" w:rsidRPr="007C058F">
        <w:rPr>
          <w:rFonts w:eastAsia="Times New Roman" w:cs="Helvetica"/>
          <w:color w:val="575757"/>
          <w:sz w:val="24"/>
          <w:szCs w:val="24"/>
          <w:lang w:val="bg-BG"/>
        </w:rPr>
        <w:t>„Изложението</w:t>
      </w:r>
      <w:proofErr w:type="gramEnd"/>
      <w:r w:rsidR="00046456" w:rsidRPr="007C058F">
        <w:rPr>
          <w:rFonts w:eastAsia="Times New Roman" w:cs="Helvetica"/>
          <w:color w:val="575757"/>
          <w:sz w:val="24"/>
          <w:szCs w:val="24"/>
          <w:lang w:val="bg-BG"/>
        </w:rPr>
        <w:t xml:space="preserve"> за практика“</w:t>
      </w:r>
      <w:r w:rsidR="00212BDB" w:rsidRPr="007C058F">
        <w:rPr>
          <w:rFonts w:eastAsia="Times New Roman" w:cs="Helvetica"/>
          <w:color w:val="575757"/>
          <w:sz w:val="24"/>
          <w:szCs w:val="24"/>
          <w:lang w:val="bg-BG"/>
        </w:rPr>
        <w:t xml:space="preserve">). </w:t>
      </w:r>
      <w:r w:rsidR="00046456" w:rsidRPr="007C058F">
        <w:rPr>
          <w:rFonts w:eastAsia="Times New Roman" w:cs="Helvetica"/>
          <w:color w:val="575757"/>
          <w:sz w:val="24"/>
          <w:szCs w:val="24"/>
          <w:lang w:val="bg-BG"/>
        </w:rPr>
        <w:t>Съветът разгледа въпросите, свързани с рисковете</w:t>
      </w:r>
      <w:r w:rsidR="00212BDB" w:rsidRPr="007C058F">
        <w:rPr>
          <w:rFonts w:eastAsia="Times New Roman" w:cs="Helvetica"/>
          <w:color w:val="575757"/>
          <w:sz w:val="24"/>
          <w:szCs w:val="24"/>
          <w:lang w:val="bg-BG"/>
        </w:rPr>
        <w:t xml:space="preserve"> (</w:t>
      </w:r>
      <w:proofErr w:type="gramStart"/>
      <w:r w:rsidR="001578C4" w:rsidRPr="007C058F">
        <w:rPr>
          <w:rFonts w:eastAsia="Times New Roman" w:cs="Helvetica"/>
          <w:color w:val="575757"/>
          <w:sz w:val="24"/>
          <w:szCs w:val="24"/>
          <w:lang w:val="bg-BG"/>
        </w:rPr>
        <w:t>Документ по програмата</w:t>
      </w:r>
      <w:r w:rsidR="00212BDB" w:rsidRPr="007C058F">
        <w:rPr>
          <w:rFonts w:eastAsia="Times New Roman" w:cs="Helvetica"/>
          <w:color w:val="575757"/>
          <w:sz w:val="24"/>
          <w:szCs w:val="24"/>
          <w:lang w:val="bg-BG"/>
        </w:rPr>
        <w:t xml:space="preserve"> 15A) </w:t>
      </w:r>
      <w:r w:rsidR="00046456" w:rsidRPr="007C058F">
        <w:rPr>
          <w:rFonts w:eastAsia="Times New Roman" w:cs="Helvetica"/>
          <w:color w:val="575757"/>
          <w:sz w:val="24"/>
          <w:szCs w:val="24"/>
          <w:lang w:val="bg-BG"/>
        </w:rPr>
        <w:t>и външната за предприятието среда</w:t>
      </w:r>
      <w:r w:rsidR="00212BDB" w:rsidRPr="007C058F">
        <w:rPr>
          <w:rFonts w:eastAsia="Times New Roman" w:cs="Helvetica"/>
          <w:color w:val="575757"/>
          <w:sz w:val="24"/>
          <w:szCs w:val="24"/>
          <w:lang w:val="bg-BG"/>
        </w:rPr>
        <w:t xml:space="preserve"> (</w:t>
      </w:r>
      <w:r w:rsidR="001578C4" w:rsidRPr="007C058F">
        <w:rPr>
          <w:rFonts w:eastAsia="Times New Roman" w:cs="Helvetica"/>
          <w:color w:val="575757"/>
          <w:sz w:val="24"/>
          <w:szCs w:val="24"/>
          <w:lang w:val="bg-BG"/>
        </w:rPr>
        <w:t>Документ</w:t>
      </w:r>
      <w:proofErr w:type="gramEnd"/>
      <w:r w:rsidR="001578C4" w:rsidRPr="007C058F">
        <w:rPr>
          <w:rFonts w:eastAsia="Times New Roman" w:cs="Helvetica"/>
          <w:color w:val="575757"/>
          <w:sz w:val="24"/>
          <w:szCs w:val="24"/>
          <w:lang w:val="bg-BG"/>
        </w:rPr>
        <w:t xml:space="preserve"> по програмата</w:t>
      </w:r>
      <w:r w:rsidR="00212BDB" w:rsidRPr="007C058F">
        <w:rPr>
          <w:rFonts w:eastAsia="Times New Roman" w:cs="Helvetica"/>
          <w:color w:val="575757"/>
          <w:sz w:val="24"/>
          <w:szCs w:val="24"/>
          <w:lang w:val="bg-BG"/>
        </w:rPr>
        <w:t xml:space="preserve"> 15</w:t>
      </w:r>
      <w:r w:rsidR="00046456" w:rsidRPr="007C058F">
        <w:rPr>
          <w:rFonts w:eastAsia="Times New Roman" w:cs="Helvetica"/>
          <w:color w:val="575757"/>
          <w:sz w:val="24"/>
          <w:szCs w:val="24"/>
          <w:lang w:val="bg-BG"/>
        </w:rPr>
        <w:t>Б</w:t>
      </w:r>
      <w:r w:rsidR="00212BDB" w:rsidRPr="007C058F">
        <w:rPr>
          <w:rFonts w:eastAsia="Times New Roman" w:cs="Helvetica"/>
          <w:color w:val="575757"/>
          <w:sz w:val="24"/>
          <w:szCs w:val="24"/>
          <w:lang w:val="bg-BG"/>
        </w:rPr>
        <w:t>).</w:t>
      </w:r>
    </w:p>
    <w:p w:rsidR="00212BDB" w:rsidRPr="007C058F" w:rsidRDefault="001578C4" w:rsidP="00212BDB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7C058F">
        <w:rPr>
          <w:rFonts w:eastAsia="Times New Roman" w:cs="Helvetica"/>
          <w:color w:val="575757"/>
          <w:sz w:val="24"/>
          <w:szCs w:val="24"/>
          <w:lang w:val="bg-BG"/>
        </w:rPr>
        <w:t>Съветът реши в порядък на работна хипотеза</w:t>
      </w:r>
      <w:r w:rsidR="00212BDB" w:rsidRPr="007C058F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046456" w:rsidRPr="007C058F">
        <w:rPr>
          <w:rFonts w:eastAsia="Times New Roman" w:cs="Helvetica"/>
          <w:color w:val="575757"/>
          <w:sz w:val="24"/>
          <w:szCs w:val="24"/>
          <w:lang w:val="bg-BG"/>
        </w:rPr>
        <w:t>да посочи в целите на оповестяването, че коментарът на ръководството следва да предоставя информация и анализ, които да помогнат на инвеститорите и кредиторите да разберат</w:t>
      </w:r>
      <w:r w:rsidR="00212BDB" w:rsidRPr="007C058F">
        <w:rPr>
          <w:rFonts w:eastAsia="Times New Roman" w:cs="Helvetica"/>
          <w:color w:val="575757"/>
          <w:sz w:val="24"/>
          <w:szCs w:val="24"/>
          <w:lang w:val="bg-BG"/>
        </w:rPr>
        <w:t>:</w:t>
      </w:r>
    </w:p>
    <w:p w:rsidR="00212BDB" w:rsidRPr="007C058F" w:rsidRDefault="00046456" w:rsidP="00212BDB">
      <w:pPr>
        <w:numPr>
          <w:ilvl w:val="0"/>
          <w:numId w:val="5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  <w:lang w:val="bg-BG"/>
        </w:rPr>
      </w:pPr>
      <w:proofErr w:type="gramStart"/>
      <w:r w:rsidRPr="007C058F">
        <w:rPr>
          <w:rFonts w:eastAsia="Times New Roman" w:cs="Helvetica"/>
          <w:color w:val="575757"/>
          <w:sz w:val="24"/>
          <w:szCs w:val="24"/>
          <w:lang w:val="bg-BG"/>
        </w:rPr>
        <w:t>рисковете</w:t>
      </w:r>
      <w:proofErr w:type="gramEnd"/>
      <w:r w:rsidRPr="007C058F">
        <w:rPr>
          <w:rFonts w:eastAsia="Times New Roman" w:cs="Helvetica"/>
          <w:color w:val="575757"/>
          <w:sz w:val="24"/>
          <w:szCs w:val="24"/>
          <w:lang w:val="bg-BG"/>
        </w:rPr>
        <w:t>, които биха могли да внесат сътресения в</w:t>
      </w:r>
      <w:r w:rsidR="00212BDB" w:rsidRPr="007C058F">
        <w:rPr>
          <w:rFonts w:eastAsia="Times New Roman" w:cs="Helvetica"/>
          <w:color w:val="575757"/>
          <w:sz w:val="24"/>
          <w:szCs w:val="24"/>
          <w:lang w:val="bg-BG"/>
        </w:rPr>
        <w:t>:</w:t>
      </w:r>
    </w:p>
    <w:p w:rsidR="00212BDB" w:rsidRPr="007C058F" w:rsidRDefault="00046456" w:rsidP="00212BDB">
      <w:pPr>
        <w:numPr>
          <w:ilvl w:val="1"/>
          <w:numId w:val="5"/>
        </w:numPr>
        <w:shd w:val="clear" w:color="auto" w:fill="FFFFFF"/>
        <w:spacing w:before="75" w:after="75" w:line="240" w:lineRule="auto"/>
        <w:ind w:left="1215"/>
        <w:rPr>
          <w:rFonts w:eastAsia="Times New Roman" w:cs="Helvetica"/>
          <w:color w:val="575757"/>
          <w:sz w:val="24"/>
          <w:szCs w:val="24"/>
          <w:lang w:val="bg-BG"/>
        </w:rPr>
      </w:pPr>
      <w:proofErr w:type="gramStart"/>
      <w:r w:rsidRPr="007C058F">
        <w:rPr>
          <w:rFonts w:eastAsia="Times New Roman" w:cs="Helvetica"/>
          <w:color w:val="575757"/>
          <w:sz w:val="24"/>
          <w:szCs w:val="24"/>
          <w:lang w:val="bg-BG"/>
        </w:rPr>
        <w:t>бизнес</w:t>
      </w:r>
      <w:proofErr w:type="gramEnd"/>
      <w:r w:rsidRPr="007C058F">
        <w:rPr>
          <w:rFonts w:eastAsia="Times New Roman" w:cs="Helvetica"/>
          <w:color w:val="575757"/>
          <w:sz w:val="24"/>
          <w:szCs w:val="24"/>
          <w:lang w:val="bg-BG"/>
        </w:rPr>
        <w:t xml:space="preserve"> модела на предприятието</w:t>
      </w:r>
      <w:r w:rsidR="00212BDB" w:rsidRPr="007C058F">
        <w:rPr>
          <w:rFonts w:eastAsia="Times New Roman" w:cs="Helvetica"/>
          <w:color w:val="575757"/>
          <w:sz w:val="24"/>
          <w:szCs w:val="24"/>
          <w:lang w:val="bg-BG"/>
        </w:rPr>
        <w:t>;</w:t>
      </w:r>
    </w:p>
    <w:p w:rsidR="00212BDB" w:rsidRPr="007C058F" w:rsidRDefault="00046456" w:rsidP="00212BDB">
      <w:pPr>
        <w:numPr>
          <w:ilvl w:val="1"/>
          <w:numId w:val="5"/>
        </w:numPr>
        <w:shd w:val="clear" w:color="auto" w:fill="FFFFFF"/>
        <w:spacing w:before="75" w:after="75" w:line="240" w:lineRule="auto"/>
        <w:ind w:left="1215"/>
        <w:rPr>
          <w:rFonts w:eastAsia="Times New Roman" w:cs="Helvetica"/>
          <w:color w:val="575757"/>
          <w:sz w:val="24"/>
          <w:szCs w:val="24"/>
          <w:lang w:val="bg-BG"/>
        </w:rPr>
      </w:pPr>
      <w:proofErr w:type="gramStart"/>
      <w:r w:rsidRPr="007C058F">
        <w:rPr>
          <w:rFonts w:eastAsia="Times New Roman" w:cs="Helvetica"/>
          <w:color w:val="575757"/>
          <w:sz w:val="24"/>
          <w:szCs w:val="24"/>
          <w:lang w:val="bg-BG"/>
        </w:rPr>
        <w:t>стратегията</w:t>
      </w:r>
      <w:proofErr w:type="gramEnd"/>
      <w:r w:rsidRPr="007C058F">
        <w:rPr>
          <w:rFonts w:eastAsia="Times New Roman" w:cs="Helvetica"/>
          <w:color w:val="575757"/>
          <w:sz w:val="24"/>
          <w:szCs w:val="24"/>
          <w:lang w:val="bg-BG"/>
        </w:rPr>
        <w:t xml:space="preserve"> на ръководството на предприятието за поддържане и развитие на този модел</w:t>
      </w:r>
      <w:r w:rsidR="00212BDB" w:rsidRPr="007C058F">
        <w:rPr>
          <w:rFonts w:eastAsia="Times New Roman" w:cs="Helvetica"/>
          <w:color w:val="575757"/>
          <w:sz w:val="24"/>
          <w:szCs w:val="24"/>
          <w:lang w:val="bg-BG"/>
        </w:rPr>
        <w:t xml:space="preserve">; </w:t>
      </w:r>
      <w:r w:rsidRPr="007C058F">
        <w:rPr>
          <w:rFonts w:eastAsia="Times New Roman" w:cs="Helvetica"/>
          <w:color w:val="575757"/>
          <w:sz w:val="24"/>
          <w:szCs w:val="24"/>
          <w:lang w:val="bg-BG"/>
        </w:rPr>
        <w:t>или</w:t>
      </w:r>
    </w:p>
    <w:p w:rsidR="00212BDB" w:rsidRPr="007C058F" w:rsidRDefault="00046456" w:rsidP="00212BDB">
      <w:pPr>
        <w:numPr>
          <w:ilvl w:val="1"/>
          <w:numId w:val="5"/>
        </w:numPr>
        <w:shd w:val="clear" w:color="auto" w:fill="FFFFFF"/>
        <w:spacing w:before="75" w:after="75" w:line="240" w:lineRule="auto"/>
        <w:ind w:left="1215"/>
        <w:rPr>
          <w:rFonts w:eastAsia="Times New Roman" w:cs="Helvetica"/>
          <w:color w:val="575757"/>
          <w:sz w:val="24"/>
          <w:szCs w:val="24"/>
          <w:lang w:val="bg-BG"/>
        </w:rPr>
      </w:pPr>
      <w:proofErr w:type="gramStart"/>
      <w:r w:rsidRPr="007C058F">
        <w:rPr>
          <w:rFonts w:eastAsia="Times New Roman" w:cs="Helvetica"/>
          <w:color w:val="575757"/>
          <w:sz w:val="24"/>
          <w:szCs w:val="24"/>
          <w:lang w:val="bg-BG"/>
        </w:rPr>
        <w:t>ресурсите</w:t>
      </w:r>
      <w:proofErr w:type="gramEnd"/>
      <w:r w:rsidRPr="007C058F">
        <w:rPr>
          <w:rFonts w:eastAsia="Times New Roman" w:cs="Helvetica"/>
          <w:color w:val="575757"/>
          <w:sz w:val="24"/>
          <w:szCs w:val="24"/>
          <w:lang w:val="bg-BG"/>
        </w:rPr>
        <w:t xml:space="preserve"> и взаимоотношенията на предприятието</w:t>
      </w:r>
      <w:r w:rsidR="00212BDB" w:rsidRPr="007C058F">
        <w:rPr>
          <w:rFonts w:eastAsia="Times New Roman" w:cs="Helvetica"/>
          <w:color w:val="575757"/>
          <w:sz w:val="24"/>
          <w:szCs w:val="24"/>
          <w:lang w:val="bg-BG"/>
        </w:rPr>
        <w:t xml:space="preserve">; </w:t>
      </w:r>
      <w:r w:rsidRPr="007C058F">
        <w:rPr>
          <w:rFonts w:eastAsia="Times New Roman" w:cs="Helvetica"/>
          <w:color w:val="575757"/>
          <w:sz w:val="24"/>
          <w:szCs w:val="24"/>
          <w:lang w:val="bg-BG"/>
        </w:rPr>
        <w:t>и</w:t>
      </w:r>
    </w:p>
    <w:p w:rsidR="00212BDB" w:rsidRPr="007C058F" w:rsidRDefault="00046456" w:rsidP="00212BDB">
      <w:pPr>
        <w:numPr>
          <w:ilvl w:val="0"/>
          <w:numId w:val="5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  <w:lang w:val="bg-BG"/>
        </w:rPr>
      </w:pPr>
      <w:proofErr w:type="gramStart"/>
      <w:r w:rsidRPr="007C058F">
        <w:rPr>
          <w:rFonts w:eastAsia="Times New Roman" w:cs="Helvetica"/>
          <w:color w:val="575757"/>
          <w:sz w:val="24"/>
          <w:szCs w:val="24"/>
          <w:lang w:val="bg-BG"/>
        </w:rPr>
        <w:t>как</w:t>
      </w:r>
      <w:proofErr w:type="gramEnd"/>
      <w:r w:rsidRPr="007C058F">
        <w:rPr>
          <w:rFonts w:eastAsia="Times New Roman" w:cs="Helvetica"/>
          <w:color w:val="575757"/>
          <w:sz w:val="24"/>
          <w:szCs w:val="24"/>
          <w:lang w:val="bg-BG"/>
        </w:rPr>
        <w:t xml:space="preserve"> средата, в която предприятието функционира, оказва влияние върху</w:t>
      </w:r>
      <w:r w:rsidR="00212BDB" w:rsidRPr="007C058F">
        <w:rPr>
          <w:rFonts w:eastAsia="Times New Roman" w:cs="Helvetica"/>
          <w:color w:val="575757"/>
          <w:sz w:val="24"/>
          <w:szCs w:val="24"/>
          <w:lang w:val="bg-BG"/>
        </w:rPr>
        <w:t>:</w:t>
      </w:r>
    </w:p>
    <w:p w:rsidR="00212BDB" w:rsidRPr="007C058F" w:rsidRDefault="00046456" w:rsidP="00212BDB">
      <w:pPr>
        <w:numPr>
          <w:ilvl w:val="1"/>
          <w:numId w:val="5"/>
        </w:numPr>
        <w:shd w:val="clear" w:color="auto" w:fill="FFFFFF"/>
        <w:spacing w:before="75" w:after="75" w:line="240" w:lineRule="auto"/>
        <w:ind w:left="1215"/>
        <w:rPr>
          <w:rFonts w:eastAsia="Times New Roman" w:cs="Helvetica"/>
          <w:color w:val="575757"/>
          <w:sz w:val="24"/>
          <w:szCs w:val="24"/>
          <w:lang w:val="bg-BG"/>
        </w:rPr>
      </w:pPr>
      <w:proofErr w:type="gramStart"/>
      <w:r w:rsidRPr="007C058F">
        <w:rPr>
          <w:rFonts w:eastAsia="Times New Roman" w:cs="Helvetica"/>
          <w:color w:val="575757"/>
          <w:sz w:val="24"/>
          <w:szCs w:val="24"/>
          <w:lang w:val="bg-BG"/>
        </w:rPr>
        <w:t>неговия</w:t>
      </w:r>
      <w:proofErr w:type="gramEnd"/>
      <w:r w:rsidRPr="007C058F">
        <w:rPr>
          <w:rFonts w:eastAsia="Times New Roman" w:cs="Helvetica"/>
          <w:color w:val="575757"/>
          <w:sz w:val="24"/>
          <w:szCs w:val="24"/>
          <w:lang w:val="bg-BG"/>
        </w:rPr>
        <w:t xml:space="preserve"> бизнес модел</w:t>
      </w:r>
      <w:r w:rsidR="00212BDB" w:rsidRPr="007C058F">
        <w:rPr>
          <w:rFonts w:eastAsia="Times New Roman" w:cs="Helvetica"/>
          <w:color w:val="575757"/>
          <w:sz w:val="24"/>
          <w:szCs w:val="24"/>
          <w:lang w:val="bg-BG"/>
        </w:rPr>
        <w:t>;</w:t>
      </w:r>
    </w:p>
    <w:p w:rsidR="00212BDB" w:rsidRPr="007C058F" w:rsidRDefault="00046456" w:rsidP="00212BDB">
      <w:pPr>
        <w:numPr>
          <w:ilvl w:val="1"/>
          <w:numId w:val="5"/>
        </w:numPr>
        <w:shd w:val="clear" w:color="auto" w:fill="FFFFFF"/>
        <w:spacing w:before="75" w:after="75" w:line="240" w:lineRule="auto"/>
        <w:ind w:left="1215"/>
        <w:rPr>
          <w:rFonts w:eastAsia="Times New Roman" w:cs="Helvetica"/>
          <w:color w:val="575757"/>
          <w:sz w:val="24"/>
          <w:szCs w:val="24"/>
          <w:lang w:val="bg-BG"/>
        </w:rPr>
      </w:pPr>
      <w:proofErr w:type="gramStart"/>
      <w:r w:rsidRPr="007C058F">
        <w:rPr>
          <w:rFonts w:eastAsia="Times New Roman" w:cs="Helvetica"/>
          <w:color w:val="575757"/>
          <w:sz w:val="24"/>
          <w:szCs w:val="24"/>
          <w:lang w:val="bg-BG"/>
        </w:rPr>
        <w:t>стратегията</w:t>
      </w:r>
      <w:proofErr w:type="gramEnd"/>
      <w:r w:rsidRPr="007C058F">
        <w:rPr>
          <w:rFonts w:eastAsia="Times New Roman" w:cs="Helvetica"/>
          <w:color w:val="575757"/>
          <w:sz w:val="24"/>
          <w:szCs w:val="24"/>
          <w:lang w:val="bg-BG"/>
        </w:rPr>
        <w:t xml:space="preserve"> на ръководството на предприятието за поддържане и развитие на този модел</w:t>
      </w:r>
      <w:r w:rsidR="00212BDB" w:rsidRPr="007C058F">
        <w:rPr>
          <w:rFonts w:eastAsia="Times New Roman" w:cs="Helvetica"/>
          <w:color w:val="575757"/>
          <w:sz w:val="24"/>
          <w:szCs w:val="24"/>
          <w:lang w:val="bg-BG"/>
        </w:rPr>
        <w:t>;</w:t>
      </w:r>
    </w:p>
    <w:p w:rsidR="00212BDB" w:rsidRPr="007C058F" w:rsidRDefault="00046456" w:rsidP="00212BDB">
      <w:pPr>
        <w:numPr>
          <w:ilvl w:val="1"/>
          <w:numId w:val="5"/>
        </w:numPr>
        <w:shd w:val="clear" w:color="auto" w:fill="FFFFFF"/>
        <w:spacing w:before="75" w:after="75" w:line="240" w:lineRule="auto"/>
        <w:ind w:left="1215"/>
        <w:rPr>
          <w:rFonts w:eastAsia="Times New Roman" w:cs="Helvetica"/>
          <w:color w:val="575757"/>
          <w:sz w:val="24"/>
          <w:szCs w:val="24"/>
          <w:lang w:val="bg-BG"/>
        </w:rPr>
      </w:pPr>
      <w:proofErr w:type="gramStart"/>
      <w:r w:rsidRPr="007C058F">
        <w:rPr>
          <w:rFonts w:eastAsia="Times New Roman" w:cs="Helvetica"/>
          <w:color w:val="575757"/>
          <w:sz w:val="24"/>
          <w:szCs w:val="24"/>
          <w:lang w:val="bg-BG"/>
        </w:rPr>
        <w:t>ресурсите</w:t>
      </w:r>
      <w:proofErr w:type="gramEnd"/>
      <w:r w:rsidRPr="007C058F">
        <w:rPr>
          <w:rFonts w:eastAsia="Times New Roman" w:cs="Helvetica"/>
          <w:color w:val="575757"/>
          <w:sz w:val="24"/>
          <w:szCs w:val="24"/>
          <w:lang w:val="bg-BG"/>
        </w:rPr>
        <w:t xml:space="preserve"> и взаимоотношенията на предприятието</w:t>
      </w:r>
      <w:r w:rsidR="00212BDB" w:rsidRPr="007C058F">
        <w:rPr>
          <w:rFonts w:eastAsia="Times New Roman" w:cs="Helvetica"/>
          <w:color w:val="575757"/>
          <w:sz w:val="24"/>
          <w:szCs w:val="24"/>
          <w:lang w:val="bg-BG"/>
        </w:rPr>
        <w:t xml:space="preserve">; </w:t>
      </w:r>
      <w:r w:rsidRPr="007C058F">
        <w:rPr>
          <w:rFonts w:eastAsia="Times New Roman" w:cs="Helvetica"/>
          <w:color w:val="575757"/>
          <w:sz w:val="24"/>
          <w:szCs w:val="24"/>
          <w:lang w:val="bg-BG"/>
        </w:rPr>
        <w:t>или</w:t>
      </w:r>
    </w:p>
    <w:p w:rsidR="00212BDB" w:rsidRPr="007C058F" w:rsidRDefault="00046456" w:rsidP="00212BDB">
      <w:pPr>
        <w:numPr>
          <w:ilvl w:val="1"/>
          <w:numId w:val="5"/>
        </w:numPr>
        <w:shd w:val="clear" w:color="auto" w:fill="FFFFFF"/>
        <w:spacing w:before="75" w:after="75" w:line="240" w:lineRule="auto"/>
        <w:ind w:left="1215"/>
        <w:rPr>
          <w:rFonts w:eastAsia="Times New Roman" w:cs="Helvetica"/>
          <w:color w:val="575757"/>
          <w:sz w:val="24"/>
          <w:szCs w:val="24"/>
          <w:lang w:val="bg-BG"/>
        </w:rPr>
      </w:pPr>
      <w:proofErr w:type="gramStart"/>
      <w:r w:rsidRPr="007C058F">
        <w:rPr>
          <w:rFonts w:eastAsia="Times New Roman" w:cs="Helvetica"/>
          <w:color w:val="575757"/>
          <w:sz w:val="24"/>
          <w:szCs w:val="24"/>
          <w:lang w:val="bg-BG"/>
        </w:rPr>
        <w:t>рисковете</w:t>
      </w:r>
      <w:proofErr w:type="gramEnd"/>
      <w:r w:rsidRPr="007C058F">
        <w:rPr>
          <w:rFonts w:eastAsia="Times New Roman" w:cs="Helvetica"/>
          <w:color w:val="575757"/>
          <w:sz w:val="24"/>
          <w:szCs w:val="24"/>
          <w:lang w:val="bg-BG"/>
        </w:rPr>
        <w:t xml:space="preserve"> пред предприятието</w:t>
      </w:r>
      <w:r w:rsidR="00212BDB" w:rsidRPr="007C058F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212BDB" w:rsidRPr="007C058F" w:rsidRDefault="001578C4" w:rsidP="00212BDB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7C058F">
        <w:rPr>
          <w:rFonts w:eastAsia="Times New Roman" w:cs="Helvetica"/>
          <w:color w:val="575757"/>
          <w:sz w:val="24"/>
          <w:szCs w:val="24"/>
          <w:lang w:val="bg-BG"/>
        </w:rPr>
        <w:t>Съветът реши в порядък на работна хипотеза</w:t>
      </w:r>
      <w:r w:rsidR="00212BDB" w:rsidRPr="007C058F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046456" w:rsidRPr="007C058F">
        <w:rPr>
          <w:rFonts w:eastAsia="Times New Roman" w:cs="Helvetica"/>
          <w:color w:val="575757"/>
          <w:sz w:val="24"/>
          <w:szCs w:val="24"/>
          <w:lang w:val="bg-BG"/>
        </w:rPr>
        <w:t>да посочи в целите на оповестяването, че инвеститорите и кредиторите използват информацията и анализа в коментара на ръководството, за да оценят</w:t>
      </w:r>
      <w:r w:rsidR="00212BDB" w:rsidRPr="007C058F">
        <w:rPr>
          <w:rFonts w:eastAsia="Times New Roman" w:cs="Helvetica"/>
          <w:color w:val="575757"/>
          <w:sz w:val="24"/>
          <w:szCs w:val="24"/>
          <w:lang w:val="bg-BG"/>
        </w:rPr>
        <w:t>:</w:t>
      </w:r>
    </w:p>
    <w:p w:rsidR="00212BDB" w:rsidRPr="007C058F" w:rsidRDefault="00046456" w:rsidP="00212BDB">
      <w:pPr>
        <w:numPr>
          <w:ilvl w:val="0"/>
          <w:numId w:val="6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  <w:lang w:val="bg-BG"/>
        </w:rPr>
      </w:pPr>
      <w:proofErr w:type="gramStart"/>
      <w:r w:rsidRPr="007C058F">
        <w:rPr>
          <w:rFonts w:eastAsia="Times New Roman" w:cs="Helvetica"/>
          <w:color w:val="575757"/>
          <w:sz w:val="24"/>
          <w:szCs w:val="24"/>
          <w:lang w:val="bg-BG"/>
        </w:rPr>
        <w:t>по</w:t>
      </w:r>
      <w:proofErr w:type="gramEnd"/>
      <w:r w:rsidRPr="007C058F">
        <w:rPr>
          <w:rFonts w:eastAsia="Times New Roman" w:cs="Helvetica"/>
          <w:color w:val="575757"/>
          <w:sz w:val="24"/>
          <w:szCs w:val="24"/>
          <w:lang w:val="bg-BG"/>
        </w:rPr>
        <w:t xml:space="preserve"> отношение на рисковете</w:t>
      </w:r>
      <w:r w:rsidR="00212BDB" w:rsidRPr="007C058F">
        <w:rPr>
          <w:rFonts w:eastAsia="Times New Roman" w:cs="Helvetica"/>
          <w:color w:val="575757"/>
          <w:sz w:val="24"/>
          <w:szCs w:val="24"/>
          <w:lang w:val="bg-BG"/>
        </w:rPr>
        <w:t>:</w:t>
      </w:r>
    </w:p>
    <w:p w:rsidR="00212BDB" w:rsidRPr="007C058F" w:rsidRDefault="00AC0793" w:rsidP="00212BDB">
      <w:pPr>
        <w:numPr>
          <w:ilvl w:val="1"/>
          <w:numId w:val="6"/>
        </w:numPr>
        <w:shd w:val="clear" w:color="auto" w:fill="FFFFFF"/>
        <w:spacing w:before="75" w:after="75" w:line="240" w:lineRule="auto"/>
        <w:ind w:left="1215"/>
        <w:rPr>
          <w:rFonts w:eastAsia="Times New Roman" w:cs="Helvetica"/>
          <w:color w:val="575757"/>
          <w:sz w:val="24"/>
          <w:szCs w:val="24"/>
          <w:lang w:val="bg-BG"/>
        </w:rPr>
      </w:pPr>
      <w:proofErr w:type="gramStart"/>
      <w:r w:rsidRPr="007C058F">
        <w:rPr>
          <w:rFonts w:eastAsia="Times New Roman" w:cs="Helvetica"/>
          <w:color w:val="575757"/>
          <w:sz w:val="24"/>
          <w:szCs w:val="24"/>
          <w:lang w:val="bg-BG"/>
        </w:rPr>
        <w:t>мащаба</w:t>
      </w:r>
      <w:proofErr w:type="gramEnd"/>
      <w:r w:rsidRPr="007C058F">
        <w:rPr>
          <w:rFonts w:eastAsia="Times New Roman" w:cs="Helvetica"/>
          <w:color w:val="575757"/>
          <w:sz w:val="24"/>
          <w:szCs w:val="24"/>
          <w:lang w:val="bg-BG"/>
        </w:rPr>
        <w:t xml:space="preserve"> и вероятността от бъдещо сътресение</w:t>
      </w:r>
      <w:r w:rsidR="00212BDB" w:rsidRPr="007C058F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Pr="007C058F">
        <w:rPr>
          <w:rFonts w:eastAsia="Times New Roman" w:cs="Helvetica"/>
          <w:color w:val="575757"/>
          <w:sz w:val="24"/>
          <w:szCs w:val="24"/>
          <w:lang w:val="bg-BG"/>
        </w:rPr>
        <w:t>в способността на предприятието да създава стойност и генерира парични потоци</w:t>
      </w:r>
      <w:r w:rsidR="00212BDB" w:rsidRPr="007C058F">
        <w:rPr>
          <w:rFonts w:eastAsia="Times New Roman" w:cs="Helvetica"/>
          <w:color w:val="575757"/>
          <w:sz w:val="24"/>
          <w:szCs w:val="24"/>
          <w:lang w:val="bg-BG"/>
        </w:rPr>
        <w:t xml:space="preserve">; </w:t>
      </w:r>
      <w:r w:rsidRPr="007C058F">
        <w:rPr>
          <w:rFonts w:eastAsia="Times New Roman" w:cs="Helvetica"/>
          <w:color w:val="575757"/>
          <w:sz w:val="24"/>
          <w:szCs w:val="24"/>
          <w:lang w:val="bg-BG"/>
        </w:rPr>
        <w:t>и</w:t>
      </w:r>
    </w:p>
    <w:p w:rsidR="00212BDB" w:rsidRPr="007C058F" w:rsidRDefault="00AC0793" w:rsidP="00212BDB">
      <w:pPr>
        <w:numPr>
          <w:ilvl w:val="1"/>
          <w:numId w:val="6"/>
        </w:numPr>
        <w:shd w:val="clear" w:color="auto" w:fill="FFFFFF"/>
        <w:spacing w:before="75" w:after="75" w:line="240" w:lineRule="auto"/>
        <w:ind w:left="1215"/>
        <w:rPr>
          <w:rFonts w:eastAsia="Times New Roman" w:cs="Helvetica"/>
          <w:color w:val="575757"/>
          <w:sz w:val="24"/>
          <w:szCs w:val="24"/>
          <w:lang w:val="bg-BG"/>
        </w:rPr>
      </w:pPr>
      <w:proofErr w:type="gramStart"/>
      <w:r w:rsidRPr="007C058F">
        <w:rPr>
          <w:rFonts w:eastAsia="Times New Roman" w:cs="Helvetica"/>
          <w:color w:val="575757"/>
          <w:sz w:val="24"/>
          <w:szCs w:val="24"/>
          <w:lang w:val="bg-BG"/>
        </w:rPr>
        <w:lastRenderedPageBreak/>
        <w:t>доколко</w:t>
      </w:r>
      <w:proofErr w:type="gramEnd"/>
      <w:r w:rsidRPr="007C058F">
        <w:rPr>
          <w:rFonts w:eastAsia="Times New Roman" w:cs="Helvetica"/>
          <w:color w:val="575757"/>
          <w:sz w:val="24"/>
          <w:szCs w:val="24"/>
          <w:lang w:val="bg-BG"/>
        </w:rPr>
        <w:t xml:space="preserve"> ефикасно ръководството на предприятието идентифицира и управлява рисковете</w:t>
      </w:r>
      <w:r w:rsidR="00212BDB" w:rsidRPr="007C058F">
        <w:rPr>
          <w:rFonts w:eastAsia="Times New Roman" w:cs="Helvetica"/>
          <w:color w:val="575757"/>
          <w:sz w:val="24"/>
          <w:szCs w:val="24"/>
          <w:lang w:val="bg-BG"/>
        </w:rPr>
        <w:t xml:space="preserve">; </w:t>
      </w:r>
      <w:r w:rsidRPr="007C058F">
        <w:rPr>
          <w:rFonts w:eastAsia="Times New Roman" w:cs="Helvetica"/>
          <w:color w:val="575757"/>
          <w:sz w:val="24"/>
          <w:szCs w:val="24"/>
          <w:lang w:val="bg-BG"/>
        </w:rPr>
        <w:t>и</w:t>
      </w:r>
    </w:p>
    <w:p w:rsidR="00212BDB" w:rsidRPr="007C058F" w:rsidRDefault="00AC0793" w:rsidP="00212BDB">
      <w:pPr>
        <w:numPr>
          <w:ilvl w:val="0"/>
          <w:numId w:val="6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  <w:lang w:val="bg-BG"/>
        </w:rPr>
      </w:pPr>
      <w:proofErr w:type="gramStart"/>
      <w:r w:rsidRPr="007C058F">
        <w:rPr>
          <w:rFonts w:eastAsia="Times New Roman" w:cs="Helvetica"/>
          <w:color w:val="575757"/>
          <w:sz w:val="24"/>
          <w:szCs w:val="24"/>
          <w:lang w:val="bg-BG"/>
        </w:rPr>
        <w:t>по</w:t>
      </w:r>
      <w:proofErr w:type="gramEnd"/>
      <w:r w:rsidRPr="007C058F">
        <w:rPr>
          <w:rFonts w:eastAsia="Times New Roman" w:cs="Helvetica"/>
          <w:color w:val="575757"/>
          <w:sz w:val="24"/>
          <w:szCs w:val="24"/>
          <w:lang w:val="bg-BG"/>
        </w:rPr>
        <w:t xml:space="preserve"> отношение на външната среда на предприятието</w:t>
      </w:r>
      <w:r w:rsidR="00212BDB" w:rsidRPr="007C058F">
        <w:rPr>
          <w:rFonts w:eastAsia="Times New Roman" w:cs="Helvetica"/>
          <w:color w:val="575757"/>
          <w:sz w:val="24"/>
          <w:szCs w:val="24"/>
          <w:lang w:val="bg-BG"/>
        </w:rPr>
        <w:t>:</w:t>
      </w:r>
    </w:p>
    <w:p w:rsidR="00212BDB" w:rsidRPr="007C058F" w:rsidRDefault="00AC0793" w:rsidP="00212BDB">
      <w:pPr>
        <w:numPr>
          <w:ilvl w:val="1"/>
          <w:numId w:val="6"/>
        </w:numPr>
        <w:shd w:val="clear" w:color="auto" w:fill="FFFFFF"/>
        <w:spacing w:before="75" w:after="75" w:line="240" w:lineRule="auto"/>
        <w:ind w:left="1215"/>
        <w:rPr>
          <w:rFonts w:eastAsia="Times New Roman" w:cs="Helvetica"/>
          <w:color w:val="575757"/>
          <w:sz w:val="24"/>
          <w:szCs w:val="24"/>
          <w:lang w:val="bg-BG"/>
        </w:rPr>
      </w:pPr>
      <w:proofErr w:type="gramStart"/>
      <w:r w:rsidRPr="007C058F">
        <w:rPr>
          <w:rFonts w:eastAsia="Times New Roman" w:cs="Helvetica"/>
          <w:color w:val="575757"/>
          <w:sz w:val="24"/>
          <w:szCs w:val="24"/>
          <w:lang w:val="bg-BG"/>
        </w:rPr>
        <w:t>как</w:t>
      </w:r>
      <w:proofErr w:type="gramEnd"/>
      <w:r w:rsidRPr="007C058F">
        <w:rPr>
          <w:rFonts w:eastAsia="Times New Roman" w:cs="Helvetica"/>
          <w:color w:val="575757"/>
          <w:sz w:val="24"/>
          <w:szCs w:val="24"/>
          <w:lang w:val="bg-BG"/>
        </w:rPr>
        <w:t xml:space="preserve"> факторите и тенденциите във външната среда оказват влияние върху предприятието</w:t>
      </w:r>
      <w:r w:rsidR="00212BDB" w:rsidRPr="007C058F">
        <w:rPr>
          <w:rFonts w:eastAsia="Times New Roman" w:cs="Helvetica"/>
          <w:color w:val="575757"/>
          <w:sz w:val="24"/>
          <w:szCs w:val="24"/>
          <w:lang w:val="bg-BG"/>
        </w:rPr>
        <w:t xml:space="preserve">; </w:t>
      </w:r>
      <w:r w:rsidRPr="007C058F">
        <w:rPr>
          <w:rFonts w:eastAsia="Times New Roman" w:cs="Helvetica"/>
          <w:color w:val="575757"/>
          <w:sz w:val="24"/>
          <w:szCs w:val="24"/>
          <w:lang w:val="bg-BG"/>
        </w:rPr>
        <w:t>и</w:t>
      </w:r>
    </w:p>
    <w:p w:rsidR="00212BDB" w:rsidRPr="007C058F" w:rsidRDefault="00AC0793" w:rsidP="00212BDB">
      <w:pPr>
        <w:numPr>
          <w:ilvl w:val="1"/>
          <w:numId w:val="6"/>
        </w:numPr>
        <w:shd w:val="clear" w:color="auto" w:fill="FFFFFF"/>
        <w:spacing w:before="75" w:after="75" w:line="240" w:lineRule="auto"/>
        <w:ind w:left="1215"/>
        <w:rPr>
          <w:rFonts w:eastAsia="Times New Roman" w:cs="Helvetica"/>
          <w:color w:val="575757"/>
          <w:sz w:val="24"/>
          <w:szCs w:val="24"/>
          <w:lang w:val="bg-BG"/>
        </w:rPr>
      </w:pPr>
      <w:proofErr w:type="gramStart"/>
      <w:r w:rsidRPr="007C058F">
        <w:rPr>
          <w:rFonts w:eastAsia="Times New Roman" w:cs="Helvetica"/>
          <w:color w:val="575757"/>
          <w:sz w:val="24"/>
          <w:szCs w:val="24"/>
          <w:lang w:val="bg-BG"/>
        </w:rPr>
        <w:t>доколко</w:t>
      </w:r>
      <w:proofErr w:type="gramEnd"/>
      <w:r w:rsidRPr="007C058F">
        <w:rPr>
          <w:rFonts w:eastAsia="Times New Roman" w:cs="Helvetica"/>
          <w:color w:val="575757"/>
          <w:sz w:val="24"/>
          <w:szCs w:val="24"/>
          <w:lang w:val="bg-BG"/>
        </w:rPr>
        <w:t xml:space="preserve"> ефикасно ръководството осъществява текущо наблюдение и реагира на такива фактори и тенденции</w:t>
      </w:r>
      <w:r w:rsidR="00212BDB" w:rsidRPr="007C058F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212BDB" w:rsidRPr="007C058F" w:rsidRDefault="001578C4" w:rsidP="00212BDB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7C058F">
        <w:rPr>
          <w:rFonts w:eastAsia="Times New Roman" w:cs="Helvetica"/>
          <w:color w:val="575757"/>
          <w:sz w:val="24"/>
          <w:szCs w:val="24"/>
          <w:lang w:val="bg-BG"/>
        </w:rPr>
        <w:t>Съветът реши в порядък на работна хипотеза</w:t>
      </w:r>
      <w:r w:rsidR="00212BDB" w:rsidRPr="007C058F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AC0793" w:rsidRPr="007C058F">
        <w:rPr>
          <w:rFonts w:eastAsia="Times New Roman" w:cs="Helvetica"/>
          <w:color w:val="575757"/>
          <w:sz w:val="24"/>
          <w:szCs w:val="24"/>
          <w:lang w:val="bg-BG"/>
        </w:rPr>
        <w:t>да посочи в целите на оповестяването, че информацията и анализа, включени в коментара на ръководството следва да се фокусират върху</w:t>
      </w:r>
      <w:r w:rsidR="00212BDB" w:rsidRPr="007C058F">
        <w:rPr>
          <w:rFonts w:eastAsia="Times New Roman" w:cs="Helvetica"/>
          <w:color w:val="575757"/>
          <w:sz w:val="24"/>
          <w:szCs w:val="24"/>
          <w:lang w:val="bg-BG"/>
        </w:rPr>
        <w:t>:</w:t>
      </w:r>
    </w:p>
    <w:p w:rsidR="00212BDB" w:rsidRPr="007C058F" w:rsidRDefault="00B121B0" w:rsidP="00212BDB">
      <w:pPr>
        <w:numPr>
          <w:ilvl w:val="0"/>
          <w:numId w:val="7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  <w:lang w:val="bg-BG"/>
        </w:rPr>
      </w:pPr>
      <w:proofErr w:type="gramStart"/>
      <w:r w:rsidRPr="007C058F">
        <w:rPr>
          <w:rFonts w:eastAsia="Times New Roman" w:cs="Helvetica"/>
          <w:color w:val="575757"/>
          <w:sz w:val="24"/>
          <w:szCs w:val="24"/>
          <w:lang w:val="bg-BG"/>
        </w:rPr>
        <w:t>ключовите</w:t>
      </w:r>
      <w:proofErr w:type="gramEnd"/>
      <w:r w:rsidRPr="007C058F">
        <w:rPr>
          <w:rFonts w:eastAsia="Times New Roman" w:cs="Helvetica"/>
          <w:color w:val="575757"/>
          <w:sz w:val="24"/>
          <w:szCs w:val="24"/>
          <w:lang w:val="bg-BG"/>
        </w:rPr>
        <w:t xml:space="preserve"> рискове и да обхващат</w:t>
      </w:r>
      <w:r w:rsidR="00212BDB" w:rsidRPr="007C058F">
        <w:rPr>
          <w:rFonts w:eastAsia="Times New Roman" w:cs="Helvetica"/>
          <w:color w:val="575757"/>
          <w:sz w:val="24"/>
          <w:szCs w:val="24"/>
          <w:lang w:val="bg-BG"/>
        </w:rPr>
        <w:t>:</w:t>
      </w:r>
    </w:p>
    <w:p w:rsidR="00212BDB" w:rsidRPr="007C058F" w:rsidRDefault="00B121B0" w:rsidP="00212BDB">
      <w:pPr>
        <w:numPr>
          <w:ilvl w:val="1"/>
          <w:numId w:val="7"/>
        </w:numPr>
        <w:shd w:val="clear" w:color="auto" w:fill="FFFFFF"/>
        <w:spacing w:before="75" w:after="75" w:line="240" w:lineRule="auto"/>
        <w:ind w:left="1215"/>
        <w:rPr>
          <w:rFonts w:eastAsia="Times New Roman" w:cs="Helvetica"/>
          <w:color w:val="575757"/>
          <w:sz w:val="24"/>
          <w:szCs w:val="24"/>
          <w:lang w:val="bg-BG"/>
        </w:rPr>
      </w:pPr>
      <w:proofErr w:type="gramStart"/>
      <w:r w:rsidRPr="007C058F">
        <w:rPr>
          <w:rFonts w:eastAsia="Times New Roman" w:cs="Helvetica"/>
          <w:color w:val="575757"/>
          <w:sz w:val="24"/>
          <w:szCs w:val="24"/>
          <w:lang w:val="bg-BG"/>
        </w:rPr>
        <w:t>описание</w:t>
      </w:r>
      <w:proofErr w:type="gramEnd"/>
      <w:r w:rsidRPr="007C058F">
        <w:rPr>
          <w:rFonts w:eastAsia="Times New Roman" w:cs="Helvetica"/>
          <w:color w:val="575757"/>
          <w:sz w:val="24"/>
          <w:szCs w:val="24"/>
          <w:lang w:val="bg-BG"/>
        </w:rPr>
        <w:t xml:space="preserve"> на рисковете и експозицията на предприятието на тези рискове</w:t>
      </w:r>
      <w:r w:rsidR="00212BDB" w:rsidRPr="007C058F">
        <w:rPr>
          <w:rFonts w:eastAsia="Times New Roman" w:cs="Helvetica"/>
          <w:color w:val="575757"/>
          <w:sz w:val="24"/>
          <w:szCs w:val="24"/>
          <w:lang w:val="bg-BG"/>
        </w:rPr>
        <w:t xml:space="preserve">; </w:t>
      </w:r>
      <w:r w:rsidRPr="007C058F">
        <w:rPr>
          <w:rFonts w:eastAsia="Times New Roman" w:cs="Helvetica"/>
          <w:color w:val="575757"/>
          <w:sz w:val="24"/>
          <w:szCs w:val="24"/>
          <w:lang w:val="bg-BG"/>
        </w:rPr>
        <w:t>и</w:t>
      </w:r>
    </w:p>
    <w:p w:rsidR="00212BDB" w:rsidRPr="007C058F" w:rsidRDefault="00B121B0" w:rsidP="00212BDB">
      <w:pPr>
        <w:numPr>
          <w:ilvl w:val="1"/>
          <w:numId w:val="7"/>
        </w:numPr>
        <w:shd w:val="clear" w:color="auto" w:fill="FFFFFF"/>
        <w:spacing w:before="75" w:after="75" w:line="240" w:lineRule="auto"/>
        <w:ind w:left="1215"/>
        <w:rPr>
          <w:rFonts w:eastAsia="Times New Roman" w:cs="Helvetica"/>
          <w:color w:val="575757"/>
          <w:sz w:val="24"/>
          <w:szCs w:val="24"/>
          <w:lang w:val="bg-BG"/>
        </w:rPr>
      </w:pPr>
      <w:proofErr w:type="gramStart"/>
      <w:r w:rsidRPr="007C058F">
        <w:rPr>
          <w:rFonts w:eastAsia="Times New Roman" w:cs="Helvetica"/>
          <w:color w:val="575757"/>
          <w:sz w:val="24"/>
          <w:szCs w:val="24"/>
          <w:lang w:val="bg-BG"/>
        </w:rPr>
        <w:t>как</w:t>
      </w:r>
      <w:proofErr w:type="gramEnd"/>
      <w:r w:rsidR="00212BDB" w:rsidRPr="007C058F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Pr="007C058F">
        <w:rPr>
          <w:rFonts w:eastAsia="Times New Roman" w:cs="Helvetica"/>
          <w:color w:val="575757"/>
          <w:sz w:val="24"/>
          <w:szCs w:val="24"/>
          <w:lang w:val="bg-BG"/>
        </w:rPr>
        <w:t>ръководството на предприятието осъществява текущо наблюдение и управлява рисковете</w:t>
      </w:r>
      <w:r w:rsidR="00212BDB" w:rsidRPr="007C058F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Pr="007C058F">
        <w:rPr>
          <w:rFonts w:eastAsia="Times New Roman" w:cs="Helvetica"/>
          <w:color w:val="575757"/>
          <w:sz w:val="24"/>
          <w:szCs w:val="24"/>
          <w:lang w:val="bg-BG"/>
        </w:rPr>
        <w:t>и как би смекчило евентуално сътресение, ако такова възникне</w:t>
      </w:r>
      <w:r w:rsidR="00212BDB" w:rsidRPr="007C058F">
        <w:rPr>
          <w:rFonts w:eastAsia="Times New Roman" w:cs="Helvetica"/>
          <w:color w:val="575757"/>
          <w:sz w:val="24"/>
          <w:szCs w:val="24"/>
          <w:lang w:val="bg-BG"/>
        </w:rPr>
        <w:t xml:space="preserve">; </w:t>
      </w:r>
      <w:r w:rsidRPr="007C058F">
        <w:rPr>
          <w:rFonts w:eastAsia="Times New Roman" w:cs="Helvetica"/>
          <w:color w:val="575757"/>
          <w:sz w:val="24"/>
          <w:szCs w:val="24"/>
          <w:lang w:val="bg-BG"/>
        </w:rPr>
        <w:t>и</w:t>
      </w:r>
    </w:p>
    <w:p w:rsidR="00212BDB" w:rsidRPr="007C058F" w:rsidRDefault="00B121B0" w:rsidP="00212BDB">
      <w:pPr>
        <w:numPr>
          <w:ilvl w:val="0"/>
          <w:numId w:val="7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  <w:lang w:val="bg-BG"/>
        </w:rPr>
      </w:pPr>
      <w:proofErr w:type="gramStart"/>
      <w:r w:rsidRPr="007C058F">
        <w:rPr>
          <w:rFonts w:eastAsia="Times New Roman" w:cs="Helvetica"/>
          <w:color w:val="575757"/>
          <w:sz w:val="24"/>
          <w:szCs w:val="24"/>
          <w:lang w:val="bg-BG"/>
        </w:rPr>
        <w:t>ключовите</w:t>
      </w:r>
      <w:proofErr w:type="gramEnd"/>
      <w:r w:rsidRPr="007C058F">
        <w:rPr>
          <w:rFonts w:eastAsia="Times New Roman" w:cs="Helvetica"/>
          <w:color w:val="575757"/>
          <w:sz w:val="24"/>
          <w:szCs w:val="24"/>
          <w:lang w:val="bg-BG"/>
        </w:rPr>
        <w:t xml:space="preserve"> фактори и тенденции във външната среда на предприятието и да обхващат</w:t>
      </w:r>
      <w:r w:rsidR="00212BDB" w:rsidRPr="007C058F">
        <w:rPr>
          <w:rFonts w:eastAsia="Times New Roman" w:cs="Helvetica"/>
          <w:color w:val="575757"/>
          <w:sz w:val="24"/>
          <w:szCs w:val="24"/>
          <w:lang w:val="bg-BG"/>
        </w:rPr>
        <w:t>:</w:t>
      </w:r>
    </w:p>
    <w:p w:rsidR="00212BDB" w:rsidRPr="007C058F" w:rsidRDefault="00B121B0" w:rsidP="00212BDB">
      <w:pPr>
        <w:numPr>
          <w:ilvl w:val="1"/>
          <w:numId w:val="7"/>
        </w:numPr>
        <w:shd w:val="clear" w:color="auto" w:fill="FFFFFF"/>
        <w:spacing w:before="75" w:after="75" w:line="240" w:lineRule="auto"/>
        <w:ind w:left="1215"/>
        <w:rPr>
          <w:rFonts w:eastAsia="Times New Roman" w:cs="Helvetica"/>
          <w:color w:val="575757"/>
          <w:sz w:val="24"/>
          <w:szCs w:val="24"/>
          <w:lang w:val="bg-BG"/>
        </w:rPr>
      </w:pPr>
      <w:proofErr w:type="gramStart"/>
      <w:r w:rsidRPr="007C058F">
        <w:rPr>
          <w:rFonts w:eastAsia="Times New Roman" w:cs="Helvetica"/>
          <w:color w:val="575757"/>
          <w:sz w:val="24"/>
          <w:szCs w:val="24"/>
          <w:lang w:val="bg-BG"/>
        </w:rPr>
        <w:t>описание</w:t>
      </w:r>
      <w:proofErr w:type="gramEnd"/>
      <w:r w:rsidRPr="007C058F">
        <w:rPr>
          <w:rFonts w:eastAsia="Times New Roman" w:cs="Helvetica"/>
          <w:color w:val="575757"/>
          <w:sz w:val="24"/>
          <w:szCs w:val="24"/>
          <w:lang w:val="bg-BG"/>
        </w:rPr>
        <w:t xml:space="preserve"> на факторите и тенденциите</w:t>
      </w:r>
      <w:r w:rsidR="00212BDB" w:rsidRPr="007C058F">
        <w:rPr>
          <w:rFonts w:eastAsia="Times New Roman" w:cs="Helvetica"/>
          <w:color w:val="575757"/>
          <w:sz w:val="24"/>
          <w:szCs w:val="24"/>
          <w:lang w:val="bg-BG"/>
        </w:rPr>
        <w:t>;</w:t>
      </w:r>
    </w:p>
    <w:p w:rsidR="00212BDB" w:rsidRPr="007C058F" w:rsidRDefault="00B121B0" w:rsidP="00212BDB">
      <w:pPr>
        <w:numPr>
          <w:ilvl w:val="1"/>
          <w:numId w:val="7"/>
        </w:numPr>
        <w:shd w:val="clear" w:color="auto" w:fill="FFFFFF"/>
        <w:spacing w:before="75" w:after="75" w:line="240" w:lineRule="auto"/>
        <w:ind w:left="1215"/>
        <w:rPr>
          <w:rFonts w:eastAsia="Times New Roman" w:cs="Helvetica"/>
          <w:color w:val="575757"/>
          <w:sz w:val="24"/>
          <w:szCs w:val="24"/>
          <w:lang w:val="bg-BG"/>
        </w:rPr>
      </w:pPr>
      <w:proofErr w:type="gramStart"/>
      <w:r w:rsidRPr="007C058F">
        <w:rPr>
          <w:rFonts w:eastAsia="Times New Roman" w:cs="Helvetica"/>
          <w:color w:val="575757"/>
          <w:sz w:val="24"/>
          <w:szCs w:val="24"/>
          <w:lang w:val="bg-BG"/>
        </w:rPr>
        <w:t>как</w:t>
      </w:r>
      <w:proofErr w:type="gramEnd"/>
      <w:r w:rsidRPr="007C058F">
        <w:rPr>
          <w:rFonts w:eastAsia="Times New Roman" w:cs="Helvetica"/>
          <w:color w:val="575757"/>
          <w:sz w:val="24"/>
          <w:szCs w:val="24"/>
          <w:lang w:val="bg-BG"/>
        </w:rPr>
        <w:t xml:space="preserve"> тези фактори и тенденции оказват влияние върху предприятието</w:t>
      </w:r>
      <w:r w:rsidR="00212BDB" w:rsidRPr="007C058F">
        <w:rPr>
          <w:rFonts w:eastAsia="Times New Roman" w:cs="Helvetica"/>
          <w:color w:val="575757"/>
          <w:sz w:val="24"/>
          <w:szCs w:val="24"/>
          <w:lang w:val="bg-BG"/>
        </w:rPr>
        <w:t xml:space="preserve">; </w:t>
      </w:r>
      <w:r w:rsidRPr="007C058F">
        <w:rPr>
          <w:rFonts w:eastAsia="Times New Roman" w:cs="Helvetica"/>
          <w:color w:val="575757"/>
          <w:sz w:val="24"/>
          <w:szCs w:val="24"/>
          <w:lang w:val="bg-BG"/>
        </w:rPr>
        <w:t>и</w:t>
      </w:r>
    </w:p>
    <w:p w:rsidR="00212BDB" w:rsidRPr="007C058F" w:rsidRDefault="00B121B0" w:rsidP="00212BDB">
      <w:pPr>
        <w:numPr>
          <w:ilvl w:val="1"/>
          <w:numId w:val="7"/>
        </w:numPr>
        <w:shd w:val="clear" w:color="auto" w:fill="FFFFFF"/>
        <w:spacing w:before="75" w:after="75" w:line="240" w:lineRule="auto"/>
        <w:ind w:left="1215"/>
        <w:rPr>
          <w:rFonts w:eastAsia="Times New Roman" w:cs="Helvetica"/>
          <w:color w:val="575757"/>
          <w:sz w:val="24"/>
          <w:szCs w:val="24"/>
          <w:lang w:val="bg-BG"/>
        </w:rPr>
      </w:pPr>
      <w:proofErr w:type="gramStart"/>
      <w:r w:rsidRPr="007C058F">
        <w:rPr>
          <w:rFonts w:eastAsia="Times New Roman" w:cs="Helvetica"/>
          <w:color w:val="575757"/>
          <w:sz w:val="24"/>
          <w:szCs w:val="24"/>
          <w:lang w:val="bg-BG"/>
        </w:rPr>
        <w:t>как</w:t>
      </w:r>
      <w:proofErr w:type="gramEnd"/>
      <w:r w:rsidRPr="007C058F">
        <w:rPr>
          <w:rFonts w:eastAsia="Times New Roman" w:cs="Helvetica"/>
          <w:color w:val="575757"/>
          <w:sz w:val="24"/>
          <w:szCs w:val="24"/>
          <w:lang w:val="bg-BG"/>
        </w:rPr>
        <w:t xml:space="preserve"> ръководството на предприятието реагира на тези фактори и тенденции</w:t>
      </w:r>
      <w:r w:rsidR="00212BDB" w:rsidRPr="007C058F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212BDB" w:rsidRPr="007C058F" w:rsidRDefault="00276DC7" w:rsidP="00212BDB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7C058F">
        <w:rPr>
          <w:rFonts w:eastAsia="Times New Roman" w:cs="Helvetica"/>
          <w:color w:val="575757"/>
          <w:sz w:val="24"/>
          <w:szCs w:val="24"/>
          <w:lang w:val="bg-BG"/>
        </w:rPr>
        <w:t xml:space="preserve">Тринадесет от четиринадесетте членове на Съвета изразиха съгласие с решението </w:t>
      </w:r>
      <w:proofErr w:type="gramStart"/>
      <w:r w:rsidRPr="007C058F">
        <w:rPr>
          <w:rFonts w:eastAsia="Times New Roman" w:cs="Helvetica"/>
          <w:color w:val="575757"/>
          <w:sz w:val="24"/>
          <w:szCs w:val="24"/>
          <w:lang w:val="bg-BG"/>
        </w:rPr>
        <w:t>относно</w:t>
      </w:r>
      <w:proofErr w:type="gramEnd"/>
      <w:r w:rsidR="00212BDB" w:rsidRPr="007C058F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Pr="007C058F">
        <w:rPr>
          <w:rFonts w:eastAsia="Times New Roman" w:cs="Helvetica"/>
          <w:color w:val="575757"/>
          <w:sz w:val="24"/>
          <w:szCs w:val="24"/>
          <w:lang w:val="bg-BG"/>
        </w:rPr>
        <w:t>целта на оповестяването по отношение на рисковете, а всичките четиринадесет членове на Съвета изразиха съгласие с решението относно целта на оповестяването по отношение на външната среда</w:t>
      </w:r>
      <w:r w:rsidR="00212BDB" w:rsidRPr="007C058F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212BDB" w:rsidRPr="007C058F" w:rsidRDefault="00276DC7" w:rsidP="00212BDB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7C058F">
        <w:rPr>
          <w:rFonts w:eastAsia="Times New Roman" w:cs="Helvetica"/>
          <w:color w:val="575757"/>
          <w:sz w:val="24"/>
          <w:szCs w:val="24"/>
          <w:lang w:val="bg-BG"/>
        </w:rPr>
        <w:t>Съветът реши също така в порядък на работна хипотеза да конкретизира, че</w:t>
      </w:r>
      <w:r w:rsidR="00212BDB" w:rsidRPr="007C058F">
        <w:rPr>
          <w:rFonts w:eastAsia="Times New Roman" w:cs="Helvetica"/>
          <w:color w:val="575757"/>
          <w:sz w:val="24"/>
          <w:szCs w:val="24"/>
          <w:lang w:val="bg-BG"/>
        </w:rPr>
        <w:t>:</w:t>
      </w:r>
    </w:p>
    <w:p w:rsidR="00212BDB" w:rsidRPr="007C058F" w:rsidRDefault="00B121B0" w:rsidP="00212BDB">
      <w:pPr>
        <w:numPr>
          <w:ilvl w:val="0"/>
          <w:numId w:val="8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  <w:lang w:val="bg-BG"/>
        </w:rPr>
      </w:pPr>
      <w:proofErr w:type="gramStart"/>
      <w:r w:rsidRPr="007C058F">
        <w:rPr>
          <w:rFonts w:eastAsia="Times New Roman" w:cs="Helvetica"/>
          <w:color w:val="575757"/>
          <w:sz w:val="24"/>
          <w:szCs w:val="24"/>
          <w:lang w:val="bg-BG"/>
        </w:rPr>
        <w:t>ключовите</w:t>
      </w:r>
      <w:proofErr w:type="gramEnd"/>
      <w:r w:rsidRPr="007C058F">
        <w:rPr>
          <w:rFonts w:eastAsia="Times New Roman" w:cs="Helvetica"/>
          <w:color w:val="575757"/>
          <w:sz w:val="24"/>
          <w:szCs w:val="24"/>
          <w:lang w:val="bg-BG"/>
        </w:rPr>
        <w:t xml:space="preserve"> рискове са рисковете, които биха могли да доведат до сътресение в способността на предприятието да създава стойност и генерира парични потоци</w:t>
      </w:r>
      <w:r w:rsidR="00212BDB" w:rsidRPr="007C058F">
        <w:rPr>
          <w:rFonts w:eastAsia="Times New Roman" w:cs="Helvetica"/>
          <w:color w:val="575757"/>
          <w:sz w:val="24"/>
          <w:szCs w:val="24"/>
          <w:lang w:val="bg-BG"/>
        </w:rPr>
        <w:t xml:space="preserve">. </w:t>
      </w:r>
      <w:r w:rsidR="00276DC7" w:rsidRPr="007C058F">
        <w:rPr>
          <w:rFonts w:eastAsia="Times New Roman" w:cs="Helvetica"/>
          <w:color w:val="575757"/>
          <w:sz w:val="24"/>
          <w:szCs w:val="24"/>
          <w:lang w:val="bg-BG"/>
        </w:rPr>
        <w:t>Дванадесет от четиринадесетте членове на Съвета изразиха съгласие с това решение</w:t>
      </w:r>
      <w:r w:rsidR="00212BDB" w:rsidRPr="007C058F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212BDB" w:rsidRPr="007C058F" w:rsidRDefault="00B121B0" w:rsidP="00212BDB">
      <w:pPr>
        <w:numPr>
          <w:ilvl w:val="0"/>
          <w:numId w:val="8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  <w:lang w:val="bg-BG"/>
        </w:rPr>
      </w:pPr>
      <w:proofErr w:type="gramStart"/>
      <w:r w:rsidRPr="007C058F">
        <w:rPr>
          <w:rFonts w:eastAsia="Times New Roman" w:cs="Helvetica"/>
          <w:color w:val="575757"/>
          <w:sz w:val="24"/>
          <w:szCs w:val="24"/>
          <w:lang w:val="bg-BG"/>
        </w:rPr>
        <w:t>ключовите</w:t>
      </w:r>
      <w:proofErr w:type="gramEnd"/>
      <w:r w:rsidRPr="007C058F">
        <w:rPr>
          <w:rFonts w:eastAsia="Times New Roman" w:cs="Helvetica"/>
          <w:color w:val="575757"/>
          <w:sz w:val="24"/>
          <w:szCs w:val="24"/>
          <w:lang w:val="bg-BG"/>
        </w:rPr>
        <w:t xml:space="preserve"> фактори и тенденции във външната среда на предприятието са фактори и тенденции, които</w:t>
      </w:r>
      <w:r w:rsidR="00212BDB" w:rsidRPr="007C058F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Pr="007C058F">
        <w:rPr>
          <w:rFonts w:eastAsia="Times New Roman" w:cs="Helvetica"/>
          <w:color w:val="575757"/>
          <w:sz w:val="24"/>
          <w:szCs w:val="24"/>
          <w:lang w:val="bg-BG"/>
        </w:rPr>
        <w:t>оказват влияние върху способността на предприятието да</w:t>
      </w:r>
      <w:r w:rsidR="00212BDB" w:rsidRPr="007C058F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Pr="007C058F">
        <w:rPr>
          <w:rFonts w:eastAsia="Times New Roman" w:cs="Helvetica"/>
          <w:color w:val="575757"/>
          <w:sz w:val="24"/>
          <w:szCs w:val="24"/>
          <w:lang w:val="bg-BG"/>
        </w:rPr>
        <w:t>създава стойност и генерира парични потоци</w:t>
      </w:r>
      <w:r w:rsidR="00212BDB" w:rsidRPr="007C058F">
        <w:rPr>
          <w:rFonts w:eastAsia="Times New Roman" w:cs="Helvetica"/>
          <w:color w:val="575757"/>
          <w:sz w:val="24"/>
          <w:szCs w:val="24"/>
          <w:lang w:val="bg-BG"/>
        </w:rPr>
        <w:t xml:space="preserve">. </w:t>
      </w:r>
      <w:r w:rsidR="00276DC7" w:rsidRPr="007C058F">
        <w:rPr>
          <w:rFonts w:eastAsia="Times New Roman" w:cs="Helvetica"/>
          <w:color w:val="575757"/>
          <w:sz w:val="24"/>
          <w:szCs w:val="24"/>
          <w:lang w:val="bg-BG"/>
        </w:rPr>
        <w:t>Всичките четиринадесет членове на Съвета изразиха съгласие с това решение</w:t>
      </w:r>
      <w:r w:rsidR="00212BDB" w:rsidRPr="007C058F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212BDB" w:rsidRPr="007C058F" w:rsidRDefault="00B121B0" w:rsidP="00212BDB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7C058F">
        <w:rPr>
          <w:rFonts w:eastAsia="Times New Roman" w:cs="Helvetica"/>
          <w:color w:val="575757"/>
          <w:sz w:val="24"/>
          <w:szCs w:val="24"/>
          <w:lang w:val="bg-BG"/>
        </w:rPr>
        <w:t xml:space="preserve">Съветът би желал да акцентира в преработеното Изложение за практика, че </w:t>
      </w:r>
      <w:proofErr w:type="gramStart"/>
      <w:r w:rsidRPr="007C058F">
        <w:rPr>
          <w:rFonts w:eastAsia="Times New Roman" w:cs="Helvetica"/>
          <w:color w:val="575757"/>
          <w:sz w:val="24"/>
          <w:szCs w:val="24"/>
          <w:lang w:val="bg-BG"/>
        </w:rPr>
        <w:t>ключовите рискове и ключовите</w:t>
      </w:r>
      <w:proofErr w:type="gramEnd"/>
      <w:r w:rsidRPr="007C058F">
        <w:rPr>
          <w:rFonts w:eastAsia="Times New Roman" w:cs="Helvetica"/>
          <w:color w:val="575757"/>
          <w:sz w:val="24"/>
          <w:szCs w:val="24"/>
          <w:lang w:val="bg-BG"/>
        </w:rPr>
        <w:t xml:space="preserve"> фактори и тенденции във външната среда са рискове, фактори и тенденции, които ръководството на предприятието наблюдава текущо и управлява</w:t>
      </w:r>
      <w:r w:rsidR="00212BDB" w:rsidRPr="007C058F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212BDB" w:rsidRPr="007C058F" w:rsidRDefault="00CC1058" w:rsidP="00212BDB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7C058F">
        <w:rPr>
          <w:rFonts w:eastAsia="Times New Roman" w:cs="Helvetica"/>
          <w:color w:val="575757"/>
          <w:sz w:val="24"/>
          <w:szCs w:val="24"/>
          <w:lang w:val="bg-BG"/>
        </w:rPr>
        <w:lastRenderedPageBreak/>
        <w:t xml:space="preserve">Съветът обсъди също така и възможни помощни насоки </w:t>
      </w:r>
      <w:proofErr w:type="gramStart"/>
      <w:r w:rsidRPr="007C058F">
        <w:rPr>
          <w:rFonts w:eastAsia="Times New Roman" w:cs="Helvetica"/>
          <w:color w:val="575757"/>
          <w:sz w:val="24"/>
          <w:szCs w:val="24"/>
          <w:lang w:val="bg-BG"/>
        </w:rPr>
        <w:t>относно</w:t>
      </w:r>
      <w:proofErr w:type="gramEnd"/>
      <w:r w:rsidRPr="007C058F">
        <w:rPr>
          <w:rFonts w:eastAsia="Times New Roman" w:cs="Helvetica"/>
          <w:color w:val="575757"/>
          <w:sz w:val="24"/>
          <w:szCs w:val="24"/>
          <w:lang w:val="bg-BG"/>
        </w:rPr>
        <w:t xml:space="preserve"> рисковете и външната среда</w:t>
      </w:r>
      <w:r w:rsidR="00212BDB" w:rsidRPr="007C058F">
        <w:rPr>
          <w:rFonts w:eastAsia="Times New Roman" w:cs="Helvetica"/>
          <w:color w:val="575757"/>
          <w:sz w:val="24"/>
          <w:szCs w:val="24"/>
          <w:lang w:val="bg-BG"/>
        </w:rPr>
        <w:t xml:space="preserve">. </w:t>
      </w:r>
      <w:r w:rsidR="00276DC7" w:rsidRPr="007C058F">
        <w:rPr>
          <w:rFonts w:eastAsia="Times New Roman" w:cs="Helvetica"/>
          <w:color w:val="575757"/>
          <w:sz w:val="24"/>
          <w:szCs w:val="24"/>
          <w:lang w:val="bg-BG"/>
        </w:rPr>
        <w:t>От Съвета не бе поискано да взема каквито и да е решения</w:t>
      </w:r>
      <w:r w:rsidR="00212BDB" w:rsidRPr="007C058F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212BDB" w:rsidRPr="007C058F" w:rsidRDefault="00CC1058" w:rsidP="00212BDB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7C058F">
        <w:rPr>
          <w:rFonts w:eastAsia="Times New Roman" w:cs="Helvetica"/>
          <w:color w:val="575757"/>
          <w:sz w:val="24"/>
          <w:szCs w:val="24"/>
          <w:lang w:val="bg-BG"/>
        </w:rPr>
        <w:t xml:space="preserve">Съветът не обсъди въпроса </w:t>
      </w:r>
      <w:proofErr w:type="gramStart"/>
      <w:r w:rsidRPr="007C058F">
        <w:rPr>
          <w:rFonts w:eastAsia="Times New Roman" w:cs="Helvetica"/>
          <w:color w:val="575757"/>
          <w:sz w:val="24"/>
          <w:szCs w:val="24"/>
          <w:lang w:val="bg-BG"/>
        </w:rPr>
        <w:t>относно</w:t>
      </w:r>
      <w:proofErr w:type="gramEnd"/>
      <w:r w:rsidRPr="007C058F">
        <w:rPr>
          <w:rFonts w:eastAsia="Times New Roman" w:cs="Helvetica"/>
          <w:color w:val="575757"/>
          <w:sz w:val="24"/>
          <w:szCs w:val="24"/>
          <w:lang w:val="bg-BG"/>
        </w:rPr>
        <w:t xml:space="preserve"> възможностите.</w:t>
      </w:r>
      <w:r w:rsidR="00212BDB" w:rsidRPr="007C058F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Pr="007C058F">
        <w:rPr>
          <w:rFonts w:eastAsia="Times New Roman" w:cs="Helvetica"/>
          <w:color w:val="575757"/>
          <w:sz w:val="24"/>
          <w:szCs w:val="24"/>
          <w:lang w:val="bg-BG"/>
        </w:rPr>
        <w:t xml:space="preserve">Съветът обсъди насоки </w:t>
      </w:r>
      <w:proofErr w:type="gramStart"/>
      <w:r w:rsidRPr="007C058F">
        <w:rPr>
          <w:rFonts w:eastAsia="Times New Roman" w:cs="Helvetica"/>
          <w:color w:val="575757"/>
          <w:sz w:val="24"/>
          <w:szCs w:val="24"/>
          <w:lang w:val="bg-BG"/>
        </w:rPr>
        <w:t>относно</w:t>
      </w:r>
      <w:proofErr w:type="gramEnd"/>
      <w:r w:rsidRPr="007C058F">
        <w:rPr>
          <w:rFonts w:eastAsia="Times New Roman" w:cs="Helvetica"/>
          <w:color w:val="575757"/>
          <w:sz w:val="24"/>
          <w:szCs w:val="24"/>
          <w:lang w:val="bg-BG"/>
        </w:rPr>
        <w:t xml:space="preserve"> отчетните възможности през април 2020 г. като част от насоките относно стратегията на предприятието</w:t>
      </w:r>
      <w:r w:rsidR="00212BDB" w:rsidRPr="007C058F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212BDB" w:rsidRPr="007C058F" w:rsidRDefault="001578C4" w:rsidP="00212BDB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7C058F">
        <w:rPr>
          <w:rFonts w:eastAsia="Times New Roman" w:cs="Helvetica"/>
          <w:b/>
          <w:bCs/>
          <w:i/>
          <w:iCs/>
          <w:color w:val="575757"/>
          <w:sz w:val="24"/>
          <w:szCs w:val="24"/>
          <w:lang w:val="bg-BG"/>
        </w:rPr>
        <w:t xml:space="preserve">Следващ </w:t>
      </w:r>
      <w:proofErr w:type="gramStart"/>
      <w:r w:rsidRPr="007C058F">
        <w:rPr>
          <w:rFonts w:eastAsia="Times New Roman" w:cs="Helvetica"/>
          <w:b/>
          <w:bCs/>
          <w:i/>
          <w:iCs/>
          <w:color w:val="575757"/>
          <w:sz w:val="24"/>
          <w:szCs w:val="24"/>
          <w:lang w:val="bg-BG"/>
        </w:rPr>
        <w:t>етап</w:t>
      </w:r>
      <w:proofErr w:type="gramEnd"/>
    </w:p>
    <w:p w:rsidR="00212BDB" w:rsidRPr="007C058F" w:rsidRDefault="00CC1058" w:rsidP="00212BDB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7C058F">
        <w:rPr>
          <w:rFonts w:eastAsia="Times New Roman" w:cs="Helvetica"/>
          <w:color w:val="575757"/>
          <w:sz w:val="24"/>
          <w:szCs w:val="24"/>
          <w:lang w:val="bg-BG"/>
        </w:rPr>
        <w:t xml:space="preserve">Очаква се следващите обсъждания на Съвета да обхванат въпросите, свързани с това каква информация следва да предоставя коментарът на ръководството </w:t>
      </w:r>
      <w:proofErr w:type="gramStart"/>
      <w:r w:rsidRPr="007C058F">
        <w:rPr>
          <w:rFonts w:eastAsia="Times New Roman" w:cs="Helvetica"/>
          <w:color w:val="575757"/>
          <w:sz w:val="24"/>
          <w:szCs w:val="24"/>
          <w:lang w:val="bg-BG"/>
        </w:rPr>
        <w:t>относно</w:t>
      </w:r>
      <w:proofErr w:type="gramEnd"/>
      <w:r w:rsidRPr="007C058F">
        <w:rPr>
          <w:rFonts w:eastAsia="Times New Roman" w:cs="Helvetica"/>
          <w:color w:val="575757"/>
          <w:sz w:val="24"/>
          <w:szCs w:val="24"/>
          <w:lang w:val="bg-BG"/>
        </w:rPr>
        <w:t xml:space="preserve"> резултатите от дейността, състоянието и напредъка на предприятието</w:t>
      </w:r>
      <w:r w:rsidR="00212BDB" w:rsidRPr="007C058F">
        <w:rPr>
          <w:rFonts w:eastAsia="Times New Roman" w:cs="Helvetica"/>
          <w:color w:val="575757"/>
          <w:sz w:val="24"/>
          <w:szCs w:val="24"/>
          <w:lang w:val="bg-BG"/>
        </w:rPr>
        <w:t xml:space="preserve">, </w:t>
      </w:r>
      <w:r w:rsidRPr="007C058F">
        <w:rPr>
          <w:rFonts w:eastAsia="Times New Roman" w:cs="Helvetica"/>
          <w:color w:val="575757"/>
          <w:sz w:val="24"/>
          <w:szCs w:val="24"/>
          <w:lang w:val="bg-BG"/>
        </w:rPr>
        <w:t>агрегиране на информацията в коментара на ръководството и статута на Изложението за практика</w:t>
      </w:r>
      <w:r w:rsidR="00212BDB" w:rsidRPr="007C058F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212BDB" w:rsidRPr="007C058F" w:rsidRDefault="00314EBA" w:rsidP="00212BDB">
      <w:pPr>
        <w:shd w:val="clear" w:color="auto" w:fill="FFFFFF"/>
        <w:spacing w:before="450" w:after="300" w:line="240" w:lineRule="auto"/>
        <w:outlineLvl w:val="1"/>
        <w:rPr>
          <w:rFonts w:eastAsia="Times New Roman" w:cs="Helvetica"/>
          <w:b/>
          <w:bCs/>
          <w:color w:val="333333"/>
          <w:sz w:val="34"/>
          <w:szCs w:val="34"/>
          <w:lang w:val="bg-BG"/>
        </w:rPr>
      </w:pPr>
      <w:bookmarkStart w:id="2" w:name="3"/>
      <w:r w:rsidRPr="007C058F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 xml:space="preserve">Актуална информация </w:t>
      </w:r>
      <w:proofErr w:type="gramStart"/>
      <w:r w:rsidRPr="007C058F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>относно</w:t>
      </w:r>
      <w:proofErr w:type="gramEnd"/>
      <w:r w:rsidRPr="007C058F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 xml:space="preserve"> изследователската програма</w:t>
      </w:r>
      <w:r w:rsidR="00212BDB" w:rsidRPr="007C058F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 xml:space="preserve"> (</w:t>
      </w:r>
      <w:r w:rsidR="001578C4" w:rsidRPr="007C058F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>Документ по програмата</w:t>
      </w:r>
      <w:r w:rsidR="00212BDB" w:rsidRPr="007C058F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 xml:space="preserve"> 8)</w:t>
      </w:r>
      <w:bookmarkEnd w:id="2"/>
    </w:p>
    <w:p w:rsidR="00212BDB" w:rsidRPr="007C058F" w:rsidRDefault="00314EBA" w:rsidP="00212BDB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7C058F">
        <w:rPr>
          <w:rFonts w:eastAsia="Times New Roman" w:cs="Helvetica"/>
          <w:color w:val="575757"/>
          <w:sz w:val="24"/>
          <w:szCs w:val="24"/>
          <w:lang w:val="bg-BG"/>
        </w:rPr>
        <w:t xml:space="preserve">На 21 май 2020 г. </w:t>
      </w:r>
      <w:proofErr w:type="gramStart"/>
      <w:r w:rsidRPr="007C058F">
        <w:rPr>
          <w:rFonts w:eastAsia="Times New Roman" w:cs="Helvetica"/>
          <w:color w:val="575757"/>
          <w:sz w:val="24"/>
          <w:szCs w:val="24"/>
          <w:lang w:val="bg-BG"/>
        </w:rPr>
        <w:t>Съветът проведе заседание, за да бъде запознат с актуална информация във връзка с изследователската програма на Съвета</w:t>
      </w:r>
      <w:proofErr w:type="gramEnd"/>
      <w:r w:rsidRPr="007C058F">
        <w:rPr>
          <w:rFonts w:eastAsia="Times New Roman" w:cs="Helvetica"/>
          <w:color w:val="575757"/>
          <w:sz w:val="24"/>
          <w:szCs w:val="24"/>
          <w:lang w:val="bg-BG"/>
        </w:rPr>
        <w:t>. Информацията относно работната програма на Съвета</w:t>
      </w:r>
      <w:r w:rsidR="00212BDB" w:rsidRPr="007C058F">
        <w:rPr>
          <w:rFonts w:eastAsia="Times New Roman" w:cs="Helvetica"/>
          <w:color w:val="575757"/>
          <w:sz w:val="24"/>
          <w:szCs w:val="24"/>
          <w:lang w:val="bg-BG"/>
        </w:rPr>
        <w:t xml:space="preserve">, </w:t>
      </w:r>
      <w:r w:rsidRPr="007C058F">
        <w:rPr>
          <w:rFonts w:eastAsia="Times New Roman" w:cs="Helvetica"/>
          <w:color w:val="575757"/>
          <w:sz w:val="24"/>
          <w:szCs w:val="24"/>
          <w:lang w:val="bg-BG"/>
        </w:rPr>
        <w:t xml:space="preserve">включително изследователската </w:t>
      </w:r>
      <w:proofErr w:type="gramStart"/>
      <w:r w:rsidRPr="007C058F">
        <w:rPr>
          <w:rFonts w:eastAsia="Times New Roman" w:cs="Helvetica"/>
          <w:color w:val="575757"/>
          <w:sz w:val="24"/>
          <w:szCs w:val="24"/>
          <w:lang w:val="bg-BG"/>
        </w:rPr>
        <w:t>програма</w:t>
      </w:r>
      <w:r w:rsidR="00212BDB" w:rsidRPr="007C058F">
        <w:rPr>
          <w:rFonts w:eastAsia="Times New Roman" w:cs="Helvetica"/>
          <w:color w:val="575757"/>
          <w:sz w:val="24"/>
          <w:szCs w:val="24"/>
          <w:lang w:val="bg-BG"/>
        </w:rPr>
        <w:t>, </w:t>
      </w:r>
      <w:proofErr w:type="gramEnd"/>
      <w:r w:rsidR="00CD06E6" w:rsidRPr="007C058F">
        <w:rPr>
          <w:lang w:val="bg-BG"/>
        </w:rPr>
        <w:fldChar w:fldCharType="begin"/>
      </w:r>
      <w:r w:rsidR="00CD06E6" w:rsidRPr="007C058F">
        <w:rPr>
          <w:lang w:val="bg-BG"/>
        </w:rPr>
        <w:instrText>HYPERLINK "https://www.ifrs.org/projects/work-plan/"</w:instrText>
      </w:r>
      <w:r w:rsidR="00CD06E6" w:rsidRPr="007C058F">
        <w:rPr>
          <w:lang w:val="bg-BG"/>
        </w:rPr>
        <w:fldChar w:fldCharType="separate"/>
      </w:r>
      <w:proofErr w:type="gramStart"/>
      <w:r w:rsidRPr="007C058F">
        <w:rPr>
          <w:rFonts w:eastAsia="Times New Roman" w:cs="Helvetica"/>
          <w:color w:val="CD3333"/>
          <w:sz w:val="24"/>
          <w:szCs w:val="24"/>
          <w:u w:val="single"/>
          <w:lang w:val="bg-BG"/>
        </w:rPr>
        <w:t>е</w:t>
      </w:r>
      <w:proofErr w:type="gramEnd"/>
      <w:r w:rsidR="00CD06E6" w:rsidRPr="007C058F">
        <w:rPr>
          <w:lang w:val="bg-BG"/>
        </w:rPr>
        <w:fldChar w:fldCharType="end"/>
      </w:r>
      <w:r w:rsidRPr="007C058F">
        <w:rPr>
          <w:rFonts w:eastAsia="Times New Roman" w:cs="Helvetica"/>
          <w:color w:val="CD3333"/>
          <w:sz w:val="24"/>
          <w:szCs w:val="24"/>
          <w:u w:val="single"/>
          <w:lang w:val="bg-BG"/>
        </w:rPr>
        <w:t xml:space="preserve"> достъпна тук</w:t>
      </w:r>
      <w:r w:rsidR="00212BDB" w:rsidRPr="007C058F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212BDB" w:rsidRPr="007C058F" w:rsidRDefault="00314EBA" w:rsidP="00212BDB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7C058F">
        <w:rPr>
          <w:rFonts w:eastAsia="Times New Roman" w:cs="Helvetica"/>
          <w:color w:val="575757"/>
          <w:sz w:val="24"/>
          <w:szCs w:val="24"/>
          <w:lang w:val="bg-BG"/>
        </w:rPr>
        <w:t>От Съвета не бе поискано да взема каквито и да е решения</w:t>
      </w:r>
      <w:r w:rsidR="00212BDB" w:rsidRPr="007C058F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212BDB" w:rsidRPr="007C058F" w:rsidRDefault="001578C4" w:rsidP="00212BDB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7C058F">
        <w:rPr>
          <w:rFonts w:eastAsia="Times New Roman" w:cs="Helvetica"/>
          <w:b/>
          <w:bCs/>
          <w:i/>
          <w:iCs/>
          <w:color w:val="575757"/>
          <w:sz w:val="24"/>
          <w:szCs w:val="24"/>
          <w:lang w:val="bg-BG"/>
        </w:rPr>
        <w:t xml:space="preserve">Следващ </w:t>
      </w:r>
      <w:proofErr w:type="gramStart"/>
      <w:r w:rsidRPr="007C058F">
        <w:rPr>
          <w:rFonts w:eastAsia="Times New Roman" w:cs="Helvetica"/>
          <w:b/>
          <w:bCs/>
          <w:i/>
          <w:iCs/>
          <w:color w:val="575757"/>
          <w:sz w:val="24"/>
          <w:szCs w:val="24"/>
          <w:lang w:val="bg-BG"/>
        </w:rPr>
        <w:t>етап</w:t>
      </w:r>
      <w:proofErr w:type="gramEnd"/>
    </w:p>
    <w:p w:rsidR="00212BDB" w:rsidRPr="007C058F" w:rsidRDefault="00CC1058" w:rsidP="00212BDB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7C058F">
        <w:rPr>
          <w:rFonts w:eastAsia="Times New Roman" w:cs="Helvetica"/>
          <w:color w:val="575757"/>
          <w:sz w:val="24"/>
          <w:szCs w:val="24"/>
          <w:lang w:val="bg-BG"/>
        </w:rPr>
        <w:t xml:space="preserve">Съветът очаква да бъде запознат със следващата актуална информация </w:t>
      </w:r>
      <w:proofErr w:type="gramStart"/>
      <w:r w:rsidRPr="007C058F">
        <w:rPr>
          <w:rFonts w:eastAsia="Times New Roman" w:cs="Helvetica"/>
          <w:color w:val="575757"/>
          <w:sz w:val="24"/>
          <w:szCs w:val="24"/>
          <w:lang w:val="bg-BG"/>
        </w:rPr>
        <w:t>относно</w:t>
      </w:r>
      <w:proofErr w:type="gramEnd"/>
      <w:r w:rsidRPr="007C058F">
        <w:rPr>
          <w:rFonts w:eastAsia="Times New Roman" w:cs="Helvetica"/>
          <w:color w:val="575757"/>
          <w:sz w:val="24"/>
          <w:szCs w:val="24"/>
          <w:lang w:val="bg-BG"/>
        </w:rPr>
        <w:t xml:space="preserve"> изследователската си програма след три-четири месеца.</w:t>
      </w:r>
    </w:p>
    <w:p w:rsidR="00212BDB" w:rsidRPr="007C058F" w:rsidRDefault="001D3623" w:rsidP="00212BDB">
      <w:pPr>
        <w:shd w:val="clear" w:color="auto" w:fill="FFFFFF"/>
        <w:spacing w:before="450" w:after="300" w:line="240" w:lineRule="auto"/>
        <w:outlineLvl w:val="1"/>
        <w:rPr>
          <w:rFonts w:eastAsia="Times New Roman" w:cs="Helvetica"/>
          <w:b/>
          <w:bCs/>
          <w:color w:val="333333"/>
          <w:sz w:val="34"/>
          <w:szCs w:val="34"/>
          <w:lang w:val="bg-BG"/>
        </w:rPr>
      </w:pPr>
      <w:bookmarkStart w:id="3" w:name="4"/>
      <w:r w:rsidRPr="007C058F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>Поддръжка и последователно прилагане</w:t>
      </w:r>
      <w:r w:rsidR="00212BDB" w:rsidRPr="007C058F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 xml:space="preserve"> (</w:t>
      </w:r>
      <w:r w:rsidR="001578C4" w:rsidRPr="007C058F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>Документи по програмата</w:t>
      </w:r>
      <w:r w:rsidR="00212BDB" w:rsidRPr="007C058F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 xml:space="preserve"> 12–12</w:t>
      </w:r>
      <w:r w:rsidRPr="007C058F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>Б</w:t>
      </w:r>
      <w:r w:rsidR="00212BDB" w:rsidRPr="007C058F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>)</w:t>
      </w:r>
      <w:bookmarkEnd w:id="3"/>
    </w:p>
    <w:p w:rsidR="00212BDB" w:rsidRPr="007C058F" w:rsidRDefault="00314EBA" w:rsidP="00212BDB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7C058F">
        <w:rPr>
          <w:rFonts w:eastAsia="Times New Roman" w:cs="Helvetica"/>
          <w:color w:val="575757"/>
          <w:sz w:val="24"/>
          <w:szCs w:val="24"/>
          <w:lang w:val="bg-BG"/>
        </w:rPr>
        <w:t>На 21 май 2020 г. Съветът проведе заседание, за да обсъди</w:t>
      </w:r>
      <w:r w:rsidR="00212BDB" w:rsidRPr="007C058F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CC1058" w:rsidRPr="007C058F">
        <w:rPr>
          <w:rFonts w:eastAsia="Times New Roman" w:cs="Helvetica"/>
          <w:color w:val="575757"/>
          <w:sz w:val="24"/>
          <w:szCs w:val="24"/>
          <w:lang w:val="bg-BG"/>
        </w:rPr>
        <w:t>следните теми, отнасящи се до поддръжката и последователното прилагане на</w:t>
      </w:r>
      <w:r w:rsidR="00212BDB" w:rsidRPr="007C058F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1578C4" w:rsidRPr="007C058F">
        <w:rPr>
          <w:rFonts w:eastAsia="Times New Roman" w:cs="Helvetica"/>
          <w:color w:val="575757"/>
          <w:sz w:val="24"/>
          <w:szCs w:val="24"/>
          <w:lang w:val="bg-BG"/>
        </w:rPr>
        <w:t>МСФО</w:t>
      </w:r>
      <w:r w:rsidR="00212BDB" w:rsidRPr="007C058F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CC1058" w:rsidRPr="007C058F">
        <w:rPr>
          <w:rFonts w:eastAsia="Times New Roman" w:cs="Helvetica"/>
          <w:color w:val="575757"/>
          <w:sz w:val="24"/>
          <w:szCs w:val="24"/>
          <w:lang w:val="bg-BG"/>
        </w:rPr>
        <w:t>стандартите</w:t>
      </w:r>
      <w:r w:rsidR="00212BDB" w:rsidRPr="007C058F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212BDB" w:rsidRPr="007C058F" w:rsidRDefault="00CC1058" w:rsidP="00212BDB">
      <w:pPr>
        <w:shd w:val="clear" w:color="auto" w:fill="FFFFFF"/>
        <w:spacing w:before="300" w:after="150" w:line="240" w:lineRule="auto"/>
        <w:outlineLvl w:val="2"/>
        <w:rPr>
          <w:rFonts w:eastAsia="Times New Roman" w:cs="Helvetica"/>
          <w:b/>
          <w:bCs/>
          <w:color w:val="333333"/>
          <w:sz w:val="24"/>
          <w:szCs w:val="24"/>
          <w:lang w:val="bg-BG"/>
        </w:rPr>
      </w:pPr>
      <w:r w:rsidRPr="007C058F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Лизингов пасив при продажба и обратен лизинг</w:t>
      </w:r>
      <w:r w:rsidR="00212BDB" w:rsidRPr="007C058F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 xml:space="preserve"> (</w:t>
      </w:r>
      <w:r w:rsidR="001578C4" w:rsidRPr="007C058F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Документ по програмата</w:t>
      </w:r>
      <w:r w:rsidR="00212BDB" w:rsidRPr="007C058F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 xml:space="preserve"> 12A)</w:t>
      </w:r>
    </w:p>
    <w:p w:rsidR="00212BDB" w:rsidRPr="007C058F" w:rsidRDefault="00A5663E" w:rsidP="00212BDB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7C058F">
        <w:rPr>
          <w:rFonts w:eastAsia="Times New Roman" w:cs="Helvetica"/>
          <w:color w:val="575757"/>
          <w:sz w:val="24"/>
          <w:szCs w:val="24"/>
          <w:lang w:val="bg-BG"/>
        </w:rPr>
        <w:t>Съветът обсъди изискванията за преход и по-ранно прилагане на предложените изменения в</w:t>
      </w:r>
      <w:r w:rsidR="00212BDB" w:rsidRPr="007C058F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1578C4" w:rsidRPr="007C058F">
        <w:rPr>
          <w:rFonts w:eastAsia="Times New Roman" w:cs="Helvetica"/>
          <w:color w:val="575757"/>
          <w:sz w:val="24"/>
          <w:szCs w:val="24"/>
          <w:lang w:val="bg-BG"/>
        </w:rPr>
        <w:t>МСФО</w:t>
      </w:r>
      <w:r w:rsidR="00212BDB" w:rsidRPr="007C058F">
        <w:rPr>
          <w:rFonts w:eastAsia="Times New Roman" w:cs="Helvetica"/>
          <w:color w:val="575757"/>
          <w:sz w:val="24"/>
          <w:szCs w:val="24"/>
          <w:lang w:val="bg-BG"/>
        </w:rPr>
        <w:t xml:space="preserve"> 16 </w:t>
      </w:r>
      <w:r w:rsidRPr="007C058F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>Лизинг</w:t>
      </w:r>
      <w:r w:rsidR="00212BDB" w:rsidRPr="007C058F">
        <w:rPr>
          <w:rFonts w:eastAsia="Times New Roman" w:cs="Helvetica"/>
          <w:color w:val="575757"/>
          <w:sz w:val="24"/>
          <w:szCs w:val="24"/>
          <w:lang w:val="bg-BG"/>
        </w:rPr>
        <w:t xml:space="preserve">. </w:t>
      </w:r>
      <w:r w:rsidRPr="007C058F">
        <w:rPr>
          <w:rFonts w:eastAsia="Times New Roman" w:cs="Helvetica"/>
          <w:color w:val="575757"/>
          <w:sz w:val="24"/>
          <w:szCs w:val="24"/>
          <w:lang w:val="bg-BG"/>
        </w:rPr>
        <w:t xml:space="preserve">Съветът обсъди също така и регламентираната </w:t>
      </w:r>
      <w:proofErr w:type="gramStart"/>
      <w:r w:rsidRPr="007C058F">
        <w:rPr>
          <w:rFonts w:eastAsia="Times New Roman" w:cs="Helvetica"/>
          <w:color w:val="575757"/>
          <w:sz w:val="24"/>
          <w:szCs w:val="24"/>
          <w:lang w:val="bg-BG"/>
        </w:rPr>
        <w:t>процедура, включително разрешение за пристъпване към процедурата</w:t>
      </w:r>
      <w:proofErr w:type="gramEnd"/>
      <w:r w:rsidRPr="007C058F">
        <w:rPr>
          <w:rFonts w:eastAsia="Times New Roman" w:cs="Helvetica"/>
          <w:color w:val="575757"/>
          <w:sz w:val="24"/>
          <w:szCs w:val="24"/>
          <w:lang w:val="bg-BG"/>
        </w:rPr>
        <w:t xml:space="preserve"> по гласуване</w:t>
      </w:r>
      <w:r w:rsidR="00212BDB" w:rsidRPr="007C058F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212BDB" w:rsidRPr="007C058F" w:rsidRDefault="00A5663E" w:rsidP="00212BDB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7C058F">
        <w:rPr>
          <w:rFonts w:eastAsia="Times New Roman" w:cs="Helvetica"/>
          <w:color w:val="575757"/>
          <w:sz w:val="24"/>
          <w:szCs w:val="24"/>
          <w:lang w:val="bg-BG"/>
        </w:rPr>
        <w:lastRenderedPageBreak/>
        <w:t>Предложеното изменение в</w:t>
      </w:r>
      <w:r w:rsidR="00212BDB" w:rsidRPr="007C058F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1578C4" w:rsidRPr="007C058F">
        <w:rPr>
          <w:rFonts w:eastAsia="Times New Roman" w:cs="Helvetica"/>
          <w:color w:val="575757"/>
          <w:sz w:val="24"/>
          <w:szCs w:val="24"/>
          <w:lang w:val="bg-BG"/>
        </w:rPr>
        <w:t>МСФО</w:t>
      </w:r>
      <w:r w:rsidR="00212BDB" w:rsidRPr="007C058F">
        <w:rPr>
          <w:rFonts w:eastAsia="Times New Roman" w:cs="Helvetica"/>
          <w:color w:val="575757"/>
          <w:sz w:val="24"/>
          <w:szCs w:val="24"/>
          <w:lang w:val="bg-BG"/>
        </w:rPr>
        <w:t xml:space="preserve"> 16 </w:t>
      </w:r>
      <w:r w:rsidRPr="007C058F">
        <w:rPr>
          <w:rFonts w:eastAsia="Times New Roman" w:cs="Helvetica"/>
          <w:color w:val="575757"/>
          <w:sz w:val="24"/>
          <w:szCs w:val="24"/>
          <w:lang w:val="bg-BG"/>
        </w:rPr>
        <w:t>ще посочва конкретно как продавачът-лизингополучател би прилагал изискванията за последващо оценяване в</w:t>
      </w:r>
      <w:r w:rsidR="00212BDB" w:rsidRPr="007C058F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1578C4" w:rsidRPr="007C058F">
        <w:rPr>
          <w:rFonts w:eastAsia="Times New Roman" w:cs="Helvetica"/>
          <w:color w:val="575757"/>
          <w:sz w:val="24"/>
          <w:szCs w:val="24"/>
          <w:lang w:val="bg-BG"/>
        </w:rPr>
        <w:t>МСФО</w:t>
      </w:r>
      <w:r w:rsidR="00212BDB" w:rsidRPr="007C058F">
        <w:rPr>
          <w:rFonts w:eastAsia="Times New Roman" w:cs="Helvetica"/>
          <w:color w:val="575757"/>
          <w:sz w:val="24"/>
          <w:szCs w:val="24"/>
          <w:lang w:val="bg-BG"/>
        </w:rPr>
        <w:t xml:space="preserve"> 16 </w:t>
      </w:r>
      <w:r w:rsidRPr="007C058F">
        <w:rPr>
          <w:rFonts w:eastAsia="Times New Roman" w:cs="Helvetica"/>
          <w:color w:val="575757"/>
          <w:sz w:val="24"/>
          <w:szCs w:val="24"/>
          <w:lang w:val="bg-BG"/>
        </w:rPr>
        <w:t>по отношение на лизинговия пасив, който възниква при сделка за продажба и обратен лизинг</w:t>
      </w:r>
      <w:r w:rsidR="00212BDB" w:rsidRPr="007C058F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212BDB" w:rsidRPr="007C058F" w:rsidRDefault="00A5663E" w:rsidP="00212BDB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proofErr w:type="gramStart"/>
      <w:r w:rsidRPr="007C058F">
        <w:rPr>
          <w:rFonts w:eastAsia="Times New Roman" w:cs="Helvetica"/>
          <w:b/>
          <w:bCs/>
          <w:i/>
          <w:iCs/>
          <w:color w:val="575757"/>
          <w:sz w:val="24"/>
          <w:szCs w:val="24"/>
          <w:lang w:val="bg-BG"/>
        </w:rPr>
        <w:t>Преход</w:t>
      </w:r>
      <w:proofErr w:type="gramEnd"/>
    </w:p>
    <w:p w:rsidR="00212BDB" w:rsidRPr="007C058F" w:rsidRDefault="001578C4" w:rsidP="00212BDB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7C058F">
        <w:rPr>
          <w:rFonts w:eastAsia="Times New Roman" w:cs="Helvetica"/>
          <w:color w:val="575757"/>
          <w:sz w:val="24"/>
          <w:szCs w:val="24"/>
          <w:lang w:val="bg-BG"/>
        </w:rPr>
        <w:t>Съветът реши в порядък на работна хипотеза</w:t>
      </w:r>
      <w:r w:rsidR="00212BDB" w:rsidRPr="007C058F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B272BC" w:rsidRPr="007C058F">
        <w:rPr>
          <w:rFonts w:eastAsia="Times New Roman" w:cs="Helvetica"/>
          <w:color w:val="575757"/>
          <w:sz w:val="24"/>
          <w:szCs w:val="24"/>
          <w:lang w:val="bg-BG"/>
        </w:rPr>
        <w:t>да изисква</w:t>
      </w:r>
      <w:r w:rsidR="00212BDB" w:rsidRPr="007C058F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B272BC" w:rsidRPr="007C058F">
        <w:rPr>
          <w:rFonts w:eastAsia="Times New Roman" w:cs="Helvetica"/>
          <w:color w:val="575757"/>
          <w:sz w:val="24"/>
          <w:szCs w:val="24"/>
          <w:lang w:val="bg-BG"/>
        </w:rPr>
        <w:t xml:space="preserve">продавачът-лизингополучател да прилага предложените </w:t>
      </w:r>
      <w:proofErr w:type="gramStart"/>
      <w:r w:rsidR="00B272BC" w:rsidRPr="007C058F">
        <w:rPr>
          <w:rFonts w:eastAsia="Times New Roman" w:cs="Helvetica"/>
          <w:color w:val="575757"/>
          <w:sz w:val="24"/>
          <w:szCs w:val="24"/>
          <w:lang w:val="bg-BG"/>
        </w:rPr>
        <w:t>изменения в</w:t>
      </w:r>
      <w:r w:rsidR="00212BDB" w:rsidRPr="007C058F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Pr="007C058F">
        <w:rPr>
          <w:rFonts w:eastAsia="Times New Roman" w:cs="Helvetica"/>
          <w:color w:val="575757"/>
          <w:sz w:val="24"/>
          <w:szCs w:val="24"/>
          <w:lang w:val="bg-BG"/>
        </w:rPr>
        <w:t>МСФО</w:t>
      </w:r>
      <w:r w:rsidR="00212BDB" w:rsidRPr="007C058F">
        <w:rPr>
          <w:rFonts w:eastAsia="Times New Roman" w:cs="Helvetica"/>
          <w:color w:val="575757"/>
          <w:sz w:val="24"/>
          <w:szCs w:val="24"/>
          <w:lang w:val="bg-BG"/>
        </w:rPr>
        <w:t xml:space="preserve"> 16 </w:t>
      </w:r>
      <w:r w:rsidR="00B272BC" w:rsidRPr="007C058F">
        <w:rPr>
          <w:rFonts w:eastAsia="Times New Roman" w:cs="Helvetica"/>
          <w:color w:val="575757"/>
          <w:sz w:val="24"/>
          <w:szCs w:val="24"/>
          <w:lang w:val="bg-BG"/>
        </w:rPr>
        <w:t>ретроспективно в съответствие с МСС</w:t>
      </w:r>
      <w:r w:rsidR="00212BDB" w:rsidRPr="007C058F">
        <w:rPr>
          <w:rFonts w:eastAsia="Times New Roman" w:cs="Helvetica"/>
          <w:color w:val="575757"/>
          <w:sz w:val="24"/>
          <w:szCs w:val="24"/>
          <w:lang w:val="bg-BG"/>
        </w:rPr>
        <w:t xml:space="preserve"> 8 </w:t>
      </w:r>
      <w:r w:rsidR="00B272BC" w:rsidRPr="007C058F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>Счетоводна политика</w:t>
      </w:r>
      <w:r w:rsidR="00212BDB" w:rsidRPr="007C058F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 xml:space="preserve">, </w:t>
      </w:r>
      <w:r w:rsidR="00B272BC" w:rsidRPr="007C058F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>промени в счетоводните приблизителни оценки и грешки</w:t>
      </w:r>
      <w:r w:rsidR="00212BDB" w:rsidRPr="007C058F">
        <w:rPr>
          <w:rFonts w:eastAsia="Times New Roman" w:cs="Helvetica"/>
          <w:color w:val="575757"/>
          <w:sz w:val="24"/>
          <w:szCs w:val="24"/>
          <w:lang w:val="bg-BG"/>
        </w:rPr>
        <w:t xml:space="preserve">, </w:t>
      </w:r>
      <w:r w:rsidR="00B272BC" w:rsidRPr="007C058F">
        <w:rPr>
          <w:rFonts w:eastAsia="Times New Roman" w:cs="Helvetica"/>
          <w:color w:val="575757"/>
          <w:sz w:val="24"/>
          <w:szCs w:val="24"/>
          <w:lang w:val="bg-BG"/>
        </w:rPr>
        <w:t>с изключение на случаите, когато такова прилагане по отношение на измененията</w:t>
      </w:r>
      <w:proofErr w:type="gramEnd"/>
      <w:r w:rsidR="00B272BC" w:rsidRPr="007C058F">
        <w:rPr>
          <w:rFonts w:eastAsia="Times New Roman" w:cs="Helvetica"/>
          <w:color w:val="575757"/>
          <w:sz w:val="24"/>
          <w:szCs w:val="24"/>
          <w:lang w:val="bg-BG"/>
        </w:rPr>
        <w:t xml:space="preserve"> в лизинговия договор и промените в лизинговия срок е възможно единствено</w:t>
      </w:r>
      <w:r w:rsidR="007C058F" w:rsidRPr="007C058F">
        <w:rPr>
          <w:rFonts w:eastAsia="Times New Roman" w:cs="Helvetica"/>
          <w:color w:val="575757"/>
          <w:sz w:val="24"/>
          <w:szCs w:val="24"/>
          <w:lang w:val="bg-BG"/>
        </w:rPr>
        <w:t>, като се използват</w:t>
      </w:r>
      <w:r w:rsidR="00B272BC" w:rsidRPr="007C058F">
        <w:rPr>
          <w:rFonts w:eastAsia="Times New Roman" w:cs="Helvetica"/>
          <w:color w:val="575757"/>
          <w:sz w:val="24"/>
          <w:szCs w:val="24"/>
          <w:lang w:val="bg-BG"/>
        </w:rPr>
        <w:t xml:space="preserve"> разсъждения със задна дата (получена впоследствие информация)</w:t>
      </w:r>
      <w:r w:rsidR="00212BDB" w:rsidRPr="007C058F">
        <w:rPr>
          <w:rFonts w:eastAsia="Times New Roman" w:cs="Helvetica"/>
          <w:color w:val="575757"/>
          <w:sz w:val="24"/>
          <w:szCs w:val="24"/>
          <w:lang w:val="bg-BG"/>
        </w:rPr>
        <w:t xml:space="preserve">. </w:t>
      </w:r>
      <w:r w:rsidRPr="007C058F">
        <w:rPr>
          <w:rFonts w:eastAsia="Times New Roman" w:cs="Helvetica"/>
          <w:color w:val="575757"/>
          <w:sz w:val="24"/>
          <w:szCs w:val="24"/>
          <w:lang w:val="bg-BG"/>
        </w:rPr>
        <w:t>Съветът реши в порядък на работна хипотеза</w:t>
      </w:r>
      <w:r w:rsidR="00212BDB" w:rsidRPr="007C058F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B272BC" w:rsidRPr="007C058F">
        <w:rPr>
          <w:rFonts w:eastAsia="Times New Roman" w:cs="Helvetica"/>
          <w:color w:val="575757"/>
          <w:sz w:val="24"/>
          <w:szCs w:val="24"/>
          <w:lang w:val="bg-BG"/>
        </w:rPr>
        <w:t>да изисква при такива обстоятелства продавачът-лизингополучател да определи очакваните плащания за лизинга на датата, на която прилага за първи път предложеното изменение</w:t>
      </w:r>
      <w:r w:rsidR="00212BDB" w:rsidRPr="007C058F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212BDB" w:rsidRPr="007C058F" w:rsidRDefault="00276DC7" w:rsidP="00212BDB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7C058F">
        <w:rPr>
          <w:rFonts w:eastAsia="Times New Roman" w:cs="Helvetica"/>
          <w:color w:val="575757"/>
          <w:sz w:val="24"/>
          <w:szCs w:val="24"/>
          <w:lang w:val="bg-BG"/>
        </w:rPr>
        <w:t>Тринадесет от четиринадесетте членове на Съвета изразиха съгласие с тези решения. Един от членовете на Съвета отсъстваше</w:t>
      </w:r>
      <w:r w:rsidR="00212BDB" w:rsidRPr="007C058F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212BDB" w:rsidRPr="007C058F" w:rsidRDefault="00A5663E" w:rsidP="00212BDB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7C058F">
        <w:rPr>
          <w:rFonts w:eastAsia="Times New Roman" w:cs="Helvetica"/>
          <w:b/>
          <w:bCs/>
          <w:i/>
          <w:iCs/>
          <w:color w:val="575757"/>
          <w:sz w:val="24"/>
          <w:szCs w:val="24"/>
          <w:lang w:val="bg-BG"/>
        </w:rPr>
        <w:t>По-ранно прилагане</w:t>
      </w:r>
    </w:p>
    <w:p w:rsidR="00212BDB" w:rsidRPr="007C058F" w:rsidRDefault="001578C4" w:rsidP="00212BDB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7C058F">
        <w:rPr>
          <w:rFonts w:eastAsia="Times New Roman" w:cs="Helvetica"/>
          <w:color w:val="575757"/>
          <w:sz w:val="24"/>
          <w:szCs w:val="24"/>
          <w:lang w:val="bg-BG"/>
        </w:rPr>
        <w:t>Съветът реши в порядък на работна хипотеза</w:t>
      </w:r>
      <w:r w:rsidR="00212BDB" w:rsidRPr="007C058F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B272BC" w:rsidRPr="007C058F">
        <w:rPr>
          <w:rFonts w:eastAsia="Times New Roman" w:cs="Helvetica"/>
          <w:color w:val="575757"/>
          <w:sz w:val="24"/>
          <w:szCs w:val="24"/>
          <w:lang w:val="bg-BG"/>
        </w:rPr>
        <w:t>да разреши на продавача-лизингополучател да прилага предложеното изменение по-рано от датата на влизане в сила</w:t>
      </w:r>
      <w:r w:rsidR="00212BDB" w:rsidRPr="007C058F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212BDB" w:rsidRPr="007C058F" w:rsidRDefault="00276DC7" w:rsidP="00212BDB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7C058F">
        <w:rPr>
          <w:rFonts w:eastAsia="Times New Roman" w:cs="Helvetica"/>
          <w:color w:val="575757"/>
          <w:sz w:val="24"/>
          <w:szCs w:val="24"/>
          <w:lang w:val="bg-BG"/>
        </w:rPr>
        <w:t>Тринадесет от четиринадесетте членове на Съвета изразиха съгласие с това решение</w:t>
      </w:r>
      <w:r w:rsidR="00212BDB" w:rsidRPr="007C058F">
        <w:rPr>
          <w:rFonts w:eastAsia="Times New Roman" w:cs="Helvetica"/>
          <w:color w:val="575757"/>
          <w:sz w:val="24"/>
          <w:szCs w:val="24"/>
          <w:lang w:val="bg-BG"/>
        </w:rPr>
        <w:t xml:space="preserve">. </w:t>
      </w:r>
      <w:r w:rsidRPr="007C058F">
        <w:rPr>
          <w:rFonts w:eastAsia="Times New Roman" w:cs="Helvetica"/>
          <w:color w:val="575757"/>
          <w:sz w:val="24"/>
          <w:szCs w:val="24"/>
          <w:lang w:val="bg-BG"/>
        </w:rPr>
        <w:t>Един от членовете на Съвета отсъстваше</w:t>
      </w:r>
      <w:r w:rsidR="00212BDB" w:rsidRPr="007C058F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212BDB" w:rsidRPr="007C058F" w:rsidRDefault="00B272BC" w:rsidP="00212BDB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7C058F">
        <w:rPr>
          <w:rFonts w:eastAsia="Times New Roman" w:cs="Helvetica"/>
          <w:b/>
          <w:bCs/>
          <w:i/>
          <w:iCs/>
          <w:color w:val="575757"/>
          <w:sz w:val="24"/>
          <w:szCs w:val="24"/>
          <w:lang w:val="bg-BG"/>
        </w:rPr>
        <w:t>Регламентирана процедура</w:t>
      </w:r>
    </w:p>
    <w:p w:rsidR="00212BDB" w:rsidRPr="007C058F" w:rsidRDefault="001578C4" w:rsidP="00212BDB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7C058F">
        <w:rPr>
          <w:rFonts w:eastAsia="Times New Roman" w:cs="Helvetica"/>
          <w:color w:val="575757"/>
          <w:sz w:val="24"/>
          <w:szCs w:val="24"/>
          <w:lang w:val="bg-BG"/>
        </w:rPr>
        <w:t>Съветът реши в порядък на работна хипотеза</w:t>
      </w:r>
      <w:r w:rsidR="00212BDB" w:rsidRPr="007C058F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B272BC" w:rsidRPr="007C058F">
        <w:rPr>
          <w:rFonts w:eastAsia="Times New Roman" w:cs="Helvetica"/>
          <w:color w:val="575757"/>
          <w:sz w:val="24"/>
          <w:szCs w:val="24"/>
          <w:lang w:val="bg-BG"/>
        </w:rPr>
        <w:t>да предостави срок за коментари от не по-малко от</w:t>
      </w:r>
      <w:r w:rsidR="00212BDB" w:rsidRPr="007C058F">
        <w:rPr>
          <w:rFonts w:eastAsia="Times New Roman" w:cs="Helvetica"/>
          <w:color w:val="575757"/>
          <w:sz w:val="24"/>
          <w:szCs w:val="24"/>
          <w:lang w:val="bg-BG"/>
        </w:rPr>
        <w:t xml:space="preserve"> 120 </w:t>
      </w:r>
      <w:r w:rsidR="00B272BC" w:rsidRPr="007C058F">
        <w:rPr>
          <w:rFonts w:eastAsia="Times New Roman" w:cs="Helvetica"/>
          <w:color w:val="575757"/>
          <w:sz w:val="24"/>
          <w:szCs w:val="24"/>
          <w:lang w:val="bg-BG"/>
        </w:rPr>
        <w:t>дни по отношение на проекта за обсъждане във връзка с предложеното изменение в М</w:t>
      </w:r>
      <w:r w:rsidRPr="007C058F">
        <w:rPr>
          <w:rFonts w:eastAsia="Times New Roman" w:cs="Helvetica"/>
          <w:color w:val="575757"/>
          <w:sz w:val="24"/>
          <w:szCs w:val="24"/>
          <w:lang w:val="bg-BG"/>
        </w:rPr>
        <w:t>СФО</w:t>
      </w:r>
      <w:r w:rsidR="00212BDB" w:rsidRPr="007C058F">
        <w:rPr>
          <w:rFonts w:eastAsia="Times New Roman" w:cs="Helvetica"/>
          <w:color w:val="575757"/>
          <w:sz w:val="24"/>
          <w:szCs w:val="24"/>
          <w:lang w:val="bg-BG"/>
        </w:rPr>
        <w:t xml:space="preserve"> 16. </w:t>
      </w:r>
      <w:r w:rsidR="00276DC7" w:rsidRPr="007C058F">
        <w:rPr>
          <w:rFonts w:eastAsia="Times New Roman" w:cs="Helvetica"/>
          <w:color w:val="575757"/>
          <w:sz w:val="24"/>
          <w:szCs w:val="24"/>
          <w:lang w:val="bg-BG"/>
        </w:rPr>
        <w:t>Всичките четиринадесет членове на Съвета изразиха съгласие с това решение</w:t>
      </w:r>
      <w:r w:rsidR="00212BDB" w:rsidRPr="007C058F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212BDB" w:rsidRPr="007C058F" w:rsidRDefault="00F2671C" w:rsidP="00212BDB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7C058F">
        <w:rPr>
          <w:rFonts w:eastAsia="Times New Roman" w:cs="Helvetica"/>
          <w:color w:val="575757"/>
          <w:sz w:val="24"/>
          <w:szCs w:val="24"/>
          <w:lang w:val="bg-BG"/>
        </w:rPr>
        <w:t xml:space="preserve">Всичките четиринадесет членове на </w:t>
      </w:r>
      <w:proofErr w:type="gramStart"/>
      <w:r w:rsidRPr="007C058F">
        <w:rPr>
          <w:rFonts w:eastAsia="Times New Roman" w:cs="Helvetica"/>
          <w:color w:val="575757"/>
          <w:sz w:val="24"/>
          <w:szCs w:val="24"/>
          <w:lang w:val="bg-BG"/>
        </w:rPr>
        <w:t>Съвета потвърдиха, че са се уверили, че Съветът</w:t>
      </w:r>
      <w:proofErr w:type="gramEnd"/>
      <w:r w:rsidRPr="007C058F">
        <w:rPr>
          <w:rFonts w:eastAsia="Times New Roman" w:cs="Helvetica"/>
          <w:color w:val="575757"/>
          <w:sz w:val="24"/>
          <w:szCs w:val="24"/>
          <w:lang w:val="bg-BG"/>
        </w:rPr>
        <w:t xml:space="preserve"> е изпълнил приложимите стъпки от регламентираната процедура и че следва да се пристъпи към процедурата по гласуване на проекта за обсъждане</w:t>
      </w:r>
      <w:r w:rsidR="00212BDB" w:rsidRPr="007C058F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212BDB" w:rsidRPr="007C058F" w:rsidRDefault="00F2671C" w:rsidP="00212BDB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7C058F">
        <w:rPr>
          <w:rFonts w:eastAsia="Times New Roman" w:cs="Helvetica"/>
          <w:color w:val="575757"/>
          <w:sz w:val="24"/>
          <w:szCs w:val="24"/>
          <w:lang w:val="bg-BG"/>
        </w:rPr>
        <w:t>Нито един от членовете на Съвета не даде индикации, че възнамерява да изрази несъгласие с предложенията в проекта за обсъждане</w:t>
      </w:r>
      <w:r w:rsidR="00212BDB" w:rsidRPr="007C058F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212BDB" w:rsidRPr="007C058F" w:rsidRDefault="001578C4" w:rsidP="00212BDB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7C058F">
        <w:rPr>
          <w:rFonts w:eastAsia="Times New Roman" w:cs="Helvetica"/>
          <w:b/>
          <w:bCs/>
          <w:i/>
          <w:iCs/>
          <w:color w:val="575757"/>
          <w:sz w:val="24"/>
          <w:szCs w:val="24"/>
          <w:lang w:val="bg-BG"/>
        </w:rPr>
        <w:t xml:space="preserve">Следващ </w:t>
      </w:r>
      <w:proofErr w:type="gramStart"/>
      <w:r w:rsidRPr="007C058F">
        <w:rPr>
          <w:rFonts w:eastAsia="Times New Roman" w:cs="Helvetica"/>
          <w:b/>
          <w:bCs/>
          <w:i/>
          <w:iCs/>
          <w:color w:val="575757"/>
          <w:sz w:val="24"/>
          <w:szCs w:val="24"/>
          <w:lang w:val="bg-BG"/>
        </w:rPr>
        <w:t>етап</w:t>
      </w:r>
      <w:proofErr w:type="gramEnd"/>
    </w:p>
    <w:p w:rsidR="00212BDB" w:rsidRPr="007C058F" w:rsidRDefault="00F2671C" w:rsidP="00212BDB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7C058F">
        <w:rPr>
          <w:rFonts w:eastAsia="Times New Roman" w:cs="Helvetica"/>
          <w:color w:val="575757"/>
          <w:sz w:val="24"/>
          <w:szCs w:val="24"/>
          <w:lang w:val="bg-BG"/>
        </w:rPr>
        <w:lastRenderedPageBreak/>
        <w:t>Съветът планира за публикува проекта за обсъждане през третото тримесечие на</w:t>
      </w:r>
      <w:r w:rsidR="00212BDB" w:rsidRPr="007C058F">
        <w:rPr>
          <w:rFonts w:eastAsia="Times New Roman" w:cs="Helvetica"/>
          <w:color w:val="575757"/>
          <w:sz w:val="24"/>
          <w:szCs w:val="24"/>
          <w:lang w:val="bg-BG"/>
        </w:rPr>
        <w:t xml:space="preserve"> 2020</w:t>
      </w:r>
      <w:r w:rsidRPr="007C058F">
        <w:rPr>
          <w:rFonts w:eastAsia="Times New Roman" w:cs="Helvetica"/>
          <w:color w:val="575757"/>
          <w:sz w:val="24"/>
          <w:szCs w:val="24"/>
          <w:lang w:val="bg-BG"/>
        </w:rPr>
        <w:t xml:space="preserve"> г</w:t>
      </w:r>
      <w:r w:rsidR="00212BDB" w:rsidRPr="007C058F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212BDB" w:rsidRPr="007C058F" w:rsidRDefault="00B272BC" w:rsidP="00212BDB">
      <w:pPr>
        <w:shd w:val="clear" w:color="auto" w:fill="FFFFFF"/>
        <w:spacing w:before="300" w:after="150" w:line="240" w:lineRule="auto"/>
        <w:outlineLvl w:val="2"/>
        <w:rPr>
          <w:rFonts w:eastAsia="Times New Roman" w:cs="Helvetica"/>
          <w:b/>
          <w:bCs/>
          <w:color w:val="333333"/>
          <w:sz w:val="24"/>
          <w:szCs w:val="24"/>
          <w:lang w:val="bg-BG"/>
        </w:rPr>
      </w:pPr>
      <w:r w:rsidRPr="007C058F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 xml:space="preserve">Актуална информация от Комитета по разясненията на МСФО </w:t>
      </w:r>
      <w:r w:rsidR="00212BDB" w:rsidRPr="007C058F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(</w:t>
      </w:r>
      <w:r w:rsidR="001578C4" w:rsidRPr="007C058F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Документ по програмата</w:t>
      </w:r>
      <w:r w:rsidR="00212BDB" w:rsidRPr="007C058F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 xml:space="preserve"> 12</w:t>
      </w:r>
      <w:r w:rsidRPr="007C058F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Б</w:t>
      </w:r>
      <w:r w:rsidR="00212BDB" w:rsidRPr="007C058F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)</w:t>
      </w:r>
    </w:p>
    <w:p w:rsidR="00212BDB" w:rsidRPr="007C058F" w:rsidRDefault="00B272BC" w:rsidP="00212BDB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7C058F">
        <w:rPr>
          <w:rFonts w:eastAsia="Times New Roman" w:cs="Helvetica"/>
          <w:color w:val="575757"/>
          <w:sz w:val="24"/>
          <w:szCs w:val="24"/>
          <w:lang w:val="bg-BG"/>
        </w:rPr>
        <w:t>Съветът бе запознат с актуална информация от проведеното през април</w:t>
      </w:r>
      <w:r w:rsidR="00212BDB" w:rsidRPr="007C058F">
        <w:rPr>
          <w:rFonts w:eastAsia="Times New Roman" w:cs="Helvetica"/>
          <w:color w:val="575757"/>
          <w:sz w:val="24"/>
          <w:szCs w:val="24"/>
          <w:lang w:val="bg-BG"/>
        </w:rPr>
        <w:t xml:space="preserve"> 2020 </w:t>
      </w:r>
      <w:r w:rsidRPr="007C058F">
        <w:rPr>
          <w:rFonts w:eastAsia="Times New Roman" w:cs="Helvetica"/>
          <w:color w:val="575757"/>
          <w:sz w:val="24"/>
          <w:szCs w:val="24"/>
          <w:lang w:val="bg-BG"/>
        </w:rPr>
        <w:t>г. заседание на Комитета по разясненията на МСФО</w:t>
      </w:r>
      <w:r w:rsidR="00212BDB" w:rsidRPr="007C058F">
        <w:rPr>
          <w:rFonts w:eastAsia="Times New Roman" w:cs="Helvetica"/>
          <w:color w:val="575757"/>
          <w:sz w:val="24"/>
          <w:szCs w:val="24"/>
          <w:lang w:val="bg-BG"/>
        </w:rPr>
        <w:t xml:space="preserve">. </w:t>
      </w:r>
      <w:r w:rsidRPr="007C058F">
        <w:rPr>
          <w:rFonts w:eastAsia="Times New Roman" w:cs="Helvetica"/>
          <w:color w:val="575757"/>
          <w:sz w:val="24"/>
          <w:szCs w:val="24"/>
          <w:lang w:val="bg-BG"/>
        </w:rPr>
        <w:t>Подробности за това заседание са публикувани в</w:t>
      </w:r>
      <w:r w:rsidR="00212BDB" w:rsidRPr="007C058F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Pr="007C058F">
        <w:rPr>
          <w:rFonts w:eastAsia="Times New Roman" w:cs="Helvetica"/>
          <w:color w:val="575757"/>
          <w:sz w:val="24"/>
          <w:szCs w:val="24"/>
          <w:lang w:val="bg-BG"/>
        </w:rPr>
        <w:t>Бюлетина с актуална информация от Комитета по разясненията на МСФО за април 2020 г.</w:t>
      </w:r>
    </w:p>
    <w:p w:rsidR="00212BDB" w:rsidRPr="007C058F" w:rsidRDefault="00314EBA" w:rsidP="00212BDB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7C058F">
        <w:rPr>
          <w:rFonts w:eastAsia="Times New Roman" w:cs="Helvetica"/>
          <w:color w:val="575757"/>
          <w:sz w:val="24"/>
          <w:szCs w:val="24"/>
          <w:lang w:val="bg-BG"/>
        </w:rPr>
        <w:t>От Съвета не бе поискано да взема каквито и да е решения</w:t>
      </w:r>
      <w:r w:rsidR="00212BDB" w:rsidRPr="007C058F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212BDB" w:rsidRPr="007C058F" w:rsidRDefault="00314EBA" w:rsidP="00212BDB">
      <w:pPr>
        <w:shd w:val="clear" w:color="auto" w:fill="FFFFFF"/>
        <w:spacing w:before="450" w:after="300" w:line="240" w:lineRule="auto"/>
        <w:outlineLvl w:val="1"/>
        <w:rPr>
          <w:rFonts w:eastAsia="Times New Roman" w:cs="Helvetica"/>
          <w:b/>
          <w:bCs/>
          <w:color w:val="333333"/>
          <w:sz w:val="34"/>
          <w:szCs w:val="34"/>
          <w:lang w:val="bg-BG"/>
        </w:rPr>
      </w:pPr>
      <w:bookmarkStart w:id="4" w:name="5"/>
      <w:r w:rsidRPr="007C058F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>Реформата на референтните лихвени проценти и ефектът й върху финансовото отчитане</w:t>
      </w:r>
      <w:r w:rsidR="00212BDB" w:rsidRPr="007C058F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>—</w:t>
      </w:r>
      <w:r w:rsidRPr="007C058F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>Фаза</w:t>
      </w:r>
      <w:r w:rsidR="00212BDB" w:rsidRPr="007C058F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 xml:space="preserve"> 2</w:t>
      </w:r>
      <w:bookmarkEnd w:id="4"/>
    </w:p>
    <w:p w:rsidR="00212BDB" w:rsidRPr="007C058F" w:rsidRDefault="00314EBA" w:rsidP="00212BDB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7C058F">
        <w:rPr>
          <w:rFonts w:eastAsia="Times New Roman" w:cs="Helvetica"/>
          <w:color w:val="575757"/>
          <w:sz w:val="24"/>
          <w:szCs w:val="24"/>
          <w:lang w:val="bg-BG"/>
        </w:rPr>
        <w:t xml:space="preserve">На 21 май 2020 г. Съветът проведе заседание, за да бъде запознат устно с актуална информация </w:t>
      </w:r>
      <w:proofErr w:type="gramStart"/>
      <w:r w:rsidRPr="007C058F">
        <w:rPr>
          <w:rFonts w:eastAsia="Times New Roman" w:cs="Helvetica"/>
          <w:color w:val="575757"/>
          <w:sz w:val="24"/>
          <w:szCs w:val="24"/>
          <w:lang w:val="bg-BG"/>
        </w:rPr>
        <w:t>относно</w:t>
      </w:r>
      <w:proofErr w:type="gramEnd"/>
      <w:r w:rsidRPr="007C058F">
        <w:rPr>
          <w:rFonts w:eastAsia="Times New Roman" w:cs="Helvetica"/>
          <w:color w:val="575757"/>
          <w:sz w:val="24"/>
          <w:szCs w:val="24"/>
          <w:lang w:val="bg-BG"/>
        </w:rPr>
        <w:t xml:space="preserve"> получените до момента становища във връзка с Проекта за обсъждане</w:t>
      </w:r>
      <w:r w:rsidR="00212BDB" w:rsidRPr="007C058F">
        <w:rPr>
          <w:rFonts w:eastAsia="Times New Roman" w:cs="Helvetica"/>
          <w:color w:val="575757"/>
          <w:sz w:val="24"/>
          <w:szCs w:val="24"/>
          <w:lang w:val="bg-BG"/>
        </w:rPr>
        <w:t> </w:t>
      </w:r>
      <w:r w:rsidRPr="007C058F">
        <w:rPr>
          <w:rFonts w:eastAsia="Times New Roman" w:cs="Helvetica"/>
          <w:bCs/>
          <w:i/>
          <w:iCs/>
          <w:color w:val="575757"/>
          <w:sz w:val="24"/>
          <w:szCs w:val="24"/>
          <w:lang w:val="bg-BG"/>
        </w:rPr>
        <w:t>Реформата на референтните лихвени проценти и ефектът й върху финансовото отчитане—Фаза</w:t>
      </w:r>
      <w:r w:rsidRPr="007C058F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 xml:space="preserve"> </w:t>
      </w:r>
      <w:r w:rsidR="00212BDB" w:rsidRPr="007C058F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>2</w:t>
      </w:r>
      <w:r w:rsidR="007C058F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 xml:space="preserve"> </w:t>
      </w:r>
      <w:r w:rsidR="00212BDB" w:rsidRPr="007C058F">
        <w:rPr>
          <w:rFonts w:eastAsia="Times New Roman" w:cs="Helvetica"/>
          <w:color w:val="575757"/>
          <w:sz w:val="24"/>
          <w:szCs w:val="24"/>
          <w:lang w:val="bg-BG"/>
        </w:rPr>
        <w:t>(</w:t>
      </w:r>
      <w:r w:rsidRPr="007C058F">
        <w:rPr>
          <w:rFonts w:eastAsia="Times New Roman" w:cs="Helvetica"/>
          <w:color w:val="575757"/>
          <w:sz w:val="24"/>
          <w:szCs w:val="24"/>
          <w:lang w:val="bg-BG"/>
        </w:rPr>
        <w:t>„Проектът за обсъждане“</w:t>
      </w:r>
      <w:r w:rsidR="00212BDB" w:rsidRPr="007C058F">
        <w:rPr>
          <w:rFonts w:eastAsia="Times New Roman" w:cs="Helvetica"/>
          <w:color w:val="575757"/>
          <w:sz w:val="24"/>
          <w:szCs w:val="24"/>
          <w:lang w:val="bg-BG"/>
        </w:rPr>
        <w:t xml:space="preserve">). </w:t>
      </w:r>
      <w:r w:rsidRPr="007C058F">
        <w:rPr>
          <w:rFonts w:eastAsia="Times New Roman" w:cs="Helvetica"/>
          <w:color w:val="575757"/>
          <w:sz w:val="24"/>
          <w:szCs w:val="24"/>
          <w:lang w:val="bg-BG"/>
        </w:rPr>
        <w:t>Срокът за предоставяне на коментари приключва на</w:t>
      </w:r>
      <w:r w:rsidR="00212BDB" w:rsidRPr="007C058F">
        <w:rPr>
          <w:rFonts w:eastAsia="Times New Roman" w:cs="Helvetica"/>
          <w:color w:val="575757"/>
          <w:sz w:val="24"/>
          <w:szCs w:val="24"/>
          <w:lang w:val="bg-BG"/>
        </w:rPr>
        <w:t xml:space="preserve"> 25 </w:t>
      </w:r>
      <w:r w:rsidRPr="007C058F">
        <w:rPr>
          <w:rFonts w:eastAsia="Times New Roman" w:cs="Helvetica"/>
          <w:color w:val="575757"/>
          <w:sz w:val="24"/>
          <w:szCs w:val="24"/>
          <w:lang w:val="bg-BG"/>
        </w:rPr>
        <w:t>май</w:t>
      </w:r>
      <w:r w:rsidR="00212BDB" w:rsidRPr="007C058F">
        <w:rPr>
          <w:rFonts w:eastAsia="Times New Roman" w:cs="Helvetica"/>
          <w:color w:val="575757"/>
          <w:sz w:val="24"/>
          <w:szCs w:val="24"/>
          <w:lang w:val="bg-BG"/>
        </w:rPr>
        <w:t xml:space="preserve"> 2020</w:t>
      </w:r>
      <w:r w:rsidRPr="007C058F">
        <w:rPr>
          <w:rFonts w:eastAsia="Times New Roman" w:cs="Helvetica"/>
          <w:color w:val="575757"/>
          <w:sz w:val="24"/>
          <w:szCs w:val="24"/>
          <w:lang w:val="bg-BG"/>
        </w:rPr>
        <w:t xml:space="preserve"> г</w:t>
      </w:r>
      <w:r w:rsidR="00212BDB" w:rsidRPr="007C058F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212BDB" w:rsidRPr="007C058F" w:rsidRDefault="00314EBA" w:rsidP="00212BDB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7C058F">
        <w:rPr>
          <w:rFonts w:eastAsia="Times New Roman" w:cs="Helvetica"/>
          <w:color w:val="575757"/>
          <w:sz w:val="24"/>
          <w:szCs w:val="24"/>
          <w:lang w:val="bg-BG"/>
        </w:rPr>
        <w:t>От Съвета не бе поискано да взема каквито и да е решения</w:t>
      </w:r>
      <w:r w:rsidR="00212BDB" w:rsidRPr="007C058F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212BDB" w:rsidRPr="007C058F" w:rsidRDefault="001578C4" w:rsidP="00212BDB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7C058F">
        <w:rPr>
          <w:rFonts w:eastAsia="Times New Roman" w:cs="Helvetica"/>
          <w:b/>
          <w:bCs/>
          <w:i/>
          <w:iCs/>
          <w:color w:val="575757"/>
          <w:sz w:val="24"/>
          <w:szCs w:val="24"/>
          <w:lang w:val="bg-BG"/>
        </w:rPr>
        <w:t xml:space="preserve">Следващ </w:t>
      </w:r>
      <w:proofErr w:type="gramStart"/>
      <w:r w:rsidRPr="007C058F">
        <w:rPr>
          <w:rFonts w:eastAsia="Times New Roman" w:cs="Helvetica"/>
          <w:b/>
          <w:bCs/>
          <w:i/>
          <w:iCs/>
          <w:color w:val="575757"/>
          <w:sz w:val="24"/>
          <w:szCs w:val="24"/>
          <w:lang w:val="bg-BG"/>
        </w:rPr>
        <w:t>етап</w:t>
      </w:r>
      <w:proofErr w:type="gramEnd"/>
    </w:p>
    <w:p w:rsidR="00212BDB" w:rsidRPr="007C058F" w:rsidRDefault="00F2671C" w:rsidP="00212BDB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7C058F">
        <w:rPr>
          <w:rFonts w:eastAsia="Times New Roman" w:cs="Helvetica"/>
          <w:color w:val="575757"/>
          <w:sz w:val="24"/>
          <w:szCs w:val="24"/>
          <w:lang w:val="bg-BG"/>
        </w:rPr>
        <w:t>На бъдещо свое заседание Съветът ще обсъди анализ на получените като обратна информация становища във връзка с Проекта за обсъждане.</w:t>
      </w:r>
    </w:p>
    <w:p w:rsidR="00212BDB" w:rsidRPr="007C058F" w:rsidRDefault="001D3623" w:rsidP="00212BDB">
      <w:pPr>
        <w:shd w:val="clear" w:color="auto" w:fill="FFFFFF"/>
        <w:spacing w:before="450" w:after="300" w:line="240" w:lineRule="auto"/>
        <w:outlineLvl w:val="1"/>
        <w:rPr>
          <w:rFonts w:eastAsia="Times New Roman" w:cs="Helvetica"/>
          <w:b/>
          <w:bCs/>
          <w:color w:val="333333"/>
          <w:sz w:val="34"/>
          <w:szCs w:val="34"/>
          <w:lang w:val="bg-BG"/>
        </w:rPr>
      </w:pPr>
      <w:bookmarkStart w:id="5" w:name="6"/>
      <w:r w:rsidRPr="007C058F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>Инициатива за оповестяване</w:t>
      </w:r>
      <w:r w:rsidR="00212BDB" w:rsidRPr="007C058F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>—</w:t>
      </w:r>
      <w:r w:rsidRPr="007C058F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>счетоводни политики</w:t>
      </w:r>
      <w:r w:rsidR="00212BDB" w:rsidRPr="007C058F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 xml:space="preserve"> (</w:t>
      </w:r>
      <w:r w:rsidR="001578C4" w:rsidRPr="007C058F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>Документ по програмата</w:t>
      </w:r>
      <w:r w:rsidR="00212BDB" w:rsidRPr="007C058F">
        <w:rPr>
          <w:rFonts w:eastAsia="Times New Roman" w:cs="Helvetica"/>
          <w:b/>
          <w:bCs/>
          <w:color w:val="CD3333"/>
          <w:sz w:val="34"/>
          <w:szCs w:val="34"/>
          <w:lang w:val="bg-BG"/>
        </w:rPr>
        <w:t xml:space="preserve"> 20)</w:t>
      </w:r>
      <w:bookmarkEnd w:id="5"/>
    </w:p>
    <w:p w:rsidR="00212BDB" w:rsidRPr="007C058F" w:rsidRDefault="00314EBA" w:rsidP="00212BDB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7C058F">
        <w:rPr>
          <w:rFonts w:eastAsia="Times New Roman" w:cs="Helvetica"/>
          <w:color w:val="575757"/>
          <w:sz w:val="24"/>
          <w:szCs w:val="24"/>
          <w:lang w:val="bg-BG"/>
        </w:rPr>
        <w:t xml:space="preserve">На 21 май 2020 г. Съветът проведе заседание, за да обсъди </w:t>
      </w:r>
      <w:r w:rsidR="000E4B59" w:rsidRPr="007C058F">
        <w:rPr>
          <w:rFonts w:eastAsia="Times New Roman" w:cs="Helvetica"/>
          <w:color w:val="575757"/>
          <w:sz w:val="24"/>
          <w:szCs w:val="24"/>
          <w:lang w:val="bg-BG"/>
        </w:rPr>
        <w:t xml:space="preserve">обратната информация във връзка с Проекта си за обсъждане </w:t>
      </w:r>
      <w:r w:rsidR="000E4B59" w:rsidRPr="007C058F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>Оповестяване на счетоводни политики,</w:t>
      </w:r>
      <w:r w:rsidR="007C058F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 xml:space="preserve"> </w:t>
      </w:r>
      <w:r w:rsidR="000E4B59" w:rsidRPr="007C058F">
        <w:rPr>
          <w:rFonts w:eastAsia="Times New Roman" w:cs="Helvetica"/>
          <w:color w:val="575757"/>
          <w:sz w:val="24"/>
          <w:szCs w:val="24"/>
          <w:lang w:val="bg-BG"/>
        </w:rPr>
        <w:t>който предлага изменения в МСС</w:t>
      </w:r>
      <w:r w:rsidR="00212BDB" w:rsidRPr="007C058F">
        <w:rPr>
          <w:rFonts w:eastAsia="Times New Roman" w:cs="Helvetica"/>
          <w:color w:val="575757"/>
          <w:sz w:val="24"/>
          <w:szCs w:val="24"/>
          <w:lang w:val="bg-BG"/>
        </w:rPr>
        <w:t xml:space="preserve"> 1 </w:t>
      </w:r>
      <w:r w:rsidR="000E4B59" w:rsidRPr="007C058F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>Представяне на финансови отчети</w:t>
      </w:r>
      <w:r w:rsidR="00212BDB" w:rsidRPr="007C058F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 xml:space="preserve"> </w:t>
      </w:r>
      <w:r w:rsidR="000E4B59" w:rsidRPr="007C058F">
        <w:rPr>
          <w:rFonts w:eastAsia="Times New Roman" w:cs="Helvetica"/>
          <w:color w:val="575757"/>
          <w:sz w:val="24"/>
          <w:szCs w:val="24"/>
          <w:lang w:val="bg-BG"/>
        </w:rPr>
        <w:t>и</w:t>
      </w:r>
      <w:r w:rsidR="00212BDB" w:rsidRPr="007C058F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0E4B59" w:rsidRPr="007C058F">
        <w:rPr>
          <w:rFonts w:eastAsia="Times New Roman" w:cs="Helvetica"/>
          <w:color w:val="575757"/>
          <w:sz w:val="24"/>
          <w:szCs w:val="24"/>
          <w:lang w:val="bg-BG"/>
        </w:rPr>
        <w:t xml:space="preserve">Изложение за практика по </w:t>
      </w:r>
      <w:r w:rsidR="001578C4" w:rsidRPr="007C058F">
        <w:rPr>
          <w:rFonts w:eastAsia="Times New Roman" w:cs="Helvetica"/>
          <w:color w:val="575757"/>
          <w:sz w:val="24"/>
          <w:szCs w:val="24"/>
          <w:lang w:val="bg-BG"/>
        </w:rPr>
        <w:t>МСФО</w:t>
      </w:r>
      <w:r w:rsidR="00212BDB" w:rsidRPr="007C058F">
        <w:rPr>
          <w:rFonts w:eastAsia="Times New Roman" w:cs="Helvetica"/>
          <w:color w:val="575757"/>
          <w:sz w:val="24"/>
          <w:szCs w:val="24"/>
          <w:lang w:val="bg-BG"/>
        </w:rPr>
        <w:t xml:space="preserve"> 2 </w:t>
      </w:r>
      <w:r w:rsidR="000E4B59" w:rsidRPr="007C058F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 xml:space="preserve">Извършване на преценки </w:t>
      </w:r>
      <w:proofErr w:type="gramStart"/>
      <w:r w:rsidR="000E4B59" w:rsidRPr="007C058F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>относно</w:t>
      </w:r>
      <w:proofErr w:type="gramEnd"/>
      <w:r w:rsidR="000E4B59" w:rsidRPr="007C058F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 xml:space="preserve"> нивото на същественост</w:t>
      </w:r>
      <w:r w:rsidR="00212BDB" w:rsidRPr="007C058F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212BDB" w:rsidRPr="007C058F" w:rsidRDefault="000E4B59" w:rsidP="00212BDB">
      <w:pPr>
        <w:shd w:val="clear" w:color="auto" w:fill="FFFFFF"/>
        <w:spacing w:before="300" w:after="150" w:line="240" w:lineRule="auto"/>
        <w:outlineLvl w:val="2"/>
        <w:rPr>
          <w:rFonts w:eastAsia="Times New Roman" w:cs="Helvetica"/>
          <w:b/>
          <w:bCs/>
          <w:color w:val="333333"/>
          <w:sz w:val="24"/>
          <w:szCs w:val="24"/>
          <w:lang w:val="bg-BG"/>
        </w:rPr>
      </w:pPr>
      <w:r w:rsidRPr="007C058F">
        <w:rPr>
          <w:rFonts w:eastAsia="Times New Roman" w:cs="Helvetica"/>
          <w:b/>
          <w:bCs/>
          <w:i/>
          <w:iCs/>
          <w:color w:val="333333"/>
          <w:sz w:val="24"/>
          <w:szCs w:val="24"/>
          <w:lang w:val="bg-BG"/>
        </w:rPr>
        <w:t xml:space="preserve">Характеристики на основните потребители </w:t>
      </w:r>
      <w:r w:rsidR="00212BDB" w:rsidRPr="007C058F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(</w:t>
      </w:r>
      <w:r w:rsidR="001578C4" w:rsidRPr="007C058F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Документ по програмата</w:t>
      </w:r>
      <w:r w:rsidR="00212BDB" w:rsidRPr="007C058F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 xml:space="preserve"> 20</w:t>
      </w:r>
      <w:r w:rsidRPr="007C058F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Б</w:t>
      </w:r>
      <w:r w:rsidR="00212BDB" w:rsidRPr="007C058F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)</w:t>
      </w:r>
    </w:p>
    <w:p w:rsidR="00212BDB" w:rsidRPr="007C058F" w:rsidRDefault="000E4B59" w:rsidP="00212BDB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7C058F">
        <w:rPr>
          <w:rFonts w:eastAsia="Times New Roman" w:cs="Helvetica"/>
          <w:color w:val="575757"/>
          <w:sz w:val="24"/>
          <w:szCs w:val="24"/>
          <w:lang w:val="bg-BG"/>
        </w:rPr>
        <w:t>Съветът обсъди дали да измени предложения параграф</w:t>
      </w:r>
      <w:r w:rsidR="00212BDB" w:rsidRPr="007C058F">
        <w:rPr>
          <w:rFonts w:eastAsia="Times New Roman" w:cs="Helvetica"/>
          <w:color w:val="575757"/>
          <w:sz w:val="24"/>
          <w:szCs w:val="24"/>
          <w:lang w:val="bg-BG"/>
        </w:rPr>
        <w:t xml:space="preserve"> 117</w:t>
      </w:r>
      <w:r w:rsidRPr="007C058F">
        <w:rPr>
          <w:rFonts w:eastAsia="Times New Roman" w:cs="Helvetica"/>
          <w:color w:val="575757"/>
          <w:sz w:val="24"/>
          <w:szCs w:val="24"/>
          <w:lang w:val="bg-BG"/>
        </w:rPr>
        <w:t>Б от МСС</w:t>
      </w:r>
      <w:r w:rsidR="00212BDB" w:rsidRPr="007C058F">
        <w:rPr>
          <w:rFonts w:eastAsia="Times New Roman" w:cs="Helvetica"/>
          <w:color w:val="575757"/>
          <w:sz w:val="24"/>
          <w:szCs w:val="24"/>
          <w:lang w:val="bg-BG"/>
        </w:rPr>
        <w:t xml:space="preserve"> 1</w:t>
      </w:r>
      <w:r w:rsidRPr="007C058F">
        <w:rPr>
          <w:rFonts w:eastAsia="Times New Roman" w:cs="Helvetica"/>
          <w:color w:val="575757"/>
          <w:sz w:val="24"/>
          <w:szCs w:val="24"/>
          <w:lang w:val="bg-BG"/>
        </w:rPr>
        <w:t xml:space="preserve">, за да поясни, че съществената информация </w:t>
      </w:r>
      <w:proofErr w:type="gramStart"/>
      <w:r w:rsidRPr="007C058F">
        <w:rPr>
          <w:rFonts w:eastAsia="Times New Roman" w:cs="Helvetica"/>
          <w:color w:val="575757"/>
          <w:sz w:val="24"/>
          <w:szCs w:val="24"/>
          <w:lang w:val="bg-BG"/>
        </w:rPr>
        <w:t>относно</w:t>
      </w:r>
      <w:proofErr w:type="gramEnd"/>
      <w:r w:rsidRPr="007C058F">
        <w:rPr>
          <w:rFonts w:eastAsia="Times New Roman" w:cs="Helvetica"/>
          <w:color w:val="575757"/>
          <w:sz w:val="24"/>
          <w:szCs w:val="24"/>
          <w:lang w:val="bg-BG"/>
        </w:rPr>
        <w:t xml:space="preserve"> счетоводните политики може понякога да включва стандартизирани описания или дублиране на изискванията на </w:t>
      </w:r>
      <w:r w:rsidR="001578C4" w:rsidRPr="007C058F">
        <w:rPr>
          <w:rFonts w:eastAsia="Times New Roman" w:cs="Helvetica"/>
          <w:color w:val="575757"/>
          <w:sz w:val="24"/>
          <w:szCs w:val="24"/>
          <w:lang w:val="bg-BG"/>
        </w:rPr>
        <w:t>МСФО</w:t>
      </w:r>
      <w:r w:rsidR="00212BDB" w:rsidRPr="007C058F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Pr="007C058F">
        <w:rPr>
          <w:rFonts w:eastAsia="Times New Roman" w:cs="Helvetica"/>
          <w:color w:val="575757"/>
          <w:sz w:val="24"/>
          <w:szCs w:val="24"/>
          <w:lang w:val="bg-BG"/>
        </w:rPr>
        <w:t>стандартите</w:t>
      </w:r>
      <w:r w:rsidR="00212BDB" w:rsidRPr="007C058F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212BDB" w:rsidRPr="007C058F" w:rsidRDefault="000E4B59" w:rsidP="00212BDB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7C058F">
        <w:rPr>
          <w:rFonts w:eastAsia="Times New Roman" w:cs="Helvetica"/>
          <w:color w:val="575757"/>
          <w:sz w:val="24"/>
          <w:szCs w:val="24"/>
          <w:lang w:val="bg-BG"/>
        </w:rPr>
        <w:lastRenderedPageBreak/>
        <w:t>Съветът обаче не достигна до вземане на неокончателно решение и възнамерява да обсъди тази тема допълнително на бъдещо свое заседание</w:t>
      </w:r>
      <w:r w:rsidR="00212BDB" w:rsidRPr="007C058F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212BDB" w:rsidRPr="007C058F" w:rsidRDefault="000E4B59" w:rsidP="00212BDB">
      <w:pPr>
        <w:shd w:val="clear" w:color="auto" w:fill="FFFFFF"/>
        <w:spacing w:before="300" w:after="150" w:line="240" w:lineRule="auto"/>
        <w:outlineLvl w:val="2"/>
        <w:rPr>
          <w:rFonts w:eastAsia="Times New Roman" w:cs="Helvetica"/>
          <w:b/>
          <w:bCs/>
          <w:color w:val="333333"/>
          <w:sz w:val="24"/>
          <w:szCs w:val="24"/>
          <w:lang w:val="bg-BG"/>
        </w:rPr>
      </w:pPr>
      <w:r w:rsidRPr="007C058F">
        <w:rPr>
          <w:rFonts w:eastAsia="Times New Roman" w:cs="Helvetica"/>
          <w:b/>
          <w:bCs/>
          <w:i/>
          <w:iCs/>
          <w:color w:val="333333"/>
          <w:sz w:val="24"/>
          <w:szCs w:val="24"/>
          <w:lang w:val="bg-BG"/>
        </w:rPr>
        <w:t xml:space="preserve">Примери за обстоятелства, при които предприятието вероятно ще счете информация </w:t>
      </w:r>
      <w:proofErr w:type="gramStart"/>
      <w:r w:rsidRPr="007C058F">
        <w:rPr>
          <w:rFonts w:eastAsia="Times New Roman" w:cs="Helvetica"/>
          <w:b/>
          <w:bCs/>
          <w:i/>
          <w:iCs/>
          <w:color w:val="333333"/>
          <w:sz w:val="24"/>
          <w:szCs w:val="24"/>
          <w:lang w:val="bg-BG"/>
        </w:rPr>
        <w:t>относно</w:t>
      </w:r>
      <w:proofErr w:type="gramEnd"/>
      <w:r w:rsidRPr="007C058F">
        <w:rPr>
          <w:rFonts w:eastAsia="Times New Roman" w:cs="Helvetica"/>
          <w:b/>
          <w:bCs/>
          <w:i/>
          <w:iCs/>
          <w:color w:val="333333"/>
          <w:sz w:val="24"/>
          <w:szCs w:val="24"/>
          <w:lang w:val="bg-BG"/>
        </w:rPr>
        <w:t xml:space="preserve"> счетоводната политика за съществена </w:t>
      </w:r>
      <w:r w:rsidR="00212BDB" w:rsidRPr="007C058F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(</w:t>
      </w:r>
      <w:r w:rsidR="001578C4" w:rsidRPr="007C058F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Документ по програмата</w:t>
      </w:r>
      <w:r w:rsidR="00212BDB" w:rsidRPr="007C058F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 xml:space="preserve"> 20</w:t>
      </w:r>
      <w:r w:rsidRPr="007C058F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В</w:t>
      </w:r>
      <w:r w:rsidR="00212BDB" w:rsidRPr="007C058F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)</w:t>
      </w:r>
    </w:p>
    <w:p w:rsidR="00212BDB" w:rsidRPr="007C058F" w:rsidRDefault="001578C4" w:rsidP="00212BDB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7C058F">
        <w:rPr>
          <w:rFonts w:eastAsia="Times New Roman" w:cs="Helvetica"/>
          <w:color w:val="575757"/>
          <w:sz w:val="24"/>
          <w:szCs w:val="24"/>
          <w:lang w:val="bg-BG"/>
        </w:rPr>
        <w:t>Съветът реши в порядък на работна хипотеза</w:t>
      </w:r>
      <w:r w:rsidR="00212BDB" w:rsidRPr="007C058F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0E4B59" w:rsidRPr="007C058F">
        <w:rPr>
          <w:rFonts w:eastAsia="Times New Roman" w:cs="Helvetica"/>
          <w:color w:val="575757"/>
          <w:sz w:val="24"/>
          <w:szCs w:val="24"/>
          <w:lang w:val="bg-BG"/>
        </w:rPr>
        <w:t xml:space="preserve">да не добавя тези обстоятелства, описани в </w:t>
      </w:r>
      <w:proofErr w:type="gramStart"/>
      <w:r w:rsidR="000E4B59" w:rsidRPr="007C058F">
        <w:rPr>
          <w:rFonts w:eastAsia="Times New Roman" w:cs="Helvetica"/>
          <w:color w:val="575757"/>
          <w:sz w:val="24"/>
          <w:szCs w:val="24"/>
          <w:lang w:val="bg-BG"/>
        </w:rPr>
        <w:t>параграфи</w:t>
      </w:r>
      <w:r w:rsidR="00212BDB" w:rsidRPr="007C058F">
        <w:rPr>
          <w:rFonts w:eastAsia="Times New Roman" w:cs="Helvetica"/>
          <w:color w:val="575757"/>
          <w:sz w:val="24"/>
          <w:szCs w:val="24"/>
          <w:lang w:val="bg-BG"/>
        </w:rPr>
        <w:t xml:space="preserve"> 28–31 </w:t>
      </w:r>
      <w:r w:rsidR="000E4B59" w:rsidRPr="007C058F">
        <w:rPr>
          <w:rFonts w:eastAsia="Times New Roman" w:cs="Helvetica"/>
          <w:color w:val="575757"/>
          <w:sz w:val="24"/>
          <w:szCs w:val="24"/>
          <w:lang w:val="bg-BG"/>
        </w:rPr>
        <w:t>от МСС</w:t>
      </w:r>
      <w:r w:rsidR="00212BDB" w:rsidRPr="007C058F">
        <w:rPr>
          <w:rFonts w:eastAsia="Times New Roman" w:cs="Helvetica"/>
          <w:color w:val="575757"/>
          <w:sz w:val="24"/>
          <w:szCs w:val="24"/>
          <w:lang w:val="bg-BG"/>
        </w:rPr>
        <w:t xml:space="preserve"> 8 </w:t>
      </w:r>
      <w:r w:rsidR="000E4B59" w:rsidRPr="007C058F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 xml:space="preserve">Счетоводна политика, промени в счетоводните приблизителни оценки и грешки, </w:t>
      </w:r>
      <w:r w:rsidR="000E4B59" w:rsidRPr="007C058F">
        <w:rPr>
          <w:rFonts w:eastAsia="Times New Roman" w:cs="Helvetica"/>
          <w:color w:val="575757"/>
          <w:sz w:val="24"/>
          <w:szCs w:val="24"/>
          <w:lang w:val="bg-BG"/>
        </w:rPr>
        <w:t>към предложения параграф</w:t>
      </w:r>
      <w:proofErr w:type="gramEnd"/>
      <w:r w:rsidR="00212BDB" w:rsidRPr="007C058F">
        <w:rPr>
          <w:rFonts w:eastAsia="Times New Roman" w:cs="Helvetica"/>
          <w:color w:val="575757"/>
          <w:sz w:val="24"/>
          <w:szCs w:val="24"/>
          <w:lang w:val="bg-BG"/>
        </w:rPr>
        <w:t xml:space="preserve"> 117</w:t>
      </w:r>
      <w:r w:rsidR="000E4B59" w:rsidRPr="007C058F">
        <w:rPr>
          <w:rFonts w:eastAsia="Times New Roman" w:cs="Helvetica"/>
          <w:color w:val="575757"/>
          <w:sz w:val="24"/>
          <w:szCs w:val="24"/>
          <w:lang w:val="bg-BG"/>
        </w:rPr>
        <w:t>Б от МСС</w:t>
      </w:r>
      <w:r w:rsidR="00212BDB" w:rsidRPr="007C058F">
        <w:rPr>
          <w:rFonts w:eastAsia="Times New Roman" w:cs="Helvetica"/>
          <w:color w:val="575757"/>
          <w:sz w:val="24"/>
          <w:szCs w:val="24"/>
          <w:lang w:val="bg-BG"/>
        </w:rPr>
        <w:t xml:space="preserve"> 1.</w:t>
      </w:r>
    </w:p>
    <w:p w:rsidR="00212BDB" w:rsidRPr="007C058F" w:rsidRDefault="00276DC7" w:rsidP="00212BDB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7C058F">
        <w:rPr>
          <w:rFonts w:eastAsia="Times New Roman" w:cs="Helvetica"/>
          <w:color w:val="575757"/>
          <w:sz w:val="24"/>
          <w:szCs w:val="24"/>
          <w:lang w:val="bg-BG"/>
        </w:rPr>
        <w:t>Всичките четиринадесет членове на Съвета изразиха съгласие с това решение</w:t>
      </w:r>
      <w:r w:rsidR="00212BDB" w:rsidRPr="007C058F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212BDB" w:rsidRPr="007C058F" w:rsidRDefault="001578C4" w:rsidP="00212BDB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7C058F">
        <w:rPr>
          <w:rFonts w:eastAsia="Times New Roman" w:cs="Helvetica"/>
          <w:color w:val="575757"/>
          <w:sz w:val="24"/>
          <w:szCs w:val="24"/>
          <w:lang w:val="bg-BG"/>
        </w:rPr>
        <w:t>Съветът реши в порядък на работна хипотеза</w:t>
      </w:r>
      <w:r w:rsidR="00212BDB" w:rsidRPr="007C058F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0E4B59" w:rsidRPr="007C058F">
        <w:rPr>
          <w:rFonts w:eastAsia="Times New Roman" w:cs="Helvetica"/>
          <w:color w:val="575757"/>
          <w:sz w:val="24"/>
          <w:szCs w:val="24"/>
          <w:lang w:val="bg-BG"/>
        </w:rPr>
        <w:t xml:space="preserve">да обедини насоките </w:t>
      </w:r>
      <w:r w:rsidR="007C058F">
        <w:rPr>
          <w:rFonts w:eastAsia="Times New Roman" w:cs="Helvetica"/>
          <w:color w:val="575757"/>
          <w:sz w:val="24"/>
          <w:szCs w:val="24"/>
          <w:lang w:val="bg-BG"/>
        </w:rPr>
        <w:t>за</w:t>
      </w:r>
      <w:r w:rsidR="000E4B59" w:rsidRPr="007C058F">
        <w:rPr>
          <w:rFonts w:eastAsia="Times New Roman" w:cs="Helvetica"/>
          <w:color w:val="575757"/>
          <w:sz w:val="24"/>
          <w:szCs w:val="24"/>
          <w:lang w:val="bg-BG"/>
        </w:rPr>
        <w:t xml:space="preserve"> специфичната за предприятието информация относно счетоводните политики в предложения параграф</w:t>
      </w:r>
      <w:r w:rsidR="00212BDB" w:rsidRPr="007C058F">
        <w:rPr>
          <w:rFonts w:eastAsia="Times New Roman" w:cs="Helvetica"/>
          <w:color w:val="575757"/>
          <w:sz w:val="24"/>
          <w:szCs w:val="24"/>
          <w:lang w:val="bg-BG"/>
        </w:rPr>
        <w:t xml:space="preserve"> 117</w:t>
      </w:r>
      <w:proofErr w:type="gramStart"/>
      <w:r w:rsidR="000E4B59" w:rsidRPr="007C058F">
        <w:rPr>
          <w:rFonts w:eastAsia="Times New Roman" w:cs="Helvetica"/>
          <w:color w:val="575757"/>
          <w:sz w:val="24"/>
          <w:szCs w:val="24"/>
          <w:lang w:val="bg-BG"/>
        </w:rPr>
        <w:t>Б</w:t>
      </w:r>
      <w:r w:rsidR="00212BDB" w:rsidRPr="007C058F">
        <w:rPr>
          <w:rFonts w:eastAsia="Times New Roman" w:cs="Helvetica"/>
          <w:color w:val="575757"/>
          <w:sz w:val="24"/>
          <w:szCs w:val="24"/>
          <w:lang w:val="bg-BG"/>
        </w:rPr>
        <w:t>(</w:t>
      </w:r>
      <w:r w:rsidR="000E4B59" w:rsidRPr="007C058F">
        <w:rPr>
          <w:rFonts w:eastAsia="Times New Roman" w:cs="Helvetica"/>
          <w:color w:val="575757"/>
          <w:sz w:val="24"/>
          <w:szCs w:val="24"/>
          <w:lang w:val="bg-BG"/>
        </w:rPr>
        <w:t>д</w:t>
      </w:r>
      <w:proofErr w:type="gramEnd"/>
      <w:r w:rsidR="00212BDB" w:rsidRPr="007C058F">
        <w:rPr>
          <w:rFonts w:eastAsia="Times New Roman" w:cs="Helvetica"/>
          <w:color w:val="575757"/>
          <w:sz w:val="24"/>
          <w:szCs w:val="24"/>
          <w:lang w:val="bg-BG"/>
        </w:rPr>
        <w:t xml:space="preserve">) </w:t>
      </w:r>
      <w:r w:rsidR="000E4B59" w:rsidRPr="007C058F">
        <w:rPr>
          <w:rFonts w:eastAsia="Times New Roman" w:cs="Helvetica"/>
          <w:color w:val="575757"/>
          <w:sz w:val="24"/>
          <w:szCs w:val="24"/>
          <w:lang w:val="bg-BG"/>
        </w:rPr>
        <w:t>с предложения параграф</w:t>
      </w:r>
      <w:r w:rsidR="00212BDB" w:rsidRPr="007C058F">
        <w:rPr>
          <w:rFonts w:eastAsia="Times New Roman" w:cs="Helvetica"/>
          <w:color w:val="575757"/>
          <w:sz w:val="24"/>
          <w:szCs w:val="24"/>
          <w:lang w:val="bg-BG"/>
        </w:rPr>
        <w:t xml:space="preserve"> 117</w:t>
      </w:r>
      <w:r w:rsidR="000E4B59" w:rsidRPr="007C058F">
        <w:rPr>
          <w:rFonts w:eastAsia="Times New Roman" w:cs="Helvetica"/>
          <w:color w:val="575757"/>
          <w:sz w:val="24"/>
          <w:szCs w:val="24"/>
          <w:lang w:val="bg-BG"/>
        </w:rPr>
        <w:t>В от МСС</w:t>
      </w:r>
      <w:r w:rsidR="00212BDB" w:rsidRPr="007C058F">
        <w:rPr>
          <w:rFonts w:eastAsia="Times New Roman" w:cs="Helvetica"/>
          <w:color w:val="575757"/>
          <w:sz w:val="24"/>
          <w:szCs w:val="24"/>
          <w:lang w:val="bg-BG"/>
        </w:rPr>
        <w:t xml:space="preserve"> 1.</w:t>
      </w:r>
    </w:p>
    <w:p w:rsidR="00212BDB" w:rsidRPr="007C058F" w:rsidRDefault="00276DC7" w:rsidP="00212BDB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7C058F">
        <w:rPr>
          <w:rFonts w:eastAsia="Times New Roman" w:cs="Helvetica"/>
          <w:color w:val="575757"/>
          <w:sz w:val="24"/>
          <w:szCs w:val="24"/>
          <w:lang w:val="bg-BG"/>
        </w:rPr>
        <w:t>Дванадесет от четиринадесетте членове на Съвета изразиха съгласие с това решение</w:t>
      </w:r>
      <w:r w:rsidR="00212BDB" w:rsidRPr="007C058F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212BDB" w:rsidRPr="007C058F" w:rsidRDefault="001578C4" w:rsidP="00212BDB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7C058F">
        <w:rPr>
          <w:rFonts w:eastAsia="Times New Roman" w:cs="Helvetica"/>
          <w:color w:val="575757"/>
          <w:sz w:val="24"/>
          <w:szCs w:val="24"/>
          <w:lang w:val="bg-BG"/>
        </w:rPr>
        <w:t>Съветът реши в порядък на работна хипотеза</w:t>
      </w:r>
      <w:r w:rsidR="00212BDB" w:rsidRPr="007C058F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0E4B59" w:rsidRPr="007C058F">
        <w:rPr>
          <w:rFonts w:eastAsia="Times New Roman" w:cs="Helvetica"/>
          <w:color w:val="575757"/>
          <w:sz w:val="24"/>
          <w:szCs w:val="24"/>
          <w:lang w:val="bg-BG"/>
        </w:rPr>
        <w:t>да измени предложения параграф</w:t>
      </w:r>
      <w:r w:rsidR="00212BDB" w:rsidRPr="007C058F">
        <w:rPr>
          <w:rFonts w:eastAsia="Times New Roman" w:cs="Helvetica"/>
          <w:color w:val="575757"/>
          <w:sz w:val="24"/>
          <w:szCs w:val="24"/>
          <w:lang w:val="bg-BG"/>
        </w:rPr>
        <w:t xml:space="preserve"> 117</w:t>
      </w:r>
      <w:r w:rsidR="000E4B59" w:rsidRPr="007C058F">
        <w:rPr>
          <w:rFonts w:eastAsia="Times New Roman" w:cs="Helvetica"/>
          <w:color w:val="575757"/>
          <w:sz w:val="24"/>
          <w:szCs w:val="24"/>
          <w:lang w:val="bg-BG"/>
        </w:rPr>
        <w:t xml:space="preserve">Б от МСС </w:t>
      </w:r>
      <w:r w:rsidR="00212BDB" w:rsidRPr="007C058F">
        <w:rPr>
          <w:rFonts w:eastAsia="Times New Roman" w:cs="Helvetica"/>
          <w:color w:val="575757"/>
          <w:sz w:val="24"/>
          <w:szCs w:val="24"/>
          <w:lang w:val="bg-BG"/>
        </w:rPr>
        <w:t>1</w:t>
      </w:r>
      <w:r w:rsidR="000E4B59" w:rsidRPr="007C058F">
        <w:rPr>
          <w:rFonts w:eastAsia="Times New Roman" w:cs="Helvetica"/>
          <w:color w:val="575757"/>
          <w:sz w:val="24"/>
          <w:szCs w:val="24"/>
          <w:lang w:val="bg-BG"/>
        </w:rPr>
        <w:t>, така че да включи препратка към това, че информацията може да е съществена</w:t>
      </w:r>
      <w:r w:rsidR="00066511" w:rsidRPr="007C058F">
        <w:rPr>
          <w:rFonts w:eastAsia="Times New Roman" w:cs="Helvetica"/>
          <w:color w:val="575757"/>
          <w:sz w:val="24"/>
          <w:szCs w:val="24"/>
          <w:lang w:val="bg-BG"/>
        </w:rPr>
        <w:t xml:space="preserve"> като обем, естество или комбинация от двете</w:t>
      </w:r>
      <w:r w:rsidR="00212BDB" w:rsidRPr="007C058F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212BDB" w:rsidRPr="007C058F" w:rsidRDefault="00276DC7" w:rsidP="00212BDB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7C058F">
        <w:rPr>
          <w:rFonts w:eastAsia="Times New Roman" w:cs="Helvetica"/>
          <w:color w:val="575757"/>
          <w:sz w:val="24"/>
          <w:szCs w:val="24"/>
          <w:lang w:val="bg-BG"/>
        </w:rPr>
        <w:t>Дванадесет от четиринадесетте членове на Съвета изразиха съгласие с това решение</w:t>
      </w:r>
      <w:r w:rsidR="00212BDB" w:rsidRPr="007C058F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212BDB" w:rsidRPr="007C058F" w:rsidRDefault="00066511" w:rsidP="00212BDB">
      <w:pPr>
        <w:shd w:val="clear" w:color="auto" w:fill="FFFFFF"/>
        <w:spacing w:before="300" w:after="150" w:line="240" w:lineRule="auto"/>
        <w:outlineLvl w:val="2"/>
        <w:rPr>
          <w:rFonts w:eastAsia="Times New Roman" w:cs="Helvetica"/>
          <w:b/>
          <w:bCs/>
          <w:color w:val="333333"/>
          <w:sz w:val="24"/>
          <w:szCs w:val="24"/>
          <w:lang w:val="bg-BG"/>
        </w:rPr>
      </w:pPr>
      <w:r w:rsidRPr="007C058F">
        <w:rPr>
          <w:rFonts w:eastAsia="Times New Roman" w:cs="Helvetica"/>
          <w:b/>
          <w:bCs/>
          <w:i/>
          <w:iCs/>
          <w:color w:val="333333"/>
          <w:sz w:val="24"/>
          <w:szCs w:val="24"/>
          <w:lang w:val="bg-BG"/>
        </w:rPr>
        <w:t xml:space="preserve">Примери </w:t>
      </w:r>
      <w:r w:rsidR="00D45B6F">
        <w:rPr>
          <w:rFonts w:eastAsia="Times New Roman" w:cs="Helvetica"/>
          <w:b/>
          <w:bCs/>
          <w:i/>
          <w:iCs/>
          <w:color w:val="333333"/>
          <w:sz w:val="24"/>
          <w:szCs w:val="24"/>
          <w:lang w:val="bg-BG"/>
        </w:rPr>
        <w:t>в</w:t>
      </w:r>
      <w:r w:rsidRPr="007C058F">
        <w:rPr>
          <w:rFonts w:eastAsia="Times New Roman" w:cs="Helvetica"/>
          <w:b/>
          <w:bCs/>
          <w:i/>
          <w:iCs/>
          <w:color w:val="333333"/>
          <w:sz w:val="24"/>
          <w:szCs w:val="24"/>
          <w:lang w:val="bg-BG"/>
        </w:rPr>
        <w:t xml:space="preserve"> Изложение за практика по</w:t>
      </w:r>
      <w:r w:rsidR="00212BDB" w:rsidRPr="007C058F">
        <w:rPr>
          <w:rFonts w:eastAsia="Times New Roman" w:cs="Helvetica"/>
          <w:b/>
          <w:bCs/>
          <w:i/>
          <w:iCs/>
          <w:color w:val="333333"/>
          <w:sz w:val="24"/>
          <w:szCs w:val="24"/>
          <w:lang w:val="bg-BG"/>
        </w:rPr>
        <w:t xml:space="preserve"> </w:t>
      </w:r>
      <w:r w:rsidR="001578C4" w:rsidRPr="007C058F">
        <w:rPr>
          <w:rFonts w:eastAsia="Times New Roman" w:cs="Helvetica"/>
          <w:b/>
          <w:bCs/>
          <w:i/>
          <w:iCs/>
          <w:color w:val="333333"/>
          <w:sz w:val="24"/>
          <w:szCs w:val="24"/>
          <w:lang w:val="bg-BG"/>
        </w:rPr>
        <w:t>МСФО</w:t>
      </w:r>
      <w:r w:rsidR="00212BDB" w:rsidRPr="007C058F">
        <w:rPr>
          <w:rFonts w:eastAsia="Times New Roman" w:cs="Helvetica"/>
          <w:b/>
          <w:bCs/>
          <w:i/>
          <w:iCs/>
          <w:color w:val="333333"/>
          <w:sz w:val="24"/>
          <w:szCs w:val="24"/>
          <w:lang w:val="bg-BG"/>
        </w:rPr>
        <w:t xml:space="preserve"> 2</w:t>
      </w:r>
      <w:r w:rsidR="00212BDB" w:rsidRPr="007C058F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 </w:t>
      </w:r>
      <w:r w:rsidRPr="007C058F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 xml:space="preserve">Извършване на преценки </w:t>
      </w:r>
      <w:proofErr w:type="gramStart"/>
      <w:r w:rsidRPr="007C058F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относно</w:t>
      </w:r>
      <w:proofErr w:type="gramEnd"/>
      <w:r w:rsidRPr="007C058F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 xml:space="preserve"> нивото на същественост</w:t>
      </w:r>
      <w:r w:rsidR="00212BDB" w:rsidRPr="007C058F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 xml:space="preserve"> (</w:t>
      </w:r>
      <w:r w:rsidR="001578C4" w:rsidRPr="007C058F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Документ по програмата</w:t>
      </w:r>
      <w:r w:rsidR="00212BDB" w:rsidRPr="007C058F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 xml:space="preserve"> 20</w:t>
      </w:r>
      <w:r w:rsidRPr="007C058F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Г</w:t>
      </w:r>
      <w:r w:rsidR="00212BDB" w:rsidRPr="007C058F">
        <w:rPr>
          <w:rFonts w:eastAsia="Times New Roman" w:cs="Helvetica"/>
          <w:b/>
          <w:bCs/>
          <w:color w:val="333333"/>
          <w:sz w:val="24"/>
          <w:szCs w:val="24"/>
          <w:lang w:val="bg-BG"/>
        </w:rPr>
        <w:t>)</w:t>
      </w:r>
    </w:p>
    <w:p w:rsidR="00212BDB" w:rsidRPr="007C058F" w:rsidRDefault="001578C4" w:rsidP="00212BDB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7C058F">
        <w:rPr>
          <w:rFonts w:eastAsia="Times New Roman" w:cs="Helvetica"/>
          <w:color w:val="575757"/>
          <w:sz w:val="24"/>
          <w:szCs w:val="24"/>
          <w:lang w:val="bg-BG"/>
        </w:rPr>
        <w:t>Съветът реши в порядък на работна хипотеза</w:t>
      </w:r>
      <w:r w:rsidR="00212BDB" w:rsidRPr="007C058F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066511" w:rsidRPr="007C058F">
        <w:rPr>
          <w:rFonts w:eastAsia="Times New Roman" w:cs="Helvetica"/>
          <w:color w:val="575757"/>
          <w:sz w:val="24"/>
          <w:szCs w:val="24"/>
          <w:lang w:val="bg-BG"/>
        </w:rPr>
        <w:t xml:space="preserve">да не изменя предложения Пример Т, за да детайлизира цялата специфична за даденото предприятие информация </w:t>
      </w:r>
      <w:proofErr w:type="gramStart"/>
      <w:r w:rsidR="00066511" w:rsidRPr="007C058F">
        <w:rPr>
          <w:rFonts w:eastAsia="Times New Roman" w:cs="Helvetica"/>
          <w:color w:val="575757"/>
          <w:sz w:val="24"/>
          <w:szCs w:val="24"/>
          <w:lang w:val="bg-BG"/>
        </w:rPr>
        <w:t>относно</w:t>
      </w:r>
      <w:proofErr w:type="gramEnd"/>
      <w:r w:rsidR="00066511" w:rsidRPr="007C058F">
        <w:rPr>
          <w:rFonts w:eastAsia="Times New Roman" w:cs="Helvetica"/>
          <w:color w:val="575757"/>
          <w:sz w:val="24"/>
          <w:szCs w:val="24"/>
          <w:lang w:val="bg-BG"/>
        </w:rPr>
        <w:t xml:space="preserve"> счетоводните политики, която би могла да бъде преценена за съществена за финансовия отчет на предприятието и която следва да бъде оповестена</w:t>
      </w:r>
      <w:r w:rsidR="00212BDB" w:rsidRPr="007C058F">
        <w:rPr>
          <w:rFonts w:eastAsia="Times New Roman" w:cs="Helvetica"/>
          <w:color w:val="575757"/>
          <w:sz w:val="24"/>
          <w:szCs w:val="24"/>
          <w:lang w:val="bg-BG"/>
        </w:rPr>
        <w:t xml:space="preserve">. </w:t>
      </w:r>
      <w:r w:rsidR="00066511" w:rsidRPr="007C058F">
        <w:rPr>
          <w:rFonts w:eastAsia="Times New Roman" w:cs="Helvetica"/>
          <w:color w:val="575757"/>
          <w:sz w:val="24"/>
          <w:szCs w:val="24"/>
          <w:lang w:val="bg-BG"/>
        </w:rPr>
        <w:t>Вместо това</w:t>
      </w:r>
      <w:r w:rsidR="00212BDB" w:rsidRPr="007C058F">
        <w:rPr>
          <w:rFonts w:eastAsia="Times New Roman" w:cs="Helvetica"/>
          <w:color w:val="575757"/>
          <w:sz w:val="24"/>
          <w:szCs w:val="24"/>
          <w:lang w:val="bg-BG"/>
        </w:rPr>
        <w:t xml:space="preserve">, </w:t>
      </w:r>
      <w:r w:rsidRPr="007C058F">
        <w:rPr>
          <w:rFonts w:eastAsia="Times New Roman" w:cs="Helvetica"/>
          <w:color w:val="575757"/>
          <w:sz w:val="24"/>
          <w:szCs w:val="24"/>
          <w:lang w:val="bg-BG"/>
        </w:rPr>
        <w:t>Съветът реши в порядък на работна хипотеза</w:t>
      </w:r>
      <w:r w:rsidR="00212BDB" w:rsidRPr="007C058F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066511" w:rsidRPr="007C058F">
        <w:rPr>
          <w:rFonts w:eastAsia="Times New Roman" w:cs="Helvetica"/>
          <w:color w:val="575757"/>
          <w:sz w:val="24"/>
          <w:szCs w:val="24"/>
          <w:lang w:val="bg-BG"/>
        </w:rPr>
        <w:t>да измени Пример Т, като</w:t>
      </w:r>
      <w:r w:rsidR="00212BDB" w:rsidRPr="007C058F">
        <w:rPr>
          <w:rFonts w:eastAsia="Times New Roman" w:cs="Helvetica"/>
          <w:color w:val="575757"/>
          <w:sz w:val="24"/>
          <w:szCs w:val="24"/>
          <w:lang w:val="bg-BG"/>
        </w:rPr>
        <w:t>:</w:t>
      </w:r>
    </w:p>
    <w:p w:rsidR="00212BDB" w:rsidRPr="007C058F" w:rsidRDefault="00066511" w:rsidP="00212BDB">
      <w:pPr>
        <w:numPr>
          <w:ilvl w:val="0"/>
          <w:numId w:val="9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  <w:lang w:val="bg-BG"/>
        </w:rPr>
      </w:pPr>
      <w:proofErr w:type="gramStart"/>
      <w:r w:rsidRPr="007C058F">
        <w:rPr>
          <w:rFonts w:eastAsia="Times New Roman" w:cs="Helvetica"/>
          <w:color w:val="575757"/>
          <w:sz w:val="24"/>
          <w:szCs w:val="24"/>
          <w:lang w:val="bg-BG"/>
        </w:rPr>
        <w:t>хармонизира</w:t>
      </w:r>
      <w:proofErr w:type="gramEnd"/>
      <w:r w:rsidRPr="007C058F">
        <w:rPr>
          <w:rFonts w:eastAsia="Times New Roman" w:cs="Helvetica"/>
          <w:color w:val="575757"/>
          <w:sz w:val="24"/>
          <w:szCs w:val="24"/>
          <w:lang w:val="bg-BG"/>
        </w:rPr>
        <w:t xml:space="preserve"> съдържанието на предложения Пример Т с промените, препоръчани в</w:t>
      </w:r>
      <w:r w:rsidR="00212BDB" w:rsidRPr="007C058F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1578C4" w:rsidRPr="007C058F">
        <w:rPr>
          <w:rFonts w:eastAsia="Times New Roman" w:cs="Helvetica"/>
          <w:color w:val="575757"/>
          <w:sz w:val="24"/>
          <w:szCs w:val="24"/>
          <w:lang w:val="bg-BG"/>
        </w:rPr>
        <w:t>Документ по програмата</w:t>
      </w:r>
      <w:r w:rsidR="00212BDB" w:rsidRPr="007C058F">
        <w:rPr>
          <w:rFonts w:eastAsia="Times New Roman" w:cs="Helvetica"/>
          <w:color w:val="575757"/>
          <w:sz w:val="24"/>
          <w:szCs w:val="24"/>
          <w:lang w:val="bg-BG"/>
        </w:rPr>
        <w:t xml:space="preserve"> 20</w:t>
      </w:r>
      <w:r w:rsidRPr="007C058F">
        <w:rPr>
          <w:rFonts w:eastAsia="Times New Roman" w:cs="Helvetica"/>
          <w:color w:val="575757"/>
          <w:sz w:val="24"/>
          <w:szCs w:val="24"/>
          <w:lang w:val="bg-BG"/>
        </w:rPr>
        <w:t>В</w:t>
      </w:r>
      <w:r w:rsidR="00212BDB" w:rsidRPr="007C058F">
        <w:rPr>
          <w:rFonts w:eastAsia="Times New Roman" w:cs="Helvetica"/>
          <w:color w:val="575757"/>
          <w:sz w:val="24"/>
          <w:szCs w:val="24"/>
          <w:lang w:val="bg-BG"/>
        </w:rPr>
        <w:t>;</w:t>
      </w:r>
    </w:p>
    <w:p w:rsidR="00212BDB" w:rsidRPr="007C058F" w:rsidRDefault="00066511" w:rsidP="00212BDB">
      <w:pPr>
        <w:numPr>
          <w:ilvl w:val="0"/>
          <w:numId w:val="9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  <w:lang w:val="bg-BG"/>
        </w:rPr>
      </w:pPr>
      <w:proofErr w:type="gramStart"/>
      <w:r w:rsidRPr="007C058F">
        <w:rPr>
          <w:rFonts w:eastAsia="Times New Roman" w:cs="Helvetica"/>
          <w:color w:val="575757"/>
          <w:sz w:val="24"/>
          <w:szCs w:val="24"/>
          <w:lang w:val="bg-BG"/>
        </w:rPr>
        <w:t>поясни</w:t>
      </w:r>
      <w:proofErr w:type="gramEnd"/>
      <w:r w:rsidRPr="007C058F">
        <w:rPr>
          <w:rFonts w:eastAsia="Times New Roman" w:cs="Helvetica"/>
          <w:color w:val="575757"/>
          <w:sz w:val="24"/>
          <w:szCs w:val="24"/>
          <w:lang w:val="bg-BG"/>
        </w:rPr>
        <w:t xml:space="preserve"> в примера, че моментът на признаване на приходи се счита за съществена преценка</w:t>
      </w:r>
      <w:r w:rsidR="00212BDB" w:rsidRPr="007C058F">
        <w:rPr>
          <w:rFonts w:eastAsia="Times New Roman" w:cs="Helvetica"/>
          <w:color w:val="575757"/>
          <w:sz w:val="24"/>
          <w:szCs w:val="24"/>
          <w:lang w:val="bg-BG"/>
        </w:rPr>
        <w:t xml:space="preserve">; </w:t>
      </w:r>
      <w:r w:rsidRPr="007C058F">
        <w:rPr>
          <w:rFonts w:eastAsia="Times New Roman" w:cs="Helvetica"/>
          <w:color w:val="575757"/>
          <w:sz w:val="24"/>
          <w:szCs w:val="24"/>
          <w:lang w:val="bg-BG"/>
        </w:rPr>
        <w:t>и</w:t>
      </w:r>
    </w:p>
    <w:p w:rsidR="00212BDB" w:rsidRPr="007C058F" w:rsidRDefault="00066511" w:rsidP="00212BDB">
      <w:pPr>
        <w:numPr>
          <w:ilvl w:val="0"/>
          <w:numId w:val="9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  <w:lang w:val="bg-BG"/>
        </w:rPr>
      </w:pPr>
      <w:proofErr w:type="gramStart"/>
      <w:r w:rsidRPr="007C058F">
        <w:rPr>
          <w:rFonts w:eastAsia="Times New Roman" w:cs="Helvetica"/>
          <w:color w:val="575757"/>
          <w:sz w:val="24"/>
          <w:szCs w:val="24"/>
          <w:lang w:val="bg-BG"/>
        </w:rPr>
        <w:t>заключи</w:t>
      </w:r>
      <w:proofErr w:type="gramEnd"/>
      <w:r w:rsidRPr="007C058F">
        <w:rPr>
          <w:rFonts w:eastAsia="Times New Roman" w:cs="Helvetica"/>
          <w:color w:val="575757"/>
          <w:sz w:val="24"/>
          <w:szCs w:val="24"/>
          <w:lang w:val="bg-BG"/>
        </w:rPr>
        <w:t>, че информацията относно това как цената на сделката е била разпределена</w:t>
      </w:r>
      <w:r w:rsidR="00212BDB" w:rsidRPr="007C058F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Pr="007C058F">
        <w:rPr>
          <w:rFonts w:eastAsia="Times New Roman" w:cs="Helvetica"/>
          <w:color w:val="575757"/>
          <w:sz w:val="24"/>
          <w:szCs w:val="24"/>
          <w:lang w:val="bg-BG"/>
        </w:rPr>
        <w:t>към задълженията за изпълнение също би могла да представлява съществена информация относно счетоводните политики</w:t>
      </w:r>
      <w:r w:rsidR="00212BDB" w:rsidRPr="007C058F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212BDB" w:rsidRPr="007C058F" w:rsidRDefault="00276DC7" w:rsidP="00212BDB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7C058F">
        <w:rPr>
          <w:rFonts w:eastAsia="Times New Roman" w:cs="Helvetica"/>
          <w:color w:val="575757"/>
          <w:sz w:val="24"/>
          <w:szCs w:val="24"/>
          <w:lang w:val="bg-BG"/>
        </w:rPr>
        <w:t>Всичките четиринадесет членове на Съвета изразиха съгласие с това решение</w:t>
      </w:r>
      <w:r w:rsidR="00212BDB" w:rsidRPr="007C058F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212BDB" w:rsidRPr="007C058F" w:rsidRDefault="001578C4" w:rsidP="00212BDB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7C058F">
        <w:rPr>
          <w:rFonts w:eastAsia="Times New Roman" w:cs="Helvetica"/>
          <w:color w:val="575757"/>
          <w:sz w:val="24"/>
          <w:szCs w:val="24"/>
          <w:lang w:val="bg-BG"/>
        </w:rPr>
        <w:lastRenderedPageBreak/>
        <w:t>Съветът реши в порядък на работна хипотеза</w:t>
      </w:r>
      <w:r w:rsidR="00212BDB" w:rsidRPr="007C058F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066511" w:rsidRPr="007C058F">
        <w:rPr>
          <w:rFonts w:eastAsia="Times New Roman" w:cs="Helvetica"/>
          <w:color w:val="575757"/>
          <w:sz w:val="24"/>
          <w:szCs w:val="24"/>
          <w:lang w:val="bg-BG"/>
        </w:rPr>
        <w:t>да поясни предложения Пример У</w:t>
      </w:r>
      <w:r w:rsidR="00212BDB" w:rsidRPr="007C058F">
        <w:rPr>
          <w:rFonts w:eastAsia="Times New Roman" w:cs="Helvetica"/>
          <w:color w:val="575757"/>
          <w:sz w:val="24"/>
          <w:szCs w:val="24"/>
          <w:lang w:val="bg-BG"/>
        </w:rPr>
        <w:t xml:space="preserve">. </w:t>
      </w:r>
      <w:r w:rsidR="00066511" w:rsidRPr="007C058F">
        <w:rPr>
          <w:rFonts w:eastAsia="Times New Roman" w:cs="Helvetica"/>
          <w:color w:val="575757"/>
          <w:sz w:val="24"/>
          <w:szCs w:val="24"/>
          <w:lang w:val="bg-BG"/>
        </w:rPr>
        <w:t>По специално</w:t>
      </w:r>
      <w:r w:rsidR="00212BDB" w:rsidRPr="007C058F">
        <w:rPr>
          <w:rFonts w:eastAsia="Times New Roman" w:cs="Helvetica"/>
          <w:color w:val="575757"/>
          <w:sz w:val="24"/>
          <w:szCs w:val="24"/>
          <w:lang w:val="bg-BG"/>
        </w:rPr>
        <w:t xml:space="preserve">, </w:t>
      </w:r>
      <w:r w:rsidRPr="007C058F">
        <w:rPr>
          <w:rFonts w:eastAsia="Times New Roman" w:cs="Helvetica"/>
          <w:color w:val="575757"/>
          <w:sz w:val="24"/>
          <w:szCs w:val="24"/>
          <w:lang w:val="bg-BG"/>
        </w:rPr>
        <w:t>Съветът реши в порядък на работна хипотеза</w:t>
      </w:r>
      <w:r w:rsidR="00212BDB" w:rsidRPr="007C058F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066511" w:rsidRPr="007C058F">
        <w:rPr>
          <w:rFonts w:eastAsia="Times New Roman" w:cs="Helvetica"/>
          <w:color w:val="575757"/>
          <w:sz w:val="24"/>
          <w:szCs w:val="24"/>
          <w:lang w:val="bg-BG"/>
        </w:rPr>
        <w:t>по-добре да обоснове заключението в примера, като обвърже изрично предложения Пример У с</w:t>
      </w:r>
      <w:r w:rsidR="00212BDB" w:rsidRPr="007C058F">
        <w:rPr>
          <w:rFonts w:eastAsia="Times New Roman" w:cs="Helvetica"/>
          <w:color w:val="575757"/>
          <w:sz w:val="24"/>
          <w:szCs w:val="24"/>
          <w:lang w:val="bg-BG"/>
        </w:rPr>
        <w:t>:</w:t>
      </w:r>
    </w:p>
    <w:p w:rsidR="00212BDB" w:rsidRPr="007C058F" w:rsidRDefault="00066511" w:rsidP="00212BDB">
      <w:pPr>
        <w:numPr>
          <w:ilvl w:val="0"/>
          <w:numId w:val="10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  <w:lang w:val="bg-BG"/>
        </w:rPr>
      </w:pPr>
      <w:proofErr w:type="gramStart"/>
      <w:r w:rsidRPr="007C058F">
        <w:rPr>
          <w:rFonts w:eastAsia="Times New Roman" w:cs="Helvetica"/>
          <w:color w:val="575757"/>
          <w:sz w:val="24"/>
          <w:szCs w:val="24"/>
          <w:lang w:val="bg-BG"/>
        </w:rPr>
        <w:t>предложените</w:t>
      </w:r>
      <w:proofErr w:type="gramEnd"/>
      <w:r w:rsidRPr="007C058F">
        <w:rPr>
          <w:rFonts w:eastAsia="Times New Roman" w:cs="Helvetica"/>
          <w:color w:val="575757"/>
          <w:sz w:val="24"/>
          <w:szCs w:val="24"/>
          <w:lang w:val="bg-BG"/>
        </w:rPr>
        <w:t xml:space="preserve"> изменения в МСС</w:t>
      </w:r>
      <w:r w:rsidR="00212BDB" w:rsidRPr="007C058F">
        <w:rPr>
          <w:rFonts w:eastAsia="Times New Roman" w:cs="Helvetica"/>
          <w:color w:val="575757"/>
          <w:sz w:val="24"/>
          <w:szCs w:val="24"/>
          <w:lang w:val="bg-BG"/>
        </w:rPr>
        <w:t xml:space="preserve"> 1 (</w:t>
      </w:r>
      <w:r w:rsidRPr="007C058F">
        <w:rPr>
          <w:rFonts w:eastAsia="Times New Roman" w:cs="Helvetica"/>
          <w:color w:val="575757"/>
          <w:sz w:val="24"/>
          <w:szCs w:val="24"/>
          <w:lang w:val="bg-BG"/>
        </w:rPr>
        <w:t>включително промените, препоръчани в</w:t>
      </w:r>
      <w:r w:rsidR="00212BDB" w:rsidRPr="007C058F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1578C4" w:rsidRPr="007C058F">
        <w:rPr>
          <w:rFonts w:eastAsia="Times New Roman" w:cs="Helvetica"/>
          <w:color w:val="575757"/>
          <w:sz w:val="24"/>
          <w:szCs w:val="24"/>
          <w:lang w:val="bg-BG"/>
        </w:rPr>
        <w:t>Документ по програмата</w:t>
      </w:r>
      <w:r w:rsidR="00212BDB" w:rsidRPr="007C058F">
        <w:rPr>
          <w:rFonts w:eastAsia="Times New Roman" w:cs="Helvetica"/>
          <w:color w:val="575757"/>
          <w:sz w:val="24"/>
          <w:szCs w:val="24"/>
          <w:lang w:val="bg-BG"/>
        </w:rPr>
        <w:t xml:space="preserve"> 20</w:t>
      </w:r>
      <w:r w:rsidRPr="007C058F">
        <w:rPr>
          <w:rFonts w:eastAsia="Times New Roman" w:cs="Helvetica"/>
          <w:color w:val="575757"/>
          <w:sz w:val="24"/>
          <w:szCs w:val="24"/>
          <w:lang w:val="bg-BG"/>
        </w:rPr>
        <w:t>В</w:t>
      </w:r>
      <w:r w:rsidR="00212BDB" w:rsidRPr="007C058F">
        <w:rPr>
          <w:rFonts w:eastAsia="Times New Roman" w:cs="Helvetica"/>
          <w:color w:val="575757"/>
          <w:sz w:val="24"/>
          <w:szCs w:val="24"/>
          <w:lang w:val="bg-BG"/>
        </w:rPr>
        <w:t xml:space="preserve">); </w:t>
      </w:r>
      <w:r w:rsidRPr="007C058F">
        <w:rPr>
          <w:rFonts w:eastAsia="Times New Roman" w:cs="Helvetica"/>
          <w:color w:val="575757"/>
          <w:sz w:val="24"/>
          <w:szCs w:val="24"/>
          <w:lang w:val="bg-BG"/>
        </w:rPr>
        <w:t>и</w:t>
      </w:r>
    </w:p>
    <w:p w:rsidR="00212BDB" w:rsidRPr="007C058F" w:rsidRDefault="00066511" w:rsidP="00212BDB">
      <w:pPr>
        <w:numPr>
          <w:ilvl w:val="0"/>
          <w:numId w:val="10"/>
        </w:numPr>
        <w:shd w:val="clear" w:color="auto" w:fill="FFFFFF"/>
        <w:spacing w:before="75" w:after="75" w:line="240" w:lineRule="auto"/>
        <w:ind w:left="495"/>
        <w:rPr>
          <w:rFonts w:eastAsia="Times New Roman" w:cs="Helvetica"/>
          <w:color w:val="575757"/>
          <w:sz w:val="24"/>
          <w:szCs w:val="24"/>
          <w:lang w:val="bg-BG"/>
        </w:rPr>
      </w:pPr>
      <w:proofErr w:type="gramStart"/>
      <w:r w:rsidRPr="007C058F">
        <w:rPr>
          <w:rFonts w:eastAsia="Times New Roman" w:cs="Helvetica"/>
          <w:color w:val="575757"/>
          <w:sz w:val="24"/>
          <w:szCs w:val="24"/>
          <w:lang w:val="bg-BG"/>
        </w:rPr>
        <w:t>насоките</w:t>
      </w:r>
      <w:proofErr w:type="gramEnd"/>
      <w:r w:rsidRPr="007C058F">
        <w:rPr>
          <w:rFonts w:eastAsia="Times New Roman" w:cs="Helvetica"/>
          <w:color w:val="575757"/>
          <w:sz w:val="24"/>
          <w:szCs w:val="24"/>
          <w:lang w:val="bg-BG"/>
        </w:rPr>
        <w:t xml:space="preserve"> в</w:t>
      </w:r>
      <w:r w:rsidR="00212BDB" w:rsidRPr="007C058F">
        <w:rPr>
          <w:rFonts w:eastAsia="Times New Roman" w:cs="Helvetica"/>
          <w:color w:val="575757"/>
          <w:sz w:val="24"/>
          <w:szCs w:val="24"/>
          <w:lang w:val="bg-BG"/>
        </w:rPr>
        <w:t> </w:t>
      </w:r>
      <w:r w:rsidRPr="007C058F">
        <w:rPr>
          <w:rFonts w:eastAsia="Times New Roman" w:cs="Helvetica"/>
          <w:i/>
          <w:iCs/>
          <w:color w:val="575757"/>
          <w:sz w:val="24"/>
          <w:szCs w:val="24"/>
          <w:lang w:val="bg-BG"/>
        </w:rPr>
        <w:t>Концептуалната рамка за финансово отчитане</w:t>
      </w:r>
      <w:r w:rsidR="00212BDB" w:rsidRPr="007C058F">
        <w:rPr>
          <w:rFonts w:eastAsia="Times New Roman" w:cs="Helvetica"/>
          <w:color w:val="575757"/>
          <w:sz w:val="24"/>
          <w:szCs w:val="24"/>
          <w:lang w:val="bg-BG"/>
        </w:rPr>
        <w:t xml:space="preserve">, </w:t>
      </w:r>
      <w:r w:rsidRPr="007C058F">
        <w:rPr>
          <w:rFonts w:eastAsia="Times New Roman" w:cs="Helvetica"/>
          <w:color w:val="575757"/>
          <w:sz w:val="24"/>
          <w:szCs w:val="24"/>
          <w:lang w:val="bg-BG"/>
        </w:rPr>
        <w:t>дефиницията на същественост</w:t>
      </w:r>
      <w:r w:rsidR="00212BDB" w:rsidRPr="007C058F">
        <w:rPr>
          <w:rFonts w:eastAsia="Times New Roman" w:cs="Helvetica"/>
          <w:color w:val="575757"/>
          <w:sz w:val="24"/>
          <w:szCs w:val="24"/>
          <w:lang w:val="bg-BG"/>
        </w:rPr>
        <w:t xml:space="preserve"> (</w:t>
      </w:r>
      <w:r w:rsidRPr="007C058F">
        <w:rPr>
          <w:rFonts w:eastAsia="Times New Roman" w:cs="Helvetica"/>
          <w:color w:val="575757"/>
          <w:sz w:val="24"/>
          <w:szCs w:val="24"/>
          <w:lang w:val="bg-BG"/>
        </w:rPr>
        <w:t>параграф</w:t>
      </w:r>
      <w:r w:rsidR="00212BDB" w:rsidRPr="007C058F">
        <w:rPr>
          <w:rFonts w:eastAsia="Times New Roman" w:cs="Helvetica"/>
          <w:color w:val="575757"/>
          <w:sz w:val="24"/>
          <w:szCs w:val="24"/>
          <w:lang w:val="bg-BG"/>
        </w:rPr>
        <w:t xml:space="preserve"> 7 </w:t>
      </w:r>
      <w:r w:rsidRPr="007C058F">
        <w:rPr>
          <w:rFonts w:eastAsia="Times New Roman" w:cs="Helvetica"/>
          <w:color w:val="575757"/>
          <w:sz w:val="24"/>
          <w:szCs w:val="24"/>
          <w:lang w:val="bg-BG"/>
        </w:rPr>
        <w:t>от МСС</w:t>
      </w:r>
      <w:r w:rsidR="00212BDB" w:rsidRPr="007C058F">
        <w:rPr>
          <w:rFonts w:eastAsia="Times New Roman" w:cs="Helvetica"/>
          <w:color w:val="575757"/>
          <w:sz w:val="24"/>
          <w:szCs w:val="24"/>
          <w:lang w:val="bg-BG"/>
        </w:rPr>
        <w:t xml:space="preserve"> 1) </w:t>
      </w:r>
      <w:r w:rsidRPr="007C058F">
        <w:rPr>
          <w:rFonts w:eastAsia="Times New Roman" w:cs="Helvetica"/>
          <w:color w:val="575757"/>
          <w:sz w:val="24"/>
          <w:szCs w:val="24"/>
          <w:lang w:val="bg-BG"/>
        </w:rPr>
        <w:t>и насоките в Изложение за практика по</w:t>
      </w:r>
      <w:r w:rsidR="00212BDB" w:rsidRPr="007C058F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1578C4" w:rsidRPr="007C058F">
        <w:rPr>
          <w:rFonts w:eastAsia="Times New Roman" w:cs="Helvetica"/>
          <w:color w:val="575757"/>
          <w:sz w:val="24"/>
          <w:szCs w:val="24"/>
          <w:lang w:val="bg-BG"/>
        </w:rPr>
        <w:t>МСФО</w:t>
      </w:r>
      <w:r w:rsidR="00212BDB" w:rsidRPr="007C058F">
        <w:rPr>
          <w:rFonts w:eastAsia="Times New Roman" w:cs="Helvetica"/>
          <w:color w:val="575757"/>
          <w:sz w:val="24"/>
          <w:szCs w:val="24"/>
          <w:lang w:val="bg-BG"/>
        </w:rPr>
        <w:t xml:space="preserve"> 2 </w:t>
      </w:r>
      <w:r w:rsidRPr="007C058F">
        <w:rPr>
          <w:rFonts w:eastAsia="Times New Roman" w:cs="Helvetica"/>
          <w:color w:val="575757"/>
          <w:sz w:val="24"/>
          <w:szCs w:val="24"/>
          <w:lang w:val="bg-BG"/>
        </w:rPr>
        <w:t>относно основните потребители на финансовите отчети на предприятието и как да бъдат идентифицирани техните общи информационни потребности</w:t>
      </w:r>
      <w:r w:rsidR="00212BDB" w:rsidRPr="007C058F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212BDB" w:rsidRPr="007C058F" w:rsidRDefault="00276DC7" w:rsidP="00212BDB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7C058F">
        <w:rPr>
          <w:rFonts w:eastAsia="Times New Roman" w:cs="Helvetica"/>
          <w:color w:val="575757"/>
          <w:sz w:val="24"/>
          <w:szCs w:val="24"/>
          <w:lang w:val="bg-BG"/>
        </w:rPr>
        <w:t>Единадесет от четиринадесетте членове на Съвета</w:t>
      </w:r>
      <w:r w:rsidR="00212BDB" w:rsidRPr="007C058F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Pr="007C058F">
        <w:rPr>
          <w:rFonts w:eastAsia="Times New Roman" w:cs="Helvetica"/>
          <w:color w:val="575757"/>
          <w:sz w:val="24"/>
          <w:szCs w:val="24"/>
          <w:lang w:val="bg-BG"/>
        </w:rPr>
        <w:t>изразиха съгласие с това решение</w:t>
      </w:r>
      <w:r w:rsidR="00212BDB" w:rsidRPr="007C058F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212BDB" w:rsidRPr="007C058F" w:rsidRDefault="001578C4" w:rsidP="00212BDB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7C058F">
        <w:rPr>
          <w:rFonts w:eastAsia="Times New Roman" w:cs="Helvetica"/>
          <w:color w:val="575757"/>
          <w:sz w:val="24"/>
          <w:szCs w:val="24"/>
          <w:lang w:val="bg-BG"/>
        </w:rPr>
        <w:t>Съветът реши в порядък на работна хипотеза</w:t>
      </w:r>
      <w:r w:rsidR="00212BDB" w:rsidRPr="007C058F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="00A5663E" w:rsidRPr="007C058F">
        <w:rPr>
          <w:rFonts w:eastAsia="Times New Roman" w:cs="Helvetica"/>
          <w:color w:val="575757"/>
          <w:sz w:val="24"/>
          <w:szCs w:val="24"/>
          <w:lang w:val="bg-BG"/>
        </w:rPr>
        <w:t>да не разработва допълнителни примери във връзка с Изложение за практика по</w:t>
      </w:r>
      <w:r w:rsidR="00212BDB" w:rsidRPr="007C058F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r w:rsidRPr="007C058F">
        <w:rPr>
          <w:rFonts w:eastAsia="Times New Roman" w:cs="Helvetica"/>
          <w:color w:val="575757"/>
          <w:sz w:val="24"/>
          <w:szCs w:val="24"/>
          <w:lang w:val="bg-BG"/>
        </w:rPr>
        <w:t>МСФО</w:t>
      </w:r>
      <w:r w:rsidR="00212BDB" w:rsidRPr="007C058F">
        <w:rPr>
          <w:rFonts w:eastAsia="Times New Roman" w:cs="Helvetica"/>
          <w:color w:val="575757"/>
          <w:sz w:val="24"/>
          <w:szCs w:val="24"/>
          <w:lang w:val="bg-BG"/>
        </w:rPr>
        <w:t xml:space="preserve"> </w:t>
      </w:r>
      <w:bookmarkStart w:id="6" w:name="_GoBack"/>
      <w:bookmarkEnd w:id="6"/>
      <w:r w:rsidR="00212BDB" w:rsidRPr="007C058F">
        <w:rPr>
          <w:rFonts w:eastAsia="Times New Roman" w:cs="Helvetica"/>
          <w:color w:val="575757"/>
          <w:sz w:val="24"/>
          <w:szCs w:val="24"/>
          <w:lang w:val="bg-BG"/>
        </w:rPr>
        <w:t>2.</w:t>
      </w:r>
    </w:p>
    <w:p w:rsidR="00212BDB" w:rsidRPr="007C058F" w:rsidRDefault="00276DC7" w:rsidP="00212BDB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7C058F">
        <w:rPr>
          <w:rFonts w:eastAsia="Times New Roman" w:cs="Helvetica"/>
          <w:color w:val="575757"/>
          <w:sz w:val="24"/>
          <w:szCs w:val="24"/>
          <w:lang w:val="bg-BG"/>
        </w:rPr>
        <w:t>Всичките четиринадесет членове на Съвета изразиха съгласие с това решение</w:t>
      </w:r>
      <w:r w:rsidR="00212BDB" w:rsidRPr="007C058F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212BDB" w:rsidRPr="007C058F" w:rsidRDefault="001578C4" w:rsidP="00212BDB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7C058F">
        <w:rPr>
          <w:rFonts w:eastAsia="Times New Roman" w:cs="Helvetica"/>
          <w:b/>
          <w:bCs/>
          <w:i/>
          <w:iCs/>
          <w:color w:val="575757"/>
          <w:sz w:val="24"/>
          <w:szCs w:val="24"/>
          <w:lang w:val="bg-BG"/>
        </w:rPr>
        <w:t xml:space="preserve">Следващ </w:t>
      </w:r>
      <w:proofErr w:type="gramStart"/>
      <w:r w:rsidRPr="007C058F">
        <w:rPr>
          <w:rFonts w:eastAsia="Times New Roman" w:cs="Helvetica"/>
          <w:b/>
          <w:bCs/>
          <w:i/>
          <w:iCs/>
          <w:color w:val="575757"/>
          <w:sz w:val="24"/>
          <w:szCs w:val="24"/>
          <w:lang w:val="bg-BG"/>
        </w:rPr>
        <w:t>етап</w:t>
      </w:r>
      <w:proofErr w:type="gramEnd"/>
    </w:p>
    <w:p w:rsidR="00212BDB" w:rsidRPr="007C058F" w:rsidRDefault="00F2671C" w:rsidP="00212BDB">
      <w:pPr>
        <w:shd w:val="clear" w:color="auto" w:fill="FFFFFF"/>
        <w:spacing w:after="300" w:line="240" w:lineRule="auto"/>
        <w:rPr>
          <w:rFonts w:eastAsia="Times New Roman" w:cs="Helvetica"/>
          <w:color w:val="575757"/>
          <w:sz w:val="24"/>
          <w:szCs w:val="24"/>
          <w:lang w:val="bg-BG"/>
        </w:rPr>
      </w:pPr>
      <w:r w:rsidRPr="007C058F">
        <w:rPr>
          <w:rFonts w:eastAsia="Times New Roman" w:cs="Helvetica"/>
          <w:color w:val="575757"/>
          <w:sz w:val="24"/>
          <w:szCs w:val="24"/>
          <w:lang w:val="bg-BG"/>
        </w:rPr>
        <w:t>На бъдещо свое заседание Съветът ще продължи повторните разисквания на предложенията, изложени в Проекта за обсъждане</w:t>
      </w:r>
      <w:r w:rsidR="00212BDB" w:rsidRPr="007C058F">
        <w:rPr>
          <w:rFonts w:eastAsia="Times New Roman" w:cs="Helvetica"/>
          <w:color w:val="575757"/>
          <w:sz w:val="24"/>
          <w:szCs w:val="24"/>
          <w:lang w:val="bg-BG"/>
        </w:rPr>
        <w:t>.</w:t>
      </w:r>
    </w:p>
    <w:p w:rsidR="009135F0" w:rsidRPr="007C058F" w:rsidRDefault="009135F0">
      <w:pPr>
        <w:rPr>
          <w:lang w:val="bg-BG"/>
        </w:rPr>
      </w:pPr>
    </w:p>
    <w:sectPr w:rsidR="009135F0" w:rsidRPr="007C058F" w:rsidSect="00630DE1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5440D"/>
    <w:multiLevelType w:val="multilevel"/>
    <w:tmpl w:val="CF266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0C462A"/>
    <w:multiLevelType w:val="multilevel"/>
    <w:tmpl w:val="32CC3ED4"/>
    <w:lvl w:ilvl="0">
      <w:start w:val="1"/>
      <w:numFmt w:val="russianLow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2370CD"/>
    <w:multiLevelType w:val="multilevel"/>
    <w:tmpl w:val="8280F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C86063"/>
    <w:multiLevelType w:val="multilevel"/>
    <w:tmpl w:val="8FECB35C"/>
    <w:lvl w:ilvl="0">
      <w:start w:val="1"/>
      <w:numFmt w:val="russianLow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6330B2"/>
    <w:multiLevelType w:val="multilevel"/>
    <w:tmpl w:val="4A8C3A4C"/>
    <w:lvl w:ilvl="0">
      <w:start w:val="1"/>
      <w:numFmt w:val="russianLow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3D1CDC"/>
    <w:multiLevelType w:val="multilevel"/>
    <w:tmpl w:val="113EC840"/>
    <w:lvl w:ilvl="0">
      <w:start w:val="1"/>
      <w:numFmt w:val="russianLow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653350"/>
    <w:multiLevelType w:val="multilevel"/>
    <w:tmpl w:val="CC3A63F0"/>
    <w:lvl w:ilvl="0">
      <w:start w:val="1"/>
      <w:numFmt w:val="russianLow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2E633B"/>
    <w:multiLevelType w:val="multilevel"/>
    <w:tmpl w:val="D1286356"/>
    <w:lvl w:ilvl="0">
      <w:start w:val="1"/>
      <w:numFmt w:val="russianLow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6A6829"/>
    <w:multiLevelType w:val="multilevel"/>
    <w:tmpl w:val="2ED27CD6"/>
    <w:lvl w:ilvl="0">
      <w:start w:val="1"/>
      <w:numFmt w:val="russianLow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672D57"/>
    <w:multiLevelType w:val="multilevel"/>
    <w:tmpl w:val="F6F00800"/>
    <w:lvl w:ilvl="0">
      <w:start w:val="1"/>
      <w:numFmt w:val="russianLow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3"/>
  </w:num>
  <w:num w:numId="5">
    <w:abstractNumId w:val="6"/>
  </w:num>
  <w:num w:numId="6">
    <w:abstractNumId w:val="9"/>
  </w:num>
  <w:num w:numId="7">
    <w:abstractNumId w:val="1"/>
  </w:num>
  <w:num w:numId="8">
    <w:abstractNumId w:val="7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212BDB"/>
    <w:rsid w:val="00046456"/>
    <w:rsid w:val="00066511"/>
    <w:rsid w:val="000E4B59"/>
    <w:rsid w:val="001578C4"/>
    <w:rsid w:val="001D3623"/>
    <w:rsid w:val="00212BDB"/>
    <w:rsid w:val="00276DC7"/>
    <w:rsid w:val="002B3386"/>
    <w:rsid w:val="00314EBA"/>
    <w:rsid w:val="004571EC"/>
    <w:rsid w:val="004F63B6"/>
    <w:rsid w:val="00630DE1"/>
    <w:rsid w:val="007C058F"/>
    <w:rsid w:val="009135F0"/>
    <w:rsid w:val="009D0620"/>
    <w:rsid w:val="00A5663E"/>
    <w:rsid w:val="00AC0793"/>
    <w:rsid w:val="00B121B0"/>
    <w:rsid w:val="00B272BC"/>
    <w:rsid w:val="00B86119"/>
    <w:rsid w:val="00BC1AF8"/>
    <w:rsid w:val="00BC6D0B"/>
    <w:rsid w:val="00C20DD6"/>
    <w:rsid w:val="00CC1058"/>
    <w:rsid w:val="00CD06E6"/>
    <w:rsid w:val="00D45B6F"/>
    <w:rsid w:val="00E85475"/>
    <w:rsid w:val="00F078AB"/>
    <w:rsid w:val="00F26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DE1"/>
  </w:style>
  <w:style w:type="paragraph" w:styleId="Heading1">
    <w:name w:val="heading 1"/>
    <w:basedOn w:val="Normal"/>
    <w:next w:val="Normal"/>
    <w:link w:val="Heading1Char"/>
    <w:uiPriority w:val="9"/>
    <w:qFormat/>
    <w:rsid w:val="00212B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2BD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4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3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8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16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9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31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463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15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97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7150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96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4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497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8" w:space="15" w:color="C6C6C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21298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49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115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794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20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frs.org/news-and-events/updates/iasb-updates/may-2020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ifrs.org/news-and-events/updates/iasb-updates/may-2020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frs.org/news-and-events/updates/iasb-updates/may-2020/" TargetMode="External"/><Relationship Id="rId11" Type="http://schemas.openxmlformats.org/officeDocument/2006/relationships/hyperlink" Target="https://www.ifrs.org/news-and-events/updates/iasb-updates/may-2020/" TargetMode="External"/><Relationship Id="rId5" Type="http://schemas.openxmlformats.org/officeDocument/2006/relationships/hyperlink" Target="https://www.ifrs.org/news-and-events/calendar/2020/may/international-accounting-standards-board/" TargetMode="External"/><Relationship Id="rId10" Type="http://schemas.openxmlformats.org/officeDocument/2006/relationships/hyperlink" Target="https://www.ifrs.org/news-and-events/updates/iasb-updates/may-202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frs.org/news-and-events/updates/iasb-updates/may-202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9</Pages>
  <Words>2537</Words>
  <Characters>14463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Svetoslava Velinova</dc:creator>
  <cp:keywords/>
  <dc:description/>
  <cp:lastModifiedBy>tvs</cp:lastModifiedBy>
  <cp:revision>21</cp:revision>
  <dcterms:created xsi:type="dcterms:W3CDTF">2020-06-04T11:13:00Z</dcterms:created>
  <dcterms:modified xsi:type="dcterms:W3CDTF">2020-06-05T04:53:00Z</dcterms:modified>
</cp:coreProperties>
</file>