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10D23" w14:textId="11214B73" w:rsidR="00E720EE" w:rsidRPr="001B46A3" w:rsidRDefault="001B46A3" w:rsidP="00E720EE">
      <w:pPr>
        <w:pStyle w:val="Heading1"/>
        <w:shd w:val="clear" w:color="auto" w:fill="A41F35"/>
        <w:spacing w:before="0"/>
        <w:rPr>
          <w:rFonts w:asciiTheme="minorHAnsi" w:eastAsia="Times New Roman" w:hAnsiTheme="minorHAnsi" w:cs="Helvetica"/>
          <w:b/>
          <w:bCs/>
          <w:color w:val="FFFFFF"/>
          <w:kern w:val="36"/>
          <w:sz w:val="58"/>
          <w:szCs w:val="58"/>
        </w:rPr>
      </w:pPr>
      <w:r w:rsidRPr="001B46A3">
        <w:rPr>
          <w:rFonts w:asciiTheme="minorHAnsi" w:eastAsia="Times New Roman" w:hAnsiTheme="minorHAnsi" w:cs="Helvetica"/>
          <w:b/>
          <w:bCs/>
          <w:color w:val="FFFFFF"/>
          <w:kern w:val="36"/>
          <w:sz w:val="58"/>
          <w:szCs w:val="58"/>
          <w:lang w:val="bg-BG"/>
        </w:rPr>
        <w:t>Информационен бюлетин на Съвета по международни счетоводни стандарти (IASB) – март 2020 г.</w:t>
      </w:r>
    </w:p>
    <w:p w14:paraId="1099567F" w14:textId="7041C9AF" w:rsidR="00E720EE" w:rsidRPr="001B46A3" w:rsidRDefault="00E720EE" w:rsidP="00E720EE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bCs/>
          <w:color w:val="FFFFFF"/>
          <w:kern w:val="36"/>
          <w:sz w:val="58"/>
          <w:szCs w:val="58"/>
        </w:rPr>
      </w:pPr>
      <w:r w:rsidRPr="001B46A3">
        <w:rPr>
          <w:rFonts w:eastAsia="Times New Roman" w:cs="Helvetica"/>
          <w:b/>
          <w:bCs/>
          <w:color w:val="FFFFFF"/>
          <w:kern w:val="36"/>
          <w:sz w:val="58"/>
          <w:szCs w:val="58"/>
        </w:rPr>
        <w:t>SB Update March 2020</w:t>
      </w:r>
    </w:p>
    <w:p w14:paraId="7AA5CB34" w14:textId="77777777" w:rsidR="00E720EE" w:rsidRPr="001B46A3" w:rsidRDefault="00E720EE" w:rsidP="00E720E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</w:p>
    <w:p w14:paraId="6597FB2F" w14:textId="5349F183" w:rsidR="00E720EE" w:rsidRPr="001B46A3" w:rsidRDefault="001B46A3" w:rsidP="00E720E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1B46A3">
        <w:rPr>
          <w:rFonts w:eastAsia="Times New Roman" w:cs="Helvetica"/>
          <w:color w:val="575757"/>
          <w:sz w:val="24"/>
          <w:szCs w:val="24"/>
          <w:lang w:val="bg-BG"/>
        </w:rPr>
        <w:t>Настоящият бюлетин на Съвета по международни счетоводни стандарти (IASB) (”Съветът”) представя предварителните решения на Съвета. Окончателните решения на Съвета по международни счетоводни стандарти относно: МСФО стандарти (IFRS</w:t>
      </w:r>
      <w:r w:rsidRPr="001B46A3">
        <w:rPr>
          <w:rFonts w:eastAsia="Times New Roman" w:cs="Helvetica"/>
          <w:color w:val="575757"/>
          <w:sz w:val="24"/>
          <w:szCs w:val="24"/>
          <w:vertAlign w:val="superscript"/>
          <w:lang w:val="bg-BG"/>
        </w:rPr>
        <w:t>®</w:t>
      </w:r>
      <w:r w:rsidRPr="001B46A3">
        <w:rPr>
          <w:rFonts w:eastAsia="Times New Roman" w:cs="Helvetica"/>
          <w:color w:val="575757"/>
          <w:sz w:val="24"/>
          <w:szCs w:val="24"/>
          <w:lang w:val="bg-BG"/>
        </w:rPr>
        <w:t> </w:t>
      </w:r>
      <w:proofErr w:type="spellStart"/>
      <w:r w:rsidRPr="001B46A3">
        <w:rPr>
          <w:rFonts w:eastAsia="Times New Roman" w:cs="Helvetica"/>
          <w:color w:val="575757"/>
          <w:sz w:val="24"/>
          <w:szCs w:val="24"/>
          <w:lang w:val="bg-BG"/>
        </w:rPr>
        <w:t>Standards</w:t>
      </w:r>
      <w:proofErr w:type="spellEnd"/>
      <w:r w:rsidRPr="001B46A3">
        <w:rPr>
          <w:rFonts w:eastAsia="Times New Roman" w:cs="Helvetica"/>
          <w:color w:val="575757"/>
          <w:sz w:val="24"/>
          <w:szCs w:val="24"/>
          <w:lang w:val="bg-BG"/>
        </w:rPr>
        <w:t>), Изменения и Разяснения (IFRIC</w:t>
      </w:r>
      <w:r w:rsidRPr="001B46A3">
        <w:rPr>
          <w:rFonts w:eastAsia="Times New Roman" w:cs="Helvetica"/>
          <w:color w:val="575757"/>
          <w:sz w:val="24"/>
          <w:szCs w:val="24"/>
          <w:vertAlign w:val="superscript"/>
          <w:lang w:val="bg-BG"/>
        </w:rPr>
        <w:t>®</w:t>
      </w:r>
      <w:r w:rsidRPr="001B46A3">
        <w:rPr>
          <w:rFonts w:eastAsia="Times New Roman" w:cs="Helvetica"/>
          <w:color w:val="575757"/>
          <w:sz w:val="24"/>
          <w:szCs w:val="24"/>
          <w:lang w:val="bg-BG"/>
        </w:rPr>
        <w:t> </w:t>
      </w:r>
      <w:proofErr w:type="spellStart"/>
      <w:r w:rsidRPr="001B46A3">
        <w:rPr>
          <w:rFonts w:eastAsia="Times New Roman" w:cs="Helvetica"/>
          <w:color w:val="575757"/>
          <w:sz w:val="24"/>
          <w:szCs w:val="24"/>
          <w:lang w:val="bg-BG"/>
        </w:rPr>
        <w:t>Interpretations</w:t>
      </w:r>
      <w:proofErr w:type="spellEnd"/>
      <w:r w:rsidRPr="001B46A3">
        <w:rPr>
          <w:rFonts w:eastAsia="Times New Roman" w:cs="Helvetica"/>
          <w:color w:val="575757"/>
          <w:sz w:val="24"/>
          <w:szCs w:val="24"/>
          <w:lang w:val="bg-BG"/>
        </w:rPr>
        <w:t xml:space="preserve">) се подлагат на официално гласуване, съгласно предвиденото в </w:t>
      </w:r>
      <w:r w:rsidRPr="001B46A3">
        <w:rPr>
          <w:rFonts w:eastAsia="Times New Roman" w:cs="Helvetica"/>
          <w:i/>
          <w:color w:val="575757"/>
          <w:sz w:val="24"/>
          <w:szCs w:val="24"/>
          <w:lang w:val="bg-BG"/>
        </w:rPr>
        <w:t>Ръководството по регламентираната процедура</w:t>
      </w:r>
      <w:r w:rsidRPr="001B46A3">
        <w:rPr>
          <w:rFonts w:eastAsia="Times New Roman" w:cs="Helvetica"/>
          <w:color w:val="575757"/>
          <w:sz w:val="24"/>
          <w:szCs w:val="24"/>
          <w:lang w:val="bg-BG"/>
        </w:rPr>
        <w:t xml:space="preserve"> на Фондация МСФО (IFRS</w:t>
      </w:r>
      <w:r w:rsidRPr="001B46A3">
        <w:rPr>
          <w:rFonts w:eastAsia="Times New Roman" w:cs="Helvetica"/>
          <w:color w:val="575757"/>
          <w:sz w:val="24"/>
          <w:szCs w:val="24"/>
          <w:vertAlign w:val="superscript"/>
          <w:lang w:val="bg-BG"/>
        </w:rPr>
        <w:t>®</w:t>
      </w:r>
      <w:r w:rsidRPr="001B46A3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proofErr w:type="spellStart"/>
      <w:r w:rsidRPr="001B46A3">
        <w:rPr>
          <w:rFonts w:eastAsia="Times New Roman" w:cs="Helvetica"/>
          <w:color w:val="575757"/>
          <w:sz w:val="24"/>
          <w:szCs w:val="24"/>
          <w:lang w:val="bg-BG"/>
        </w:rPr>
        <w:t>Foundation</w:t>
      </w:r>
      <w:proofErr w:type="spellEnd"/>
      <w:r w:rsidRPr="001B46A3">
        <w:rPr>
          <w:rFonts w:eastAsia="Times New Roman" w:cs="Helvetica"/>
          <w:color w:val="575757"/>
          <w:sz w:val="24"/>
          <w:szCs w:val="24"/>
          <w:lang w:val="bg-BG"/>
        </w:rPr>
        <w:t xml:space="preserve">) и Комитета по разясненията на МСФО (IFRS </w:t>
      </w:r>
      <w:proofErr w:type="spellStart"/>
      <w:r w:rsidRPr="001B46A3">
        <w:rPr>
          <w:rFonts w:eastAsia="Times New Roman" w:cs="Helvetica"/>
          <w:color w:val="575757"/>
          <w:sz w:val="24"/>
          <w:szCs w:val="24"/>
          <w:lang w:val="bg-BG"/>
        </w:rPr>
        <w:t>Interpretation</w:t>
      </w:r>
      <w:proofErr w:type="spellEnd"/>
      <w:r w:rsidRPr="001B46A3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proofErr w:type="spellStart"/>
      <w:r w:rsidRPr="001B46A3">
        <w:rPr>
          <w:rFonts w:eastAsia="Times New Roman" w:cs="Helvetica"/>
          <w:color w:val="575757"/>
          <w:sz w:val="24"/>
          <w:szCs w:val="24"/>
          <w:lang w:val="bg-BG"/>
        </w:rPr>
        <w:t>Committee</w:t>
      </w:r>
      <w:proofErr w:type="spellEnd"/>
      <w:r w:rsidRPr="001B46A3">
        <w:rPr>
          <w:rFonts w:eastAsia="Times New Roman" w:cs="Helvetica"/>
          <w:color w:val="575757"/>
          <w:sz w:val="24"/>
          <w:szCs w:val="24"/>
          <w:lang w:val="bg-BG"/>
        </w:rPr>
        <w:t>)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.</w:t>
      </w:r>
    </w:p>
    <w:p w14:paraId="128C2AFF" w14:textId="09317E8A" w:rsidR="00E720EE" w:rsidRPr="001B46A3" w:rsidRDefault="001B46A3" w:rsidP="00E720E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проведе дистанционно заседание на </w:t>
      </w:r>
      <w:hyperlink r:id="rId5" w:history="1">
        <w:r w:rsidR="00E720EE" w:rsidRPr="001B46A3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17 </w:t>
        </w:r>
        <w:r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и</w:t>
        </w:r>
        <w:r w:rsidR="00E720EE" w:rsidRPr="001B46A3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19 </w:t>
        </w:r>
        <w:r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март</w:t>
        </w:r>
        <w:r w:rsidR="00E720EE" w:rsidRPr="001B46A3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2020</w:t>
        </w:r>
      </w:hyperlink>
      <w:r>
        <w:rPr>
          <w:rFonts w:eastAsia="Times New Roman" w:cs="Helvetica"/>
          <w:color w:val="CD3333"/>
          <w:sz w:val="24"/>
          <w:szCs w:val="24"/>
          <w:u w:val="single"/>
          <w:lang w:val="bg-BG"/>
        </w:rPr>
        <w:t xml:space="preserve"> г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.</w:t>
      </w:r>
    </w:p>
    <w:p w14:paraId="265A21D9" w14:textId="26004EAF" w:rsidR="00E720EE" w:rsidRPr="001B46A3" w:rsidRDefault="001B46A3" w:rsidP="00E720E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1B46A3">
        <w:rPr>
          <w:rFonts w:eastAsia="Times New Roman" w:cs="Helvetica"/>
          <w:color w:val="575757"/>
          <w:sz w:val="24"/>
          <w:szCs w:val="24"/>
          <w:lang w:val="bg-BG"/>
        </w:rPr>
        <w:t>Темите, по реда на обсъждането им, включваха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:</w:t>
      </w:r>
    </w:p>
    <w:p w14:paraId="6AD157EC" w14:textId="055ABE6D" w:rsidR="00E720EE" w:rsidRPr="001B46A3" w:rsidRDefault="00185CF0" w:rsidP="00E720E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hyperlink r:id="rId6" w:anchor="1" w:history="1">
        <w:r w:rsidR="001B46A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Изменение на МСФО</w:t>
        </w:r>
        <w:r w:rsidR="00E720EE" w:rsidRPr="001B46A3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17 </w:t>
        </w:r>
        <w:r w:rsidR="001B46A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Застрахователни договори</w:t>
        </w:r>
      </w:hyperlink>
    </w:p>
    <w:p w14:paraId="7C26ED9F" w14:textId="6AF9461A" w:rsidR="00E720EE" w:rsidRPr="001B46A3" w:rsidRDefault="00185CF0" w:rsidP="00E720E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hyperlink r:id="rId7" w:anchor="2" w:history="1">
        <w:r w:rsidR="001B46A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Дейности с регулирани цени</w:t>
        </w:r>
      </w:hyperlink>
    </w:p>
    <w:p w14:paraId="7C76D462" w14:textId="1404B57F" w:rsidR="00E720EE" w:rsidRPr="001B46A3" w:rsidRDefault="00185CF0" w:rsidP="00E720E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hyperlink r:id="rId8" w:anchor="3" w:history="1">
        <w:r w:rsidR="001B46A3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Коментар на ръководството</w:t>
        </w:r>
      </w:hyperlink>
    </w:p>
    <w:p w14:paraId="75BEBBE5" w14:textId="7261C237" w:rsidR="00E720EE" w:rsidRPr="001B46A3" w:rsidRDefault="001B46A3" w:rsidP="00E720EE">
      <w:pPr>
        <w:shd w:val="clear" w:color="auto" w:fill="F6F6F6"/>
        <w:spacing w:before="225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</w:rPr>
      </w:pPr>
      <w:r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Допълнителна информация</w:t>
      </w:r>
    </w:p>
    <w:p w14:paraId="313B299E" w14:textId="5CBD9822" w:rsidR="00E720EE" w:rsidRPr="001B46A3" w:rsidRDefault="001B46A3" w:rsidP="00E720EE">
      <w:pPr>
        <w:shd w:val="clear" w:color="auto" w:fill="F6F6F6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1B46A3">
        <w:rPr>
          <w:rFonts w:eastAsia="Times New Roman" w:cs="Helvetica"/>
          <w:color w:val="575757"/>
          <w:sz w:val="24"/>
          <w:szCs w:val="24"/>
          <w:lang w:val="bg-BG"/>
        </w:rPr>
        <w:t>Предстоящи заседания на Съвета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:</w:t>
      </w:r>
    </w:p>
    <w:p w14:paraId="45B85BC1" w14:textId="6CC3E1E5" w:rsidR="00E720EE" w:rsidRPr="001B46A3" w:rsidRDefault="00E720EE" w:rsidP="00E720EE">
      <w:pPr>
        <w:numPr>
          <w:ilvl w:val="0"/>
          <w:numId w:val="2"/>
        </w:numPr>
        <w:shd w:val="clear" w:color="auto" w:fill="F6F6F6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 w:rsidRPr="001B46A3">
        <w:rPr>
          <w:rFonts w:eastAsia="Times New Roman" w:cs="Helvetica"/>
          <w:color w:val="575757"/>
          <w:sz w:val="24"/>
          <w:szCs w:val="24"/>
        </w:rPr>
        <w:t xml:space="preserve">20–24 </w:t>
      </w:r>
      <w:r w:rsidR="001B46A3">
        <w:rPr>
          <w:rFonts w:eastAsia="Times New Roman" w:cs="Helvetica"/>
          <w:color w:val="575757"/>
          <w:sz w:val="24"/>
          <w:szCs w:val="24"/>
          <w:lang w:val="bg-BG"/>
        </w:rPr>
        <w:t>април</w:t>
      </w:r>
      <w:r w:rsidRPr="001B46A3">
        <w:rPr>
          <w:rFonts w:eastAsia="Times New Roman" w:cs="Helvetica"/>
          <w:color w:val="575757"/>
          <w:sz w:val="24"/>
          <w:szCs w:val="24"/>
        </w:rPr>
        <w:t xml:space="preserve"> 2020</w:t>
      </w:r>
      <w:r w:rsidR="001B46A3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</w:p>
    <w:p w14:paraId="4CA4CE49" w14:textId="0582DA39" w:rsidR="00E720EE" w:rsidRPr="001B46A3" w:rsidRDefault="00E720EE" w:rsidP="00E720EE">
      <w:pPr>
        <w:numPr>
          <w:ilvl w:val="0"/>
          <w:numId w:val="2"/>
        </w:numPr>
        <w:shd w:val="clear" w:color="auto" w:fill="F6F6F6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 w:rsidRPr="001B46A3">
        <w:rPr>
          <w:rFonts w:eastAsia="Times New Roman" w:cs="Helvetica"/>
          <w:color w:val="575757"/>
          <w:sz w:val="24"/>
          <w:szCs w:val="24"/>
        </w:rPr>
        <w:t xml:space="preserve">18–22 </w:t>
      </w:r>
      <w:r w:rsidR="001B46A3">
        <w:rPr>
          <w:rFonts w:eastAsia="Times New Roman" w:cs="Helvetica"/>
          <w:color w:val="575757"/>
          <w:sz w:val="24"/>
          <w:szCs w:val="24"/>
          <w:lang w:val="bg-BG"/>
        </w:rPr>
        <w:t>май</w:t>
      </w:r>
      <w:r w:rsidRPr="001B46A3">
        <w:rPr>
          <w:rFonts w:eastAsia="Times New Roman" w:cs="Helvetica"/>
          <w:color w:val="575757"/>
          <w:sz w:val="24"/>
          <w:szCs w:val="24"/>
        </w:rPr>
        <w:t xml:space="preserve"> 2020</w:t>
      </w:r>
      <w:r w:rsidR="001B46A3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</w:p>
    <w:p w14:paraId="698A91D2" w14:textId="2D66AFFB" w:rsidR="00E720EE" w:rsidRPr="001B46A3" w:rsidRDefault="00E720EE" w:rsidP="00E720EE">
      <w:pPr>
        <w:numPr>
          <w:ilvl w:val="0"/>
          <w:numId w:val="2"/>
        </w:numPr>
        <w:shd w:val="clear" w:color="auto" w:fill="F6F6F6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 w:rsidRPr="001B46A3">
        <w:rPr>
          <w:rFonts w:eastAsia="Times New Roman" w:cs="Helvetica"/>
          <w:color w:val="575757"/>
          <w:sz w:val="24"/>
          <w:szCs w:val="24"/>
        </w:rPr>
        <w:t xml:space="preserve">22–26 </w:t>
      </w:r>
      <w:r w:rsidR="001B46A3">
        <w:rPr>
          <w:rFonts w:eastAsia="Times New Roman" w:cs="Helvetica"/>
          <w:color w:val="575757"/>
          <w:sz w:val="24"/>
          <w:szCs w:val="24"/>
          <w:lang w:val="bg-BG"/>
        </w:rPr>
        <w:t>юни</w:t>
      </w:r>
      <w:r w:rsidRPr="001B46A3">
        <w:rPr>
          <w:rFonts w:eastAsia="Times New Roman" w:cs="Helvetica"/>
          <w:color w:val="575757"/>
          <w:sz w:val="24"/>
          <w:szCs w:val="24"/>
        </w:rPr>
        <w:t xml:space="preserve"> 2020</w:t>
      </w:r>
      <w:r w:rsidR="001B46A3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</w:p>
    <w:p w14:paraId="5D850611" w14:textId="40D7CCC1" w:rsidR="00E720EE" w:rsidRPr="001B46A3" w:rsidRDefault="001B46A3" w:rsidP="00E720EE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</w:rPr>
      </w:pPr>
      <w:bookmarkStart w:id="0" w:name="1"/>
      <w:r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Изменение на МСФО</w:t>
      </w:r>
      <w:r w:rsidR="00E720EE" w:rsidRPr="001B46A3">
        <w:rPr>
          <w:rFonts w:eastAsia="Times New Roman" w:cs="Helvetica"/>
          <w:b/>
          <w:bCs/>
          <w:color w:val="CD3333"/>
          <w:sz w:val="34"/>
          <w:szCs w:val="34"/>
        </w:rPr>
        <w:t xml:space="preserve"> 17 </w:t>
      </w:r>
      <w:r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Застрахователни договори</w:t>
      </w:r>
      <w:r w:rsidR="00E720EE" w:rsidRPr="001B46A3">
        <w:rPr>
          <w:rFonts w:eastAsia="Times New Roman" w:cs="Helvetica"/>
          <w:b/>
          <w:bCs/>
          <w:color w:val="CD3333"/>
          <w:sz w:val="34"/>
          <w:szCs w:val="34"/>
        </w:rPr>
        <w:t xml:space="preserve"> (</w:t>
      </w:r>
      <w:r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E720EE" w:rsidRPr="001B46A3">
        <w:rPr>
          <w:rFonts w:eastAsia="Times New Roman" w:cs="Helvetica"/>
          <w:b/>
          <w:bCs/>
          <w:color w:val="CD3333"/>
          <w:sz w:val="34"/>
          <w:szCs w:val="34"/>
        </w:rPr>
        <w:t xml:space="preserve"> 2)</w:t>
      </w:r>
      <w:bookmarkEnd w:id="0"/>
    </w:p>
    <w:p w14:paraId="5346A70C" w14:textId="60BEC507" w:rsidR="00E720EE" w:rsidRPr="001B46A3" w:rsidRDefault="001B46A3" w:rsidP="001B46A3">
      <w:pPr>
        <w:shd w:val="clear" w:color="auto" w:fill="FFFFFF"/>
        <w:tabs>
          <w:tab w:val="left" w:pos="6426"/>
        </w:tabs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Съветът проведе заседание на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17 </w:t>
      </w:r>
      <w:r>
        <w:rPr>
          <w:rFonts w:eastAsia="Times New Roman" w:cs="Helvetica"/>
          <w:color w:val="575757"/>
          <w:sz w:val="24"/>
          <w:szCs w:val="24"/>
          <w:lang w:val="bg-BG"/>
        </w:rPr>
        <w:t>март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2020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г., за да обсъди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:</w:t>
      </w:r>
    </w:p>
    <w:p w14:paraId="58834E46" w14:textId="68BEF25B" w:rsidR="00E720EE" w:rsidRPr="001B46A3" w:rsidRDefault="005425A5" w:rsidP="00E720EE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получените като обратна информация становища във връзка с Проекта за обсъждане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Изменение на МСФО</w:t>
      </w:r>
      <w:r w:rsidR="00E720EE" w:rsidRPr="001B46A3">
        <w:rPr>
          <w:rFonts w:eastAsia="Times New Roman" w:cs="Helvetica"/>
          <w:i/>
          <w:iCs/>
          <w:color w:val="575757"/>
          <w:sz w:val="24"/>
          <w:szCs w:val="24"/>
        </w:rPr>
        <w:t xml:space="preserve"> 17</w:t>
      </w:r>
      <w:r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относно датата на влизане в сила на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 w:rsidRPr="005425A5">
        <w:rPr>
          <w:rFonts w:eastAsia="Times New Roman" w:cs="Helvetica"/>
          <w:iCs/>
          <w:color w:val="575757"/>
          <w:sz w:val="24"/>
          <w:szCs w:val="24"/>
          <w:lang w:val="bg-BG"/>
        </w:rPr>
        <w:t>МСФО</w:t>
      </w:r>
      <w:r w:rsidRPr="005425A5">
        <w:rPr>
          <w:rFonts w:eastAsia="Times New Roman" w:cs="Helvetica"/>
          <w:i/>
          <w:iCs/>
          <w:color w:val="575757"/>
          <w:sz w:val="24"/>
          <w:szCs w:val="24"/>
        </w:rPr>
        <w:t xml:space="preserve"> 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17 </w:t>
      </w:r>
      <w:r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Застрахователни договори </w:t>
      </w:r>
      <w:r>
        <w:rPr>
          <w:rFonts w:eastAsia="Times New Roman" w:cs="Helvetica"/>
          <w:color w:val="575757"/>
          <w:sz w:val="24"/>
          <w:szCs w:val="24"/>
          <w:lang w:val="bg-BG"/>
        </w:rPr>
        <w:t>и фиксираната дата на изтичане на временно освобождаване от изискванията в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 w:rsidRPr="005425A5">
        <w:rPr>
          <w:rFonts w:eastAsia="Times New Roman" w:cs="Helvetica"/>
          <w:iCs/>
          <w:color w:val="575757"/>
          <w:sz w:val="24"/>
          <w:szCs w:val="24"/>
          <w:lang w:val="bg-BG"/>
        </w:rPr>
        <w:t>МСФО</w:t>
      </w:r>
      <w:r w:rsidRPr="005425A5">
        <w:rPr>
          <w:rFonts w:eastAsia="Times New Roman" w:cs="Helvetica"/>
          <w:i/>
          <w:iCs/>
          <w:color w:val="575757"/>
          <w:sz w:val="24"/>
          <w:szCs w:val="24"/>
        </w:rPr>
        <w:t xml:space="preserve"> 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4 </w:t>
      </w:r>
      <w:r w:rsidRPr="005425A5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Застрахователни договори </w:t>
      </w:r>
      <w:r>
        <w:rPr>
          <w:rFonts w:eastAsia="Times New Roman" w:cs="Helvetica"/>
          <w:color w:val="575757"/>
          <w:sz w:val="24"/>
          <w:szCs w:val="24"/>
          <w:lang w:val="bg-BG"/>
        </w:rPr>
        <w:t>за прилагане на МСФО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9 </w:t>
      </w:r>
      <w:r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Финансови инструменти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—</w:t>
      </w:r>
      <w:r>
        <w:rPr>
          <w:rFonts w:eastAsia="Times New Roman" w:cs="Helvetica"/>
          <w:color w:val="575757"/>
          <w:sz w:val="24"/>
          <w:szCs w:val="24"/>
          <w:lang w:val="bg-BG"/>
        </w:rPr>
        <w:t>Документ по програмата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2A;</w:t>
      </w:r>
    </w:p>
    <w:p w14:paraId="405EC83E" w14:textId="46652A7C" w:rsidR="00E720EE" w:rsidRPr="001B46A3" w:rsidRDefault="005425A5" w:rsidP="00E720EE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стъпките от регламентираната процедура и разрешение за пристъпване към процедурата по гласуване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на измененията в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 w:rsidRPr="005425A5">
        <w:rPr>
          <w:rFonts w:eastAsia="Times New Roman" w:cs="Helvetica"/>
          <w:iCs/>
          <w:color w:val="575757"/>
          <w:sz w:val="24"/>
          <w:szCs w:val="24"/>
          <w:lang w:val="bg-BG"/>
        </w:rPr>
        <w:t>МСФО</w:t>
      </w:r>
      <w:r w:rsidRPr="005425A5">
        <w:rPr>
          <w:rFonts w:eastAsia="Times New Roman" w:cs="Helvetica"/>
          <w:i/>
          <w:iCs/>
          <w:color w:val="575757"/>
          <w:sz w:val="24"/>
          <w:szCs w:val="24"/>
        </w:rPr>
        <w:t xml:space="preserve"> 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17—</w:t>
      </w:r>
      <w:r w:rsidRPr="005425A5">
        <w:rPr>
          <w:rFonts w:eastAsia="Times New Roman" w:cs="Helvetica"/>
          <w:color w:val="575757"/>
          <w:sz w:val="24"/>
          <w:szCs w:val="24"/>
          <w:lang w:val="bg-BG"/>
        </w:rPr>
        <w:t xml:space="preserve"> Документ по програмата</w:t>
      </w:r>
      <w:r w:rsidRPr="005425A5">
        <w:rPr>
          <w:rFonts w:eastAsia="Times New Roman" w:cs="Helvetica"/>
          <w:color w:val="575757"/>
          <w:sz w:val="24"/>
          <w:szCs w:val="24"/>
        </w:rPr>
        <w:t xml:space="preserve"> 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2</w:t>
      </w:r>
      <w:r>
        <w:rPr>
          <w:rFonts w:eastAsia="Times New Roman" w:cs="Helvetica"/>
          <w:color w:val="575757"/>
          <w:sz w:val="24"/>
          <w:szCs w:val="24"/>
          <w:lang w:val="bg-BG"/>
        </w:rPr>
        <w:t>Б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; </w:t>
      </w:r>
      <w:r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14:paraId="0F34D32F" w14:textId="6C1B7D99" w:rsidR="00E720EE" w:rsidRPr="001B46A3" w:rsidRDefault="005425A5" w:rsidP="00E720EE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общ преглед на измененията в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 w:rsidRPr="005425A5">
        <w:rPr>
          <w:rFonts w:eastAsia="Times New Roman" w:cs="Helvetica"/>
          <w:iCs/>
          <w:color w:val="575757"/>
          <w:sz w:val="24"/>
          <w:szCs w:val="24"/>
          <w:lang w:val="bg-BG"/>
        </w:rPr>
        <w:t>МСФО</w:t>
      </w:r>
      <w:r w:rsidRPr="005425A5">
        <w:rPr>
          <w:rFonts w:eastAsia="Times New Roman" w:cs="Helvetica"/>
          <w:i/>
          <w:iCs/>
          <w:color w:val="575757"/>
          <w:sz w:val="24"/>
          <w:szCs w:val="24"/>
        </w:rPr>
        <w:t xml:space="preserve"> 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17—</w:t>
      </w:r>
      <w:r w:rsidRPr="005425A5">
        <w:rPr>
          <w:rFonts w:eastAsia="Times New Roman" w:cs="Helvetica"/>
          <w:color w:val="575757"/>
          <w:sz w:val="24"/>
          <w:szCs w:val="24"/>
          <w:lang w:val="bg-BG"/>
        </w:rPr>
        <w:t xml:space="preserve"> Документ по програмата</w:t>
      </w:r>
      <w:r w:rsidRPr="005425A5">
        <w:rPr>
          <w:rFonts w:eastAsia="Times New Roman" w:cs="Helvetica"/>
          <w:color w:val="575757"/>
          <w:sz w:val="24"/>
          <w:szCs w:val="24"/>
        </w:rPr>
        <w:t xml:space="preserve"> 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2</w:t>
      </w:r>
      <w:r>
        <w:rPr>
          <w:rFonts w:eastAsia="Times New Roman" w:cs="Helvetica"/>
          <w:color w:val="575757"/>
          <w:sz w:val="24"/>
          <w:szCs w:val="24"/>
          <w:lang w:val="bg-BG"/>
        </w:rPr>
        <w:t>В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.</w:t>
      </w:r>
    </w:p>
    <w:p w14:paraId="789671AF" w14:textId="54F016D2" w:rsidR="00E720EE" w:rsidRPr="001B46A3" w:rsidRDefault="005425A5" w:rsidP="00E720EE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</w:rPr>
      </w:pPr>
      <w:r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>Дата на влизане в сила на</w:t>
      </w:r>
      <w:r w:rsidR="00E720EE" w:rsidRPr="001B46A3">
        <w:rPr>
          <w:rFonts w:eastAsia="Times New Roman" w:cs="Helvetica"/>
          <w:b/>
          <w:bCs/>
          <w:i/>
          <w:iCs/>
          <w:color w:val="333333"/>
          <w:sz w:val="24"/>
          <w:szCs w:val="24"/>
        </w:rPr>
        <w:t xml:space="preserve"> </w:t>
      </w:r>
      <w:r w:rsidRPr="005425A5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>МСФО</w:t>
      </w:r>
      <w:r w:rsidRPr="005425A5">
        <w:rPr>
          <w:rFonts w:eastAsia="Times New Roman" w:cs="Helvetica"/>
          <w:b/>
          <w:bCs/>
          <w:i/>
          <w:iCs/>
          <w:color w:val="333333"/>
          <w:sz w:val="24"/>
          <w:szCs w:val="24"/>
        </w:rPr>
        <w:t xml:space="preserve"> </w:t>
      </w:r>
      <w:r w:rsidR="00E720EE" w:rsidRPr="001B46A3">
        <w:rPr>
          <w:rFonts w:eastAsia="Times New Roman" w:cs="Helvetica"/>
          <w:b/>
          <w:bCs/>
          <w:i/>
          <w:iCs/>
          <w:color w:val="333333"/>
          <w:sz w:val="24"/>
          <w:szCs w:val="24"/>
        </w:rPr>
        <w:t xml:space="preserve">17 </w:t>
      </w:r>
      <w:r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>и</w:t>
      </w:r>
      <w:r w:rsidR="00E720EE" w:rsidRPr="001B46A3">
        <w:rPr>
          <w:rFonts w:eastAsia="Times New Roman" w:cs="Helvetica"/>
          <w:b/>
          <w:bCs/>
          <w:i/>
          <w:iCs/>
          <w:color w:val="333333"/>
          <w:sz w:val="24"/>
          <w:szCs w:val="24"/>
        </w:rPr>
        <w:t xml:space="preserve"> </w:t>
      </w:r>
      <w:r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 xml:space="preserve">временното освобождаване от изискванията на </w:t>
      </w:r>
      <w:r w:rsidRPr="005425A5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>МСФО</w:t>
      </w:r>
      <w:r w:rsidRPr="005425A5">
        <w:rPr>
          <w:rFonts w:eastAsia="Times New Roman" w:cs="Helvetica"/>
          <w:b/>
          <w:bCs/>
          <w:i/>
          <w:iCs/>
          <w:color w:val="333333"/>
          <w:sz w:val="24"/>
          <w:szCs w:val="24"/>
        </w:rPr>
        <w:t xml:space="preserve"> </w:t>
      </w:r>
      <w:r w:rsidR="00E720EE" w:rsidRPr="001B46A3">
        <w:rPr>
          <w:rFonts w:eastAsia="Times New Roman" w:cs="Helvetica"/>
          <w:b/>
          <w:bCs/>
          <w:i/>
          <w:iCs/>
          <w:color w:val="333333"/>
          <w:sz w:val="24"/>
          <w:szCs w:val="24"/>
        </w:rPr>
        <w:t xml:space="preserve">9 </w:t>
      </w:r>
      <w:r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>в</w:t>
      </w:r>
      <w:r w:rsidR="00E720EE" w:rsidRPr="001B46A3">
        <w:rPr>
          <w:rFonts w:eastAsia="Times New Roman" w:cs="Helvetica"/>
          <w:b/>
          <w:bCs/>
          <w:i/>
          <w:iCs/>
          <w:color w:val="333333"/>
          <w:sz w:val="24"/>
          <w:szCs w:val="24"/>
        </w:rPr>
        <w:t xml:space="preserve"> </w:t>
      </w:r>
      <w:r w:rsidRPr="005425A5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>МСФО</w:t>
      </w:r>
      <w:r w:rsidRPr="005425A5">
        <w:rPr>
          <w:rFonts w:eastAsia="Times New Roman" w:cs="Helvetica"/>
          <w:b/>
          <w:bCs/>
          <w:i/>
          <w:iCs/>
          <w:color w:val="333333"/>
          <w:sz w:val="24"/>
          <w:szCs w:val="24"/>
        </w:rPr>
        <w:t xml:space="preserve"> </w:t>
      </w:r>
      <w:r w:rsidR="00E720EE" w:rsidRPr="001B46A3">
        <w:rPr>
          <w:rFonts w:eastAsia="Times New Roman" w:cs="Helvetica"/>
          <w:b/>
          <w:bCs/>
          <w:i/>
          <w:iCs/>
          <w:color w:val="333333"/>
          <w:sz w:val="24"/>
          <w:szCs w:val="24"/>
        </w:rPr>
        <w:t>4</w:t>
      </w:r>
      <w:r>
        <w:rPr>
          <w:rFonts w:eastAsia="Times New Roman" w:cs="Helvetica"/>
          <w:b/>
          <w:bCs/>
          <w:color w:val="333333"/>
          <w:sz w:val="24"/>
          <w:szCs w:val="24"/>
        </w:rPr>
        <w:t xml:space="preserve"> </w:t>
      </w:r>
      <w:r w:rsidR="00E720EE" w:rsidRPr="001B46A3">
        <w:rPr>
          <w:rFonts w:eastAsia="Times New Roman" w:cs="Helvetica"/>
          <w:b/>
          <w:bCs/>
          <w:color w:val="333333"/>
          <w:sz w:val="24"/>
          <w:szCs w:val="24"/>
        </w:rPr>
        <w:t>(</w:t>
      </w:r>
      <w:r w:rsidR="001B46A3" w:rsidRPr="001B46A3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Документ по програмата</w:t>
      </w:r>
      <w:r w:rsidR="001B46A3" w:rsidRPr="001B46A3">
        <w:rPr>
          <w:rFonts w:eastAsia="Times New Roman" w:cs="Helvetica"/>
          <w:b/>
          <w:bCs/>
          <w:color w:val="333333"/>
          <w:sz w:val="24"/>
          <w:szCs w:val="24"/>
        </w:rPr>
        <w:t xml:space="preserve"> </w:t>
      </w:r>
      <w:r w:rsidR="00E720EE" w:rsidRPr="001B46A3">
        <w:rPr>
          <w:rFonts w:eastAsia="Times New Roman" w:cs="Helvetica"/>
          <w:b/>
          <w:bCs/>
          <w:color w:val="333333"/>
          <w:sz w:val="24"/>
          <w:szCs w:val="24"/>
        </w:rPr>
        <w:t>2A)</w:t>
      </w:r>
    </w:p>
    <w:p w14:paraId="3E944EF2" w14:textId="62691FC4" w:rsidR="00E720EE" w:rsidRPr="001B46A3" w:rsidRDefault="005425A5" w:rsidP="00E720E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реши в порядък на работна хипотеза да отложи датата на влизане в сила на </w:t>
      </w:r>
      <w:r w:rsidRPr="005425A5">
        <w:rPr>
          <w:rFonts w:eastAsia="Times New Roman" w:cs="Helvetica"/>
          <w:iCs/>
          <w:color w:val="575757"/>
          <w:sz w:val="24"/>
          <w:szCs w:val="24"/>
          <w:lang w:val="bg-BG"/>
        </w:rPr>
        <w:t>МСФО</w:t>
      </w:r>
      <w:r w:rsidRPr="005425A5">
        <w:rPr>
          <w:rFonts w:eastAsia="Times New Roman" w:cs="Helvetica"/>
          <w:i/>
          <w:iCs/>
          <w:color w:val="575757"/>
          <w:sz w:val="24"/>
          <w:szCs w:val="24"/>
        </w:rPr>
        <w:t xml:space="preserve"> 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17</w:t>
      </w:r>
      <w:r>
        <w:rPr>
          <w:rFonts w:eastAsia="Times New Roman" w:cs="Helvetica"/>
          <w:color w:val="575757"/>
          <w:sz w:val="24"/>
          <w:szCs w:val="24"/>
          <w:lang w:val="bg-BG"/>
        </w:rPr>
        <w:t>,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инкорпорирайки измененията за годишни отчетни периоди, започващи на или след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1 </w:t>
      </w:r>
      <w:r>
        <w:rPr>
          <w:rFonts w:eastAsia="Times New Roman" w:cs="Helvetica"/>
          <w:color w:val="575757"/>
          <w:sz w:val="24"/>
          <w:szCs w:val="24"/>
          <w:lang w:val="bg-BG"/>
        </w:rPr>
        <w:t>януари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2023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г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.</w:t>
      </w:r>
    </w:p>
    <w:p w14:paraId="5AA563DE" w14:textId="21EDBDC4" w:rsidR="00E720EE" w:rsidRPr="001B46A3" w:rsidRDefault="000E01CB" w:rsidP="00E720E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Дванадесет от четиринадесетте членове на Съвета изразиха съгласие с това решение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. </w:t>
      </w:r>
      <w:r>
        <w:rPr>
          <w:rFonts w:eastAsia="Times New Roman" w:cs="Helvetica"/>
          <w:color w:val="575757"/>
          <w:sz w:val="24"/>
          <w:szCs w:val="24"/>
          <w:lang w:val="bg-BG"/>
        </w:rPr>
        <w:t>Един от членовете на Съвета отсъстваше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.</w:t>
      </w:r>
    </w:p>
    <w:p w14:paraId="15F52035" w14:textId="6A54A62A" w:rsidR="00E720EE" w:rsidRPr="001B46A3" w:rsidRDefault="005425A5" w:rsidP="00E720E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5425A5"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реши в порядък на работна хипотеза </w:t>
      </w:r>
      <w:r w:rsidR="00E11831">
        <w:rPr>
          <w:rFonts w:eastAsia="Times New Roman" w:cs="Helvetica"/>
          <w:color w:val="575757"/>
          <w:sz w:val="24"/>
          <w:szCs w:val="24"/>
          <w:lang w:val="bg-BG"/>
        </w:rPr>
        <w:t>да удължи фиксираната дата на изтичане на временното освобождаване</w:t>
      </w:r>
      <w:r w:rsidR="00E11831" w:rsidRPr="00E11831">
        <w:rPr>
          <w:rFonts w:eastAsia="Times New Roman" w:cs="Helvetica"/>
          <w:color w:val="575757"/>
          <w:sz w:val="24"/>
          <w:szCs w:val="24"/>
          <w:lang w:val="bg-BG"/>
        </w:rPr>
        <w:t xml:space="preserve"> в</w:t>
      </w:r>
      <w:r w:rsidR="00E11831" w:rsidRPr="00E11831">
        <w:rPr>
          <w:rFonts w:eastAsia="Times New Roman" w:cs="Helvetica"/>
          <w:color w:val="575757"/>
          <w:sz w:val="24"/>
          <w:szCs w:val="24"/>
        </w:rPr>
        <w:t xml:space="preserve"> </w:t>
      </w:r>
      <w:r w:rsidR="00E11831" w:rsidRPr="00E11831">
        <w:rPr>
          <w:rFonts w:eastAsia="Times New Roman" w:cs="Helvetica"/>
          <w:iCs/>
          <w:color w:val="575757"/>
          <w:sz w:val="24"/>
          <w:szCs w:val="24"/>
          <w:lang w:val="bg-BG"/>
        </w:rPr>
        <w:t>МСФО</w:t>
      </w:r>
      <w:r w:rsidR="00E11831" w:rsidRPr="00E11831">
        <w:rPr>
          <w:rFonts w:eastAsia="Times New Roman" w:cs="Helvetica"/>
          <w:i/>
          <w:iCs/>
          <w:color w:val="575757"/>
          <w:sz w:val="24"/>
          <w:szCs w:val="24"/>
        </w:rPr>
        <w:t xml:space="preserve"> </w:t>
      </w:r>
      <w:r w:rsidR="00E11831" w:rsidRPr="00E11831">
        <w:rPr>
          <w:rFonts w:eastAsia="Times New Roman" w:cs="Helvetica"/>
          <w:color w:val="575757"/>
          <w:sz w:val="24"/>
          <w:szCs w:val="24"/>
        </w:rPr>
        <w:t xml:space="preserve">4 </w:t>
      </w:r>
      <w:r w:rsidR="00E11831">
        <w:rPr>
          <w:rFonts w:eastAsia="Times New Roman" w:cs="Helvetica"/>
          <w:color w:val="575757"/>
          <w:sz w:val="24"/>
          <w:szCs w:val="24"/>
          <w:lang w:val="bg-BG"/>
        </w:rPr>
        <w:t>от изискванията за прилагане на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 w:rsidRPr="005425A5">
        <w:rPr>
          <w:rFonts w:eastAsia="Times New Roman" w:cs="Helvetica"/>
          <w:iCs/>
          <w:color w:val="575757"/>
          <w:sz w:val="24"/>
          <w:szCs w:val="24"/>
          <w:lang w:val="bg-BG"/>
        </w:rPr>
        <w:t>МСФО</w:t>
      </w:r>
      <w:r w:rsidRPr="005425A5">
        <w:rPr>
          <w:rFonts w:eastAsia="Times New Roman" w:cs="Helvetica"/>
          <w:i/>
          <w:iCs/>
          <w:color w:val="575757"/>
          <w:sz w:val="24"/>
          <w:szCs w:val="24"/>
        </w:rPr>
        <w:t xml:space="preserve"> 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9 </w:t>
      </w:r>
      <w:r w:rsidR="00E11831">
        <w:rPr>
          <w:rFonts w:eastAsia="Times New Roman" w:cs="Helvetica"/>
          <w:color w:val="575757"/>
          <w:sz w:val="24"/>
          <w:szCs w:val="24"/>
          <w:lang w:val="bg-BG"/>
        </w:rPr>
        <w:t>спрямо годишни отчетни периоди, започващи на или след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1 </w:t>
      </w:r>
      <w:r w:rsidR="00E11831">
        <w:rPr>
          <w:rFonts w:eastAsia="Times New Roman" w:cs="Helvetica"/>
          <w:color w:val="575757"/>
          <w:sz w:val="24"/>
          <w:szCs w:val="24"/>
          <w:lang w:val="bg-BG"/>
        </w:rPr>
        <w:t>януари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2023</w:t>
      </w:r>
      <w:r w:rsidR="00E11831">
        <w:rPr>
          <w:rFonts w:eastAsia="Times New Roman" w:cs="Helvetica"/>
          <w:color w:val="575757"/>
          <w:sz w:val="24"/>
          <w:szCs w:val="24"/>
          <w:lang w:val="bg-BG"/>
        </w:rPr>
        <w:t xml:space="preserve"> г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.</w:t>
      </w:r>
    </w:p>
    <w:p w14:paraId="77E13B96" w14:textId="01D7209F" w:rsidR="00E720EE" w:rsidRPr="001B46A3" w:rsidRDefault="000E01CB" w:rsidP="00E720E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0E01CB">
        <w:rPr>
          <w:rFonts w:eastAsia="Times New Roman" w:cs="Helvetica"/>
          <w:color w:val="575757"/>
          <w:sz w:val="24"/>
          <w:szCs w:val="24"/>
          <w:lang w:val="bg-BG"/>
        </w:rPr>
        <w:t>Дванадесет от четиринадесетте членове на Съвета изразиха съгласие с това решение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.</w:t>
      </w:r>
    </w:p>
    <w:p w14:paraId="16B7DB63" w14:textId="7F801E87" w:rsidR="00E720EE" w:rsidRPr="001B46A3" w:rsidRDefault="001104D5" w:rsidP="00E720EE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</w:rPr>
      </w:pPr>
      <w:r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>Стъпките от регламентираната процедура</w:t>
      </w:r>
      <w:r w:rsidR="00E720EE" w:rsidRPr="001B46A3">
        <w:rPr>
          <w:rFonts w:eastAsia="Times New Roman" w:cs="Helvetica"/>
          <w:b/>
          <w:bCs/>
          <w:i/>
          <w:iCs/>
          <w:color w:val="333333"/>
          <w:sz w:val="24"/>
          <w:szCs w:val="24"/>
        </w:rPr>
        <w:t xml:space="preserve"> </w:t>
      </w:r>
      <w:r w:rsidRPr="001104D5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>и разрешение за пристъпване към процедурата по гласуване</w:t>
      </w:r>
      <w:r w:rsidRPr="001104D5">
        <w:rPr>
          <w:rFonts w:eastAsia="Times New Roman" w:cs="Helvetica"/>
          <w:b/>
          <w:bCs/>
          <w:i/>
          <w:iCs/>
          <w:color w:val="333333"/>
          <w:sz w:val="24"/>
          <w:szCs w:val="24"/>
        </w:rPr>
        <w:t xml:space="preserve"> </w:t>
      </w:r>
      <w:r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>и общ преглед на измененията в</w:t>
      </w:r>
      <w:r w:rsidR="00E720EE" w:rsidRPr="001B46A3">
        <w:rPr>
          <w:rFonts w:eastAsia="Times New Roman" w:cs="Helvetica"/>
          <w:b/>
          <w:bCs/>
          <w:i/>
          <w:iCs/>
          <w:color w:val="333333"/>
          <w:sz w:val="24"/>
          <w:szCs w:val="24"/>
        </w:rPr>
        <w:t xml:space="preserve"> </w:t>
      </w:r>
      <w:r w:rsidR="005425A5" w:rsidRPr="005425A5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>МСФО</w:t>
      </w:r>
      <w:r w:rsidR="005425A5" w:rsidRPr="005425A5">
        <w:rPr>
          <w:rFonts w:eastAsia="Times New Roman" w:cs="Helvetica"/>
          <w:b/>
          <w:bCs/>
          <w:i/>
          <w:iCs/>
          <w:color w:val="333333"/>
          <w:sz w:val="24"/>
          <w:szCs w:val="24"/>
        </w:rPr>
        <w:t xml:space="preserve"> </w:t>
      </w:r>
      <w:r w:rsidR="00E720EE" w:rsidRPr="001B46A3">
        <w:rPr>
          <w:rFonts w:eastAsia="Times New Roman" w:cs="Helvetica"/>
          <w:b/>
          <w:bCs/>
          <w:i/>
          <w:iCs/>
          <w:color w:val="333333"/>
          <w:sz w:val="24"/>
          <w:szCs w:val="24"/>
        </w:rPr>
        <w:t>17</w:t>
      </w:r>
      <w:r w:rsidR="00D709FF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 xml:space="preserve"> </w:t>
      </w:r>
      <w:r w:rsidR="00E720EE" w:rsidRPr="001B46A3">
        <w:rPr>
          <w:rFonts w:eastAsia="Times New Roman" w:cs="Helvetica"/>
          <w:b/>
          <w:bCs/>
          <w:color w:val="333333"/>
          <w:sz w:val="24"/>
          <w:szCs w:val="24"/>
        </w:rPr>
        <w:t>(</w:t>
      </w:r>
      <w:r w:rsidR="001B46A3" w:rsidRPr="001B46A3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Документ</w:t>
      </w:r>
      <w:r w:rsidR="001B46A3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и</w:t>
      </w:r>
      <w:r w:rsidR="001B46A3" w:rsidRPr="001B46A3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по програмата</w:t>
      </w:r>
      <w:r w:rsidR="001B46A3" w:rsidRPr="001B46A3">
        <w:rPr>
          <w:rFonts w:eastAsia="Times New Roman" w:cs="Helvetica"/>
          <w:b/>
          <w:bCs/>
          <w:color w:val="333333"/>
          <w:sz w:val="24"/>
          <w:szCs w:val="24"/>
        </w:rPr>
        <w:t xml:space="preserve"> </w:t>
      </w:r>
      <w:r w:rsidR="00E720EE" w:rsidRPr="001B46A3">
        <w:rPr>
          <w:rFonts w:eastAsia="Times New Roman" w:cs="Helvetica"/>
          <w:b/>
          <w:bCs/>
          <w:color w:val="333333"/>
          <w:sz w:val="24"/>
          <w:szCs w:val="24"/>
        </w:rPr>
        <w:t>2</w:t>
      </w:r>
      <w:r w:rsidR="00D709FF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Б</w:t>
      </w:r>
      <w:r w:rsidR="00E720EE" w:rsidRPr="001B46A3">
        <w:rPr>
          <w:rFonts w:eastAsia="Times New Roman" w:cs="Helvetica"/>
          <w:b/>
          <w:bCs/>
          <w:color w:val="333333"/>
          <w:sz w:val="24"/>
          <w:szCs w:val="24"/>
        </w:rPr>
        <w:t>─2</w:t>
      </w:r>
      <w:r w:rsidR="00D709FF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В</w:t>
      </w:r>
      <w:r w:rsidR="00E720EE" w:rsidRPr="001B46A3">
        <w:rPr>
          <w:rFonts w:eastAsia="Times New Roman" w:cs="Helvetica"/>
          <w:b/>
          <w:bCs/>
          <w:color w:val="333333"/>
          <w:sz w:val="24"/>
          <w:szCs w:val="24"/>
        </w:rPr>
        <w:t>)</w:t>
      </w:r>
    </w:p>
    <w:p w14:paraId="26681C0A" w14:textId="0FDAD79F" w:rsidR="00E720EE" w:rsidRPr="001B46A3" w:rsidRDefault="001104D5" w:rsidP="00E720E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Всичките четиринадесет членове на Съвета потвърдиха, че са се уверили, че Съветът е изпълнил изискванията на приложимите стъпки от регламентираната процедура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и в частност е осъществил достатъчно консултации и анализи, за да се пристъпи към процедурата по гласуване на измененията в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 w:rsidR="005425A5" w:rsidRPr="005425A5">
        <w:rPr>
          <w:rFonts w:eastAsia="Times New Roman" w:cs="Helvetica"/>
          <w:iCs/>
          <w:color w:val="575757"/>
          <w:sz w:val="24"/>
          <w:szCs w:val="24"/>
          <w:lang w:val="bg-BG"/>
        </w:rPr>
        <w:t>МСФО</w:t>
      </w:r>
      <w:r w:rsidR="005425A5" w:rsidRPr="005425A5">
        <w:rPr>
          <w:rFonts w:eastAsia="Times New Roman" w:cs="Helvetica"/>
          <w:i/>
          <w:iCs/>
          <w:color w:val="575757"/>
          <w:sz w:val="24"/>
          <w:szCs w:val="24"/>
        </w:rPr>
        <w:t xml:space="preserve"> 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17 </w:t>
      </w:r>
      <w:r>
        <w:rPr>
          <w:rFonts w:eastAsia="Times New Roman" w:cs="Helvetica"/>
          <w:color w:val="575757"/>
          <w:sz w:val="24"/>
          <w:szCs w:val="24"/>
          <w:lang w:val="bg-BG"/>
        </w:rPr>
        <w:t>и изменението на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 w:rsidR="005425A5" w:rsidRPr="005425A5">
        <w:rPr>
          <w:rFonts w:eastAsia="Times New Roman" w:cs="Helvetica"/>
          <w:iCs/>
          <w:color w:val="575757"/>
          <w:sz w:val="24"/>
          <w:szCs w:val="24"/>
          <w:lang w:val="bg-BG"/>
        </w:rPr>
        <w:t>МСФО</w:t>
      </w:r>
      <w:r w:rsidR="005425A5" w:rsidRPr="005425A5">
        <w:rPr>
          <w:rFonts w:eastAsia="Times New Roman" w:cs="Helvetica"/>
          <w:i/>
          <w:iCs/>
          <w:color w:val="575757"/>
          <w:sz w:val="24"/>
          <w:szCs w:val="24"/>
        </w:rPr>
        <w:t xml:space="preserve"> 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4.</w:t>
      </w:r>
    </w:p>
    <w:p w14:paraId="03087285" w14:textId="5CB92B33" w:rsidR="00E720EE" w:rsidRPr="001B46A3" w:rsidRDefault="001104D5" w:rsidP="00E720E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Никой от членовете на Съвета не даде индикации, че възнамерява да изрази несъгласие с издаване на измененията в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 w:rsidR="005425A5" w:rsidRPr="005425A5">
        <w:rPr>
          <w:rFonts w:eastAsia="Times New Roman" w:cs="Helvetica"/>
          <w:iCs/>
          <w:color w:val="575757"/>
          <w:sz w:val="24"/>
          <w:szCs w:val="24"/>
          <w:lang w:val="bg-BG"/>
        </w:rPr>
        <w:t>МСФО</w:t>
      </w:r>
      <w:r w:rsidR="005425A5" w:rsidRPr="005425A5">
        <w:rPr>
          <w:rFonts w:eastAsia="Times New Roman" w:cs="Helvetica"/>
          <w:i/>
          <w:iCs/>
          <w:color w:val="575757"/>
          <w:sz w:val="24"/>
          <w:szCs w:val="24"/>
        </w:rPr>
        <w:t xml:space="preserve"> 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17 </w:t>
      </w:r>
      <w:r w:rsidRPr="001104D5">
        <w:rPr>
          <w:rFonts w:eastAsia="Times New Roman" w:cs="Helvetica"/>
          <w:color w:val="575757"/>
          <w:sz w:val="24"/>
          <w:szCs w:val="24"/>
          <w:lang w:val="bg-BG"/>
        </w:rPr>
        <w:t>и изменението на</w:t>
      </w:r>
      <w:r w:rsidRPr="001104D5">
        <w:rPr>
          <w:rFonts w:eastAsia="Times New Roman" w:cs="Helvetica"/>
          <w:color w:val="575757"/>
          <w:sz w:val="24"/>
          <w:szCs w:val="24"/>
        </w:rPr>
        <w:t xml:space="preserve"> </w:t>
      </w:r>
      <w:r w:rsidR="005425A5" w:rsidRPr="005425A5">
        <w:rPr>
          <w:rFonts w:eastAsia="Times New Roman" w:cs="Helvetica"/>
          <w:iCs/>
          <w:color w:val="575757"/>
          <w:sz w:val="24"/>
          <w:szCs w:val="24"/>
          <w:lang w:val="bg-BG"/>
        </w:rPr>
        <w:t>МСФО</w:t>
      </w:r>
      <w:r w:rsidR="005425A5" w:rsidRPr="005425A5">
        <w:rPr>
          <w:rFonts w:eastAsia="Times New Roman" w:cs="Helvetica"/>
          <w:i/>
          <w:iCs/>
          <w:color w:val="575757"/>
          <w:sz w:val="24"/>
          <w:szCs w:val="24"/>
        </w:rPr>
        <w:t xml:space="preserve"> 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4.</w:t>
      </w:r>
    </w:p>
    <w:p w14:paraId="761E0558" w14:textId="207B8566" w:rsidR="00E720EE" w:rsidRPr="001B46A3" w:rsidRDefault="001B46A3" w:rsidP="00E720EE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</w:rPr>
      </w:pPr>
      <w:r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>Следващи етапи</w:t>
      </w:r>
    </w:p>
    <w:p w14:paraId="78C0078A" w14:textId="52D9E7B6" w:rsidR="00E720EE" w:rsidRPr="001B46A3" w:rsidRDefault="001104D5" w:rsidP="00E720E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Съветът очаква да издаде измененията в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 w:rsidR="005425A5" w:rsidRPr="005425A5">
        <w:rPr>
          <w:rFonts w:eastAsia="Times New Roman" w:cs="Helvetica"/>
          <w:iCs/>
          <w:color w:val="575757"/>
          <w:sz w:val="24"/>
          <w:szCs w:val="24"/>
          <w:lang w:val="bg-BG"/>
        </w:rPr>
        <w:t>МСФО</w:t>
      </w:r>
      <w:r w:rsidR="005425A5" w:rsidRPr="005425A5">
        <w:rPr>
          <w:rFonts w:eastAsia="Times New Roman" w:cs="Helvetica"/>
          <w:i/>
          <w:iCs/>
          <w:color w:val="575757"/>
          <w:sz w:val="24"/>
          <w:szCs w:val="24"/>
        </w:rPr>
        <w:t xml:space="preserve"> 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17 </w:t>
      </w:r>
      <w:r>
        <w:rPr>
          <w:rFonts w:eastAsia="Times New Roman" w:cs="Helvetica"/>
          <w:color w:val="575757"/>
          <w:sz w:val="24"/>
          <w:szCs w:val="24"/>
          <w:lang w:val="bg-BG"/>
        </w:rPr>
        <w:t>през второто тримесечие на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2020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г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.</w:t>
      </w:r>
    </w:p>
    <w:p w14:paraId="79EE32BD" w14:textId="11F3DF4B" w:rsidR="00E720EE" w:rsidRPr="001B46A3" w:rsidRDefault="001104D5" w:rsidP="00E720EE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</w:rPr>
      </w:pPr>
      <w:bookmarkStart w:id="1" w:name="2"/>
      <w:r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Дейности с регулирани цени</w:t>
      </w:r>
      <w:r w:rsidR="00E720EE" w:rsidRPr="001B46A3">
        <w:rPr>
          <w:rFonts w:eastAsia="Times New Roman" w:cs="Helvetica"/>
          <w:b/>
          <w:bCs/>
          <w:color w:val="CD3333"/>
          <w:sz w:val="34"/>
          <w:szCs w:val="34"/>
        </w:rPr>
        <w:t xml:space="preserve"> (</w:t>
      </w:r>
      <w:r w:rsidR="001B46A3" w:rsidRPr="001B46A3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</w:t>
      </w:r>
      <w:r w:rsidR="001B46A3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и</w:t>
      </w:r>
      <w:r w:rsidR="001B46A3" w:rsidRPr="001B46A3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по програмата</w:t>
      </w:r>
      <w:r w:rsidR="001B46A3" w:rsidRPr="001B46A3">
        <w:rPr>
          <w:rFonts w:eastAsia="Times New Roman" w:cs="Helvetica"/>
          <w:b/>
          <w:bCs/>
          <w:color w:val="CD3333"/>
          <w:sz w:val="34"/>
          <w:szCs w:val="34"/>
        </w:rPr>
        <w:t xml:space="preserve"> </w:t>
      </w:r>
      <w:r w:rsidR="00E720EE" w:rsidRPr="001B46A3">
        <w:rPr>
          <w:rFonts w:eastAsia="Times New Roman" w:cs="Helvetica"/>
          <w:b/>
          <w:bCs/>
          <w:color w:val="CD3333"/>
          <w:sz w:val="34"/>
          <w:szCs w:val="34"/>
        </w:rPr>
        <w:t>9–9</w:t>
      </w:r>
      <w:r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Г</w:t>
      </w:r>
      <w:r w:rsidR="00E720EE" w:rsidRPr="001B46A3">
        <w:rPr>
          <w:rFonts w:eastAsia="Times New Roman" w:cs="Helvetica"/>
          <w:b/>
          <w:bCs/>
          <w:color w:val="CD3333"/>
          <w:sz w:val="34"/>
          <w:szCs w:val="34"/>
        </w:rPr>
        <w:t>)</w:t>
      </w:r>
      <w:bookmarkEnd w:id="1"/>
    </w:p>
    <w:p w14:paraId="421D755F" w14:textId="64C28BC6" w:rsidR="00E720EE" w:rsidRPr="001B46A3" w:rsidRDefault="001B46A3" w:rsidP="00E720E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1B46A3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Съветът проведе заседание на</w:t>
      </w:r>
      <w:r w:rsidRPr="001B46A3">
        <w:rPr>
          <w:rFonts w:eastAsia="Times New Roman" w:cs="Helvetica"/>
          <w:color w:val="575757"/>
          <w:sz w:val="24"/>
          <w:szCs w:val="24"/>
        </w:rPr>
        <w:t xml:space="preserve"> 1</w:t>
      </w:r>
      <w:r>
        <w:rPr>
          <w:rFonts w:eastAsia="Times New Roman" w:cs="Helvetica"/>
          <w:color w:val="575757"/>
          <w:sz w:val="24"/>
          <w:szCs w:val="24"/>
          <w:lang w:val="bg-BG"/>
        </w:rPr>
        <w:t>9</w:t>
      </w:r>
      <w:r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 w:rsidRPr="001B46A3">
        <w:rPr>
          <w:rFonts w:eastAsia="Times New Roman" w:cs="Helvetica"/>
          <w:color w:val="575757"/>
          <w:sz w:val="24"/>
          <w:szCs w:val="24"/>
          <w:lang w:val="bg-BG"/>
        </w:rPr>
        <w:t>март</w:t>
      </w:r>
      <w:r w:rsidRPr="001B46A3">
        <w:rPr>
          <w:rFonts w:eastAsia="Times New Roman" w:cs="Helvetica"/>
          <w:color w:val="575757"/>
          <w:sz w:val="24"/>
          <w:szCs w:val="24"/>
        </w:rPr>
        <w:t xml:space="preserve"> 2020</w:t>
      </w:r>
      <w:r w:rsidRPr="001B46A3">
        <w:rPr>
          <w:rFonts w:eastAsia="Times New Roman" w:cs="Helvetica"/>
          <w:color w:val="575757"/>
          <w:sz w:val="24"/>
          <w:szCs w:val="24"/>
          <w:lang w:val="bg-BG"/>
        </w:rPr>
        <w:t xml:space="preserve"> г., за да обсъди</w:t>
      </w:r>
      <w:r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 w:rsidR="00E74FAD">
        <w:rPr>
          <w:rFonts w:eastAsia="Times New Roman" w:cs="Helvetica"/>
          <w:color w:val="575757"/>
          <w:sz w:val="24"/>
          <w:szCs w:val="24"/>
          <w:lang w:val="bg-BG"/>
        </w:rPr>
        <w:t>третирането на „целевата печалба“ в счетоводния модел, който Съветът разработва по отношение на регулаторните активи и регулаторните пасиви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. </w:t>
      </w:r>
      <w:r w:rsidR="00E74FAD">
        <w:rPr>
          <w:rFonts w:eastAsia="Times New Roman" w:cs="Helvetica"/>
          <w:color w:val="575757"/>
          <w:sz w:val="24"/>
          <w:szCs w:val="24"/>
          <w:lang w:val="bg-BG"/>
        </w:rPr>
        <w:t>Целевата печалба е печалбата, която предприятието има право да включи в регулираната цена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. </w:t>
      </w:r>
      <w:r w:rsidR="00E74FAD">
        <w:rPr>
          <w:rFonts w:eastAsia="Times New Roman" w:cs="Helvetica"/>
          <w:color w:val="575757"/>
          <w:sz w:val="24"/>
          <w:szCs w:val="24"/>
          <w:lang w:val="bg-BG"/>
        </w:rPr>
        <w:t>Принципите, които Съветът вече обсъди, установяват кога следните елементи от целевата печалба представляват част от общата допустима компенсация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:</w:t>
      </w:r>
    </w:p>
    <w:p w14:paraId="7F2C88F6" w14:textId="70C88A8D" w:rsidR="00E720EE" w:rsidRPr="001B46A3" w:rsidRDefault="00E74FAD" w:rsidP="00E720EE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регулаторна лихва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—</w:t>
      </w:r>
      <w:r>
        <w:rPr>
          <w:rFonts w:eastAsia="Times New Roman" w:cs="Helvetica"/>
          <w:color w:val="575757"/>
          <w:sz w:val="24"/>
          <w:szCs w:val="24"/>
          <w:lang w:val="bg-BG"/>
        </w:rPr>
        <w:t>в течение на периода, през който съответният регулаторен актив или регулаторен пасив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остава открит/неуреден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; </w:t>
      </w:r>
      <w:r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14:paraId="6A8F4232" w14:textId="00B6627C" w:rsidR="00E720EE" w:rsidRPr="001B46A3" w:rsidRDefault="00E74FAD" w:rsidP="00E720EE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маржове на печалбата, които варират със сумата на разхода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, </w:t>
      </w:r>
      <w:r>
        <w:rPr>
          <w:rFonts w:eastAsia="Times New Roman" w:cs="Helvetica"/>
          <w:color w:val="575757"/>
          <w:sz w:val="24"/>
          <w:szCs w:val="24"/>
          <w:lang w:val="bg-BG"/>
        </w:rPr>
        <w:t>например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, </w:t>
      </w:r>
      <w:r>
        <w:rPr>
          <w:rFonts w:eastAsia="Times New Roman" w:cs="Helvetica"/>
          <w:color w:val="575757"/>
          <w:sz w:val="24"/>
          <w:szCs w:val="24"/>
          <w:lang w:val="bg-BG"/>
        </w:rPr>
        <w:t>фиксирана процентна надценка върху разходите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—</w:t>
      </w:r>
      <w:r>
        <w:rPr>
          <w:rFonts w:eastAsia="Times New Roman" w:cs="Helvetica"/>
          <w:color w:val="575757"/>
          <w:sz w:val="24"/>
          <w:szCs w:val="24"/>
          <w:lang w:val="bg-BG"/>
        </w:rPr>
        <w:t>когато съответният разход се признава в съответствие с МСФО стандартите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.</w:t>
      </w:r>
    </w:p>
    <w:p w14:paraId="14EB69AF" w14:textId="30614186" w:rsidR="00E720EE" w:rsidRPr="001B46A3" w:rsidRDefault="00E74FAD" w:rsidP="00E720E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Съветът обсъди въпроса как предприятието следва да определя кога други елементи от целевата печалба представляват част от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 w:rsidRPr="00E74FAD">
        <w:rPr>
          <w:rFonts w:eastAsia="Times New Roman" w:cs="Helvetica"/>
          <w:color w:val="575757"/>
          <w:sz w:val="24"/>
          <w:szCs w:val="24"/>
          <w:lang w:val="bg-BG"/>
        </w:rPr>
        <w:t>общата допустима компенсация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. </w:t>
      </w:r>
      <w:r w:rsidR="005425A5" w:rsidRPr="005425A5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 w:rsidR="005425A5">
        <w:rPr>
          <w:rFonts w:eastAsia="Times New Roman" w:cs="Helvetica"/>
          <w:color w:val="575757"/>
          <w:sz w:val="24"/>
          <w:szCs w:val="24"/>
          <w:lang w:val="bg-BG"/>
        </w:rPr>
        <w:t>, че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:</w:t>
      </w:r>
    </w:p>
    <w:p w14:paraId="2642192C" w14:textId="60EA2010" w:rsidR="00E720EE" w:rsidRPr="001B46A3" w:rsidRDefault="00E74FAD" w:rsidP="00E720EE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регулаторна</w:t>
      </w:r>
      <w:r w:rsidR="00AB2702">
        <w:rPr>
          <w:rFonts w:eastAsia="Times New Roman" w:cs="Helvetica"/>
          <w:color w:val="575757"/>
          <w:sz w:val="24"/>
          <w:szCs w:val="24"/>
          <w:lang w:val="bg-BG"/>
        </w:rPr>
        <w:t>та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възвръщаемост на база незавършено строителство, включена в регулаторните цени, начислявани на клиентите по време на периода на строителство съставляват част от </w:t>
      </w:r>
      <w:r w:rsidRPr="00E74FAD">
        <w:rPr>
          <w:rFonts w:eastAsia="Times New Roman" w:cs="Helvetica"/>
          <w:color w:val="575757"/>
          <w:sz w:val="24"/>
          <w:szCs w:val="24"/>
          <w:lang w:val="bg-BG"/>
        </w:rPr>
        <w:t>общата допустима компенсация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само през периода, през който активът е в действие и се използва за</w:t>
      </w:r>
      <w:r w:rsidR="00AB2702">
        <w:rPr>
          <w:rFonts w:eastAsia="Times New Roman" w:cs="Helvetica"/>
          <w:color w:val="575757"/>
          <w:sz w:val="24"/>
          <w:szCs w:val="24"/>
          <w:lang w:val="bg-BG"/>
        </w:rPr>
        <w:t xml:space="preserve"> доставка на стоки или услуги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. </w:t>
      </w:r>
      <w:r w:rsidR="000E01CB">
        <w:rPr>
          <w:rFonts w:eastAsia="Times New Roman" w:cs="Helvetica"/>
          <w:color w:val="575757"/>
          <w:sz w:val="24"/>
          <w:szCs w:val="24"/>
          <w:lang w:val="bg-BG"/>
        </w:rPr>
        <w:t>Всичките четиринадесет членове на Съвета изразиха съгласие с това решение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.</w:t>
      </w:r>
    </w:p>
    <w:p w14:paraId="50CC621C" w14:textId="712011A8" w:rsidR="00E720EE" w:rsidRPr="001B46A3" w:rsidRDefault="00AB2702" w:rsidP="00E720EE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стимули</w:t>
      </w:r>
      <w:r w:rsidR="00185CF0">
        <w:rPr>
          <w:rFonts w:eastAsia="Times New Roman" w:cs="Helvetica"/>
          <w:color w:val="575757"/>
          <w:sz w:val="24"/>
          <w:szCs w:val="24"/>
          <w:lang w:val="bg-BG"/>
        </w:rPr>
        <w:t>те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за резултати от дейността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(</w:t>
      </w:r>
      <w:r>
        <w:rPr>
          <w:rFonts w:eastAsia="Times New Roman" w:cs="Helvetica"/>
          <w:color w:val="575757"/>
          <w:sz w:val="24"/>
          <w:szCs w:val="24"/>
          <w:lang w:val="bg-BG"/>
        </w:rPr>
        <w:t>независимо дали свързани със строителство или не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) </w:t>
      </w:r>
      <w:r w:rsidRPr="00AB2702">
        <w:rPr>
          <w:rFonts w:eastAsia="Times New Roman" w:cs="Helvetica"/>
          <w:color w:val="575757"/>
          <w:sz w:val="24"/>
          <w:szCs w:val="24"/>
          <w:lang w:val="bg-BG"/>
        </w:rPr>
        <w:t xml:space="preserve">съставляват част от </w:t>
      </w:r>
      <w:r w:rsidR="00E74FAD" w:rsidRPr="00E74FAD">
        <w:rPr>
          <w:rFonts w:eastAsia="Times New Roman" w:cs="Helvetica"/>
          <w:color w:val="575757"/>
          <w:sz w:val="24"/>
          <w:szCs w:val="24"/>
          <w:lang w:val="bg-BG"/>
        </w:rPr>
        <w:t>общата допустима компенсация</w:t>
      </w:r>
      <w:r w:rsidR="00E74FAD" w:rsidRPr="00E74FAD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по отношение на стоки и услуги,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доставени през периода, през който съответните критерии за резултати от дейността са обект на текущо наблюдение и оценка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. </w:t>
      </w:r>
      <w:r w:rsidR="000E01CB" w:rsidRPr="000E01CB">
        <w:rPr>
          <w:rFonts w:eastAsia="Times New Roman" w:cs="Helvetica"/>
          <w:color w:val="575757"/>
          <w:sz w:val="24"/>
          <w:szCs w:val="24"/>
          <w:lang w:val="bg-BG"/>
        </w:rPr>
        <w:t>Дванадесет от четиринадесетте членове на Съвета изразиха съгласие с това решение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.</w:t>
      </w:r>
    </w:p>
    <w:p w14:paraId="4BDC9DB2" w14:textId="764A02DC" w:rsidR="00E720EE" w:rsidRPr="001B46A3" w:rsidRDefault="00AB2702" w:rsidP="00E720EE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всички останали елементи на целевата печалба, които регулаторното споразумение дава право на предприятието да начислява на клиентите в даден период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, </w:t>
      </w:r>
      <w:r>
        <w:rPr>
          <w:rFonts w:eastAsia="Times New Roman" w:cs="Helvetica"/>
          <w:color w:val="575757"/>
          <w:sz w:val="24"/>
          <w:szCs w:val="24"/>
          <w:lang w:val="bg-BG"/>
        </w:rPr>
        <w:t>включително регулаторна възвръщаемост на база регулаторен капитал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, </w:t>
      </w:r>
      <w:r w:rsidRPr="00AB2702">
        <w:rPr>
          <w:rFonts w:eastAsia="Times New Roman" w:cs="Helvetica"/>
          <w:color w:val="575757"/>
          <w:sz w:val="24"/>
          <w:szCs w:val="24"/>
          <w:lang w:val="bg-BG"/>
        </w:rPr>
        <w:t xml:space="preserve">съставляват част от </w:t>
      </w:r>
      <w:r w:rsidR="00E74FAD" w:rsidRPr="00E74FAD">
        <w:rPr>
          <w:rFonts w:eastAsia="Times New Roman" w:cs="Helvetica"/>
          <w:color w:val="575757"/>
          <w:sz w:val="24"/>
          <w:szCs w:val="24"/>
          <w:lang w:val="bg-BG"/>
        </w:rPr>
        <w:t>общата допустима компенсация</w:t>
      </w:r>
      <w:r w:rsidR="00E74FAD" w:rsidRPr="00E74FAD">
        <w:rPr>
          <w:rFonts w:eastAsia="Times New Roman" w:cs="Helvetica"/>
          <w:color w:val="575757"/>
          <w:sz w:val="24"/>
          <w:szCs w:val="24"/>
        </w:rPr>
        <w:t xml:space="preserve"> </w:t>
      </w:r>
      <w:r w:rsidRPr="00AB2702">
        <w:rPr>
          <w:rFonts w:eastAsia="Times New Roman" w:cs="Helvetica"/>
          <w:color w:val="575757"/>
          <w:sz w:val="24"/>
          <w:szCs w:val="24"/>
          <w:lang w:val="bg-BG"/>
        </w:rPr>
        <w:t>по отношение на стоки и услуги,</w:t>
      </w:r>
      <w:r w:rsidRPr="00AB2702">
        <w:rPr>
          <w:rFonts w:eastAsia="Times New Roman" w:cs="Helvetica"/>
          <w:color w:val="575757"/>
          <w:sz w:val="24"/>
          <w:szCs w:val="24"/>
        </w:rPr>
        <w:t xml:space="preserve"> </w:t>
      </w:r>
      <w:r w:rsidRPr="00AB2702">
        <w:rPr>
          <w:rFonts w:eastAsia="Times New Roman" w:cs="Helvetica"/>
          <w:color w:val="575757"/>
          <w:sz w:val="24"/>
          <w:szCs w:val="24"/>
          <w:lang w:val="bg-BG"/>
        </w:rPr>
        <w:t xml:space="preserve">доставени </w:t>
      </w:r>
      <w:r>
        <w:rPr>
          <w:rFonts w:eastAsia="Times New Roman" w:cs="Helvetica"/>
          <w:color w:val="575757"/>
          <w:sz w:val="24"/>
          <w:szCs w:val="24"/>
          <w:lang w:val="bg-BG"/>
        </w:rPr>
        <w:t>в този период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. </w:t>
      </w:r>
      <w:r w:rsidR="000E01CB">
        <w:rPr>
          <w:rFonts w:eastAsia="Times New Roman" w:cs="Helvetica"/>
          <w:color w:val="575757"/>
          <w:sz w:val="24"/>
          <w:szCs w:val="24"/>
          <w:lang w:val="bg-BG"/>
        </w:rPr>
        <w:t>Тринадесет</w:t>
      </w:r>
      <w:r w:rsidR="000E01CB" w:rsidRPr="000E01CB">
        <w:rPr>
          <w:rFonts w:eastAsia="Times New Roman" w:cs="Helvetica"/>
          <w:color w:val="575757"/>
          <w:sz w:val="24"/>
          <w:szCs w:val="24"/>
          <w:lang w:val="bg-BG"/>
        </w:rPr>
        <w:t xml:space="preserve"> от четиринадесетте членове на Съвета изразиха съгласие с това решение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.</w:t>
      </w:r>
    </w:p>
    <w:p w14:paraId="699A811D" w14:textId="38E2839E" w:rsidR="00E720EE" w:rsidRPr="001B46A3" w:rsidRDefault="001B46A3" w:rsidP="000E01CB">
      <w:pPr>
        <w:shd w:val="clear" w:color="auto" w:fill="FFFFFF"/>
        <w:tabs>
          <w:tab w:val="left" w:pos="7791"/>
        </w:tabs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</w:rPr>
      </w:pPr>
      <w:r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>Следващ етап</w:t>
      </w:r>
      <w:r w:rsidR="000E01CB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ab/>
      </w:r>
    </w:p>
    <w:p w14:paraId="6758325D" w14:textId="0E72905E" w:rsidR="00E720EE" w:rsidRPr="001B46A3" w:rsidRDefault="00AB2702" w:rsidP="00E720E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Съветът очаква да публикува проект за обсъждане през втората половина на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2020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г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.</w:t>
      </w:r>
    </w:p>
    <w:p w14:paraId="3D910B27" w14:textId="4C4EC5E6" w:rsidR="00E720EE" w:rsidRPr="001B46A3" w:rsidRDefault="00AB2702" w:rsidP="00E720EE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</w:rPr>
      </w:pPr>
      <w:bookmarkStart w:id="2" w:name="3"/>
      <w:r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Коментар на ръководството</w:t>
      </w:r>
      <w:r w:rsidR="00E720EE" w:rsidRPr="001B46A3">
        <w:rPr>
          <w:rFonts w:eastAsia="Times New Roman" w:cs="Helvetica"/>
          <w:b/>
          <w:bCs/>
          <w:color w:val="CD3333"/>
          <w:sz w:val="34"/>
          <w:szCs w:val="34"/>
        </w:rPr>
        <w:t xml:space="preserve"> (</w:t>
      </w:r>
      <w:r w:rsidR="001B46A3" w:rsidRPr="001B46A3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1B46A3" w:rsidRPr="001B46A3">
        <w:rPr>
          <w:rFonts w:eastAsia="Times New Roman" w:cs="Helvetica"/>
          <w:b/>
          <w:bCs/>
          <w:color w:val="CD3333"/>
          <w:sz w:val="34"/>
          <w:szCs w:val="34"/>
        </w:rPr>
        <w:t xml:space="preserve"> </w:t>
      </w:r>
      <w:r w:rsidR="00E720EE" w:rsidRPr="001B46A3">
        <w:rPr>
          <w:rFonts w:eastAsia="Times New Roman" w:cs="Helvetica"/>
          <w:b/>
          <w:bCs/>
          <w:color w:val="CD3333"/>
          <w:sz w:val="34"/>
          <w:szCs w:val="34"/>
        </w:rPr>
        <w:t>15)</w:t>
      </w:r>
      <w:bookmarkEnd w:id="2"/>
    </w:p>
    <w:p w14:paraId="0065AA31" w14:textId="01753178" w:rsidR="00E720EE" w:rsidRPr="001B46A3" w:rsidRDefault="001B46A3" w:rsidP="00E720E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1B46A3">
        <w:rPr>
          <w:rFonts w:eastAsia="Times New Roman" w:cs="Helvetica"/>
          <w:color w:val="575757"/>
          <w:sz w:val="24"/>
          <w:szCs w:val="24"/>
          <w:lang w:val="bg-BG"/>
        </w:rPr>
        <w:t>Съветът проведе заседание на</w:t>
      </w:r>
      <w:r w:rsidRPr="001B46A3">
        <w:rPr>
          <w:rFonts w:eastAsia="Times New Roman" w:cs="Helvetica"/>
          <w:color w:val="575757"/>
          <w:sz w:val="24"/>
          <w:szCs w:val="24"/>
        </w:rPr>
        <w:t xml:space="preserve"> 1</w:t>
      </w:r>
      <w:r w:rsidRPr="001B46A3">
        <w:rPr>
          <w:rFonts w:eastAsia="Times New Roman" w:cs="Helvetica"/>
          <w:color w:val="575757"/>
          <w:sz w:val="24"/>
          <w:szCs w:val="24"/>
          <w:lang w:val="bg-BG"/>
        </w:rPr>
        <w:t>9</w:t>
      </w:r>
      <w:r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 w:rsidRPr="001B46A3">
        <w:rPr>
          <w:rFonts w:eastAsia="Times New Roman" w:cs="Helvetica"/>
          <w:color w:val="575757"/>
          <w:sz w:val="24"/>
          <w:szCs w:val="24"/>
          <w:lang w:val="bg-BG"/>
        </w:rPr>
        <w:t>март</w:t>
      </w:r>
      <w:r w:rsidRPr="001B46A3">
        <w:rPr>
          <w:rFonts w:eastAsia="Times New Roman" w:cs="Helvetica"/>
          <w:color w:val="575757"/>
          <w:sz w:val="24"/>
          <w:szCs w:val="24"/>
        </w:rPr>
        <w:t xml:space="preserve"> 2020</w:t>
      </w:r>
      <w:r w:rsidRPr="001B46A3">
        <w:rPr>
          <w:rFonts w:eastAsia="Times New Roman" w:cs="Helvetica"/>
          <w:color w:val="575757"/>
          <w:sz w:val="24"/>
          <w:szCs w:val="24"/>
          <w:lang w:val="bg-BG"/>
        </w:rPr>
        <w:t xml:space="preserve"> г., за да обсъди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:</w:t>
      </w:r>
    </w:p>
    <w:p w14:paraId="573ED72A" w14:textId="76525A88" w:rsidR="00E720EE" w:rsidRPr="001B46A3" w:rsidRDefault="00A81C89" w:rsidP="00E720EE">
      <w:pPr>
        <w:numPr>
          <w:ilvl w:val="0"/>
          <w:numId w:val="6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целта на коментара на ръководството, която да бъде включена в преработеното Изложение за практика по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 w:rsidR="005425A5" w:rsidRPr="005425A5">
        <w:rPr>
          <w:rFonts w:eastAsia="Times New Roman" w:cs="Helvetica"/>
          <w:iCs/>
          <w:color w:val="575757"/>
          <w:sz w:val="24"/>
          <w:szCs w:val="24"/>
          <w:lang w:val="bg-BG"/>
        </w:rPr>
        <w:t>МСФО</w:t>
      </w:r>
      <w:r w:rsidR="005425A5" w:rsidRPr="005425A5">
        <w:rPr>
          <w:rFonts w:eastAsia="Times New Roman" w:cs="Helvetica"/>
          <w:i/>
          <w:iCs/>
          <w:color w:val="575757"/>
          <w:sz w:val="24"/>
          <w:szCs w:val="24"/>
        </w:rPr>
        <w:t xml:space="preserve"> 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1 </w:t>
      </w:r>
      <w:r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Коментар на ръководството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 (</w:t>
      </w:r>
      <w:r>
        <w:rPr>
          <w:rFonts w:eastAsia="Times New Roman" w:cs="Helvetica"/>
          <w:color w:val="575757"/>
          <w:sz w:val="24"/>
          <w:szCs w:val="24"/>
          <w:lang w:val="bg-BG"/>
        </w:rPr>
        <w:t>„Изложението за практика“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), </w:t>
      </w:r>
      <w:r>
        <w:rPr>
          <w:rFonts w:eastAsia="Times New Roman" w:cs="Helvetica"/>
          <w:color w:val="575757"/>
          <w:sz w:val="24"/>
          <w:szCs w:val="24"/>
          <w:lang w:val="bg-BG"/>
        </w:rPr>
        <w:t>надграждайки над първоначалната дискусия на Съвета относно целта през ноември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2018</w:t>
      </w:r>
      <w:r w:rsidR="00185CF0">
        <w:rPr>
          <w:rFonts w:eastAsia="Times New Roman" w:cs="Helvetica"/>
          <w:color w:val="575757"/>
          <w:sz w:val="24"/>
          <w:szCs w:val="24"/>
          <w:lang w:val="bg-BG"/>
        </w:rPr>
        <w:t xml:space="preserve"> г. 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—</w:t>
      </w:r>
      <w:r w:rsidR="005425A5" w:rsidRPr="005425A5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</w:t>
      </w:r>
      <w:r w:rsidR="005425A5" w:rsidRPr="005425A5">
        <w:rPr>
          <w:rFonts w:eastAsia="Times New Roman" w:cs="Helvetica"/>
          <w:bCs/>
          <w:color w:val="575757"/>
          <w:sz w:val="24"/>
          <w:szCs w:val="24"/>
          <w:lang w:val="bg-BG"/>
        </w:rPr>
        <w:t>Документ по програмата</w:t>
      </w:r>
      <w:r w:rsidR="005425A5" w:rsidRPr="005425A5">
        <w:rPr>
          <w:rFonts w:eastAsia="Times New Roman" w:cs="Helvetica"/>
          <w:b/>
          <w:bCs/>
          <w:color w:val="575757"/>
          <w:sz w:val="24"/>
          <w:szCs w:val="24"/>
        </w:rPr>
        <w:t xml:space="preserve"> 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15A; </w:t>
      </w:r>
      <w:r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14:paraId="20D15D66" w14:textId="71C242A0" w:rsidR="00E720EE" w:rsidRPr="001B46A3" w:rsidRDefault="00A81C89" w:rsidP="00E720EE">
      <w:pPr>
        <w:numPr>
          <w:ilvl w:val="0"/>
          <w:numId w:val="6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целите на оповестяването по отношение на някои видове съдържание в коментара на ръководството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—</w:t>
      </w:r>
      <w:r w:rsidR="005425A5" w:rsidRPr="005425A5">
        <w:rPr>
          <w:rFonts w:eastAsia="Times New Roman" w:cs="Helvetica"/>
          <w:bCs/>
          <w:color w:val="575757"/>
          <w:sz w:val="24"/>
          <w:szCs w:val="24"/>
          <w:lang w:val="bg-BG"/>
        </w:rPr>
        <w:t xml:space="preserve"> Документ по програмата</w:t>
      </w:r>
      <w:r w:rsidR="005425A5" w:rsidRPr="005425A5">
        <w:rPr>
          <w:rFonts w:eastAsia="Times New Roman" w:cs="Helvetica"/>
          <w:b/>
          <w:bCs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</w:rPr>
        <w:t>15Б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.</w:t>
      </w:r>
    </w:p>
    <w:p w14:paraId="1AF8CC94" w14:textId="7F92CA28" w:rsidR="00E720EE" w:rsidRPr="001B46A3" w:rsidRDefault="00A81C89" w:rsidP="00E720E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Съветът обсъди също така и планове за реда на темите на бъдещи заседания и за разработване на насоки по тези теми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(</w:t>
      </w:r>
      <w:r w:rsidR="005425A5" w:rsidRPr="005425A5">
        <w:rPr>
          <w:rFonts w:eastAsia="Times New Roman" w:cs="Helvetica"/>
          <w:bCs/>
          <w:color w:val="575757"/>
          <w:sz w:val="24"/>
          <w:szCs w:val="24"/>
          <w:lang w:val="bg-BG"/>
        </w:rPr>
        <w:t>Документ по програмата</w:t>
      </w:r>
      <w:r w:rsidR="005425A5" w:rsidRPr="005425A5">
        <w:rPr>
          <w:rFonts w:eastAsia="Times New Roman" w:cs="Helvetica"/>
          <w:b/>
          <w:bCs/>
          <w:color w:val="575757"/>
          <w:sz w:val="24"/>
          <w:szCs w:val="24"/>
        </w:rPr>
        <w:t xml:space="preserve"> 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15). </w:t>
      </w:r>
      <w:r>
        <w:rPr>
          <w:rFonts w:eastAsia="Times New Roman" w:cs="Helvetica"/>
          <w:color w:val="575757"/>
          <w:sz w:val="24"/>
          <w:szCs w:val="24"/>
          <w:lang w:val="bg-BG"/>
        </w:rPr>
        <w:t>От Съвета не бе поискано да взема решения във връзка с тези планове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.</w:t>
      </w:r>
    </w:p>
    <w:p w14:paraId="55CCF7EC" w14:textId="4479C6F9" w:rsidR="00E720EE" w:rsidRPr="001B46A3" w:rsidRDefault="00A81C89" w:rsidP="00E720EE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</w:rPr>
      </w:pPr>
      <w:r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 xml:space="preserve">Целта на коментара на ръководството </w:t>
      </w:r>
      <w:r w:rsidR="00E720EE" w:rsidRPr="001B46A3">
        <w:rPr>
          <w:rFonts w:eastAsia="Times New Roman" w:cs="Helvetica"/>
          <w:b/>
          <w:bCs/>
          <w:color w:val="333333"/>
          <w:sz w:val="24"/>
          <w:szCs w:val="24"/>
        </w:rPr>
        <w:t>(</w:t>
      </w:r>
      <w:r w:rsidR="001B46A3" w:rsidRPr="001B46A3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Документ по програмата</w:t>
      </w:r>
      <w:r w:rsidR="001B46A3" w:rsidRPr="001B46A3">
        <w:rPr>
          <w:rFonts w:eastAsia="Times New Roman" w:cs="Helvetica"/>
          <w:b/>
          <w:bCs/>
          <w:color w:val="333333"/>
          <w:sz w:val="24"/>
          <w:szCs w:val="24"/>
        </w:rPr>
        <w:t xml:space="preserve"> </w:t>
      </w:r>
      <w:r w:rsidR="00E720EE" w:rsidRPr="001B46A3">
        <w:rPr>
          <w:rFonts w:eastAsia="Times New Roman" w:cs="Helvetica"/>
          <w:b/>
          <w:bCs/>
          <w:color w:val="333333"/>
          <w:sz w:val="24"/>
          <w:szCs w:val="24"/>
        </w:rPr>
        <w:t>15A) </w:t>
      </w:r>
    </w:p>
    <w:p w14:paraId="334FEE61" w14:textId="4787418D" w:rsidR="00E720EE" w:rsidRPr="001B46A3" w:rsidRDefault="005425A5" w:rsidP="00E720E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5425A5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>
        <w:rPr>
          <w:rFonts w:eastAsia="Times New Roman" w:cs="Helvetica"/>
          <w:color w:val="575757"/>
          <w:sz w:val="24"/>
          <w:szCs w:val="24"/>
          <w:lang w:val="bg-BG"/>
        </w:rPr>
        <w:t>, че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 w:rsidR="00CF7841">
        <w:rPr>
          <w:rFonts w:eastAsia="Times New Roman" w:cs="Helvetica"/>
          <w:color w:val="575757"/>
          <w:sz w:val="24"/>
          <w:szCs w:val="24"/>
          <w:lang w:val="bg-BG"/>
        </w:rPr>
        <w:t>преработеното Изложение за практика следва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:</w:t>
      </w:r>
    </w:p>
    <w:p w14:paraId="1C78CA52" w14:textId="419FED00" w:rsidR="00E720EE" w:rsidRPr="001B46A3" w:rsidRDefault="00CF7841" w:rsidP="00E720EE">
      <w:pPr>
        <w:numPr>
          <w:ilvl w:val="0"/>
          <w:numId w:val="7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да запази твърдението, че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коментарът на ръководството се изготвя за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настоящи и потенциални инвеститори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, </w:t>
      </w:r>
      <w:r>
        <w:rPr>
          <w:rFonts w:eastAsia="Times New Roman" w:cs="Helvetica"/>
          <w:color w:val="575757"/>
          <w:sz w:val="24"/>
          <w:szCs w:val="24"/>
          <w:lang w:val="bg-BG"/>
        </w:rPr>
        <w:t>заемодатели и други кредитори, които то посочва като „основни потребители“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; </w:t>
      </w:r>
      <w:r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14:paraId="60F65F6A" w14:textId="6F8498D8" w:rsidR="00E720EE" w:rsidRPr="001B46A3" w:rsidRDefault="00CF7841" w:rsidP="00E720EE">
      <w:pPr>
        <w:numPr>
          <w:ilvl w:val="0"/>
          <w:numId w:val="7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да обяснява, че от основните потребители се очаква да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притежават разумни познания за бизнеса и икономическите дейности и да преглеждат и анализират информацията старателно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; </w:t>
      </w:r>
      <w:r>
        <w:rPr>
          <w:rFonts w:eastAsia="Times New Roman" w:cs="Helvetica"/>
          <w:color w:val="575757"/>
          <w:sz w:val="24"/>
          <w:szCs w:val="24"/>
          <w:lang w:val="bg-BG"/>
        </w:rPr>
        <w:t>но от тези потребители не се очаква да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притежават познания за предприятието, за което се отнася коментарът на ръководството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.</w:t>
      </w:r>
    </w:p>
    <w:p w14:paraId="66B7451D" w14:textId="785AF2A4" w:rsidR="00E720EE" w:rsidRPr="001B46A3" w:rsidRDefault="000E01CB" w:rsidP="00E720E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0E01CB">
        <w:rPr>
          <w:rFonts w:eastAsia="Times New Roman" w:cs="Helvetica"/>
          <w:color w:val="575757"/>
          <w:sz w:val="24"/>
          <w:szCs w:val="24"/>
          <w:lang w:val="bg-BG"/>
        </w:rPr>
        <w:t xml:space="preserve">Всичките </w:t>
      </w:r>
      <w:r>
        <w:rPr>
          <w:rFonts w:eastAsia="Times New Roman" w:cs="Helvetica"/>
          <w:color w:val="575757"/>
          <w:sz w:val="24"/>
          <w:szCs w:val="24"/>
          <w:lang w:val="bg-BG"/>
        </w:rPr>
        <w:t>тринадесет</w:t>
      </w:r>
      <w:r w:rsidRPr="000E01CB">
        <w:rPr>
          <w:rFonts w:eastAsia="Times New Roman" w:cs="Helvetica"/>
          <w:color w:val="575757"/>
          <w:sz w:val="24"/>
          <w:szCs w:val="24"/>
          <w:lang w:val="bg-BG"/>
        </w:rPr>
        <w:t xml:space="preserve"> членове на Съвета изразиха съгласие с това решение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. </w:t>
      </w:r>
      <w:r>
        <w:rPr>
          <w:rFonts w:eastAsia="Times New Roman" w:cs="Helvetica"/>
          <w:color w:val="575757"/>
          <w:sz w:val="24"/>
          <w:szCs w:val="24"/>
          <w:lang w:val="bg-BG"/>
        </w:rPr>
        <w:t>Един от членовете на Съвета отсъстваше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.</w:t>
      </w:r>
    </w:p>
    <w:p w14:paraId="1FE3610C" w14:textId="50680107" w:rsidR="00E720EE" w:rsidRPr="001B46A3" w:rsidRDefault="005D3A58" w:rsidP="00E720E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5D3A58"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реши </w:t>
      </w:r>
      <w:r>
        <w:rPr>
          <w:rFonts w:eastAsia="Times New Roman" w:cs="Helvetica"/>
          <w:color w:val="575757"/>
          <w:sz w:val="24"/>
          <w:szCs w:val="24"/>
          <w:lang w:val="bg-BG"/>
        </w:rPr>
        <w:t xml:space="preserve">също така </w:t>
      </w:r>
      <w:r w:rsidRPr="005D3A58">
        <w:rPr>
          <w:rFonts w:eastAsia="Times New Roman" w:cs="Helvetica"/>
          <w:color w:val="575757"/>
          <w:sz w:val="24"/>
          <w:szCs w:val="24"/>
          <w:lang w:val="bg-BG"/>
        </w:rPr>
        <w:t>в порядък на работна хипотеза</w:t>
      </w:r>
      <w:r>
        <w:rPr>
          <w:rFonts w:eastAsia="Times New Roman" w:cs="Helvetica"/>
          <w:color w:val="575757"/>
          <w:sz w:val="24"/>
          <w:szCs w:val="24"/>
          <w:lang w:val="bg-BG"/>
        </w:rPr>
        <w:t>, че</w:t>
      </w:r>
      <w:r w:rsidRPr="005D3A58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F7841" w:rsidRPr="00CF7841">
        <w:rPr>
          <w:rFonts w:eastAsia="Times New Roman" w:cs="Helvetica"/>
          <w:color w:val="575757"/>
          <w:sz w:val="24"/>
          <w:szCs w:val="24"/>
          <w:lang w:val="bg-BG"/>
        </w:rPr>
        <w:t>преработеното Изложение за практика следва</w:t>
      </w:r>
      <w:r w:rsidR="00CF7841" w:rsidRPr="00CF7841">
        <w:rPr>
          <w:rFonts w:eastAsia="Times New Roman" w:cs="Helvetica"/>
          <w:color w:val="575757"/>
          <w:sz w:val="24"/>
          <w:szCs w:val="24"/>
        </w:rPr>
        <w:t xml:space="preserve"> </w:t>
      </w:r>
      <w:r w:rsidR="00185CF0">
        <w:rPr>
          <w:rFonts w:eastAsia="Times New Roman" w:cs="Helvetica"/>
          <w:color w:val="575757"/>
          <w:sz w:val="24"/>
          <w:szCs w:val="24"/>
          <w:lang w:val="bg-BG"/>
        </w:rPr>
        <w:t xml:space="preserve">да </w:t>
      </w:r>
      <w:r w:rsidR="00CF7841">
        <w:rPr>
          <w:rFonts w:eastAsia="Times New Roman" w:cs="Helvetica"/>
          <w:color w:val="575757"/>
          <w:sz w:val="24"/>
          <w:szCs w:val="24"/>
          <w:lang w:val="bg-BG"/>
        </w:rPr>
        <w:t>описва целта на коментара на ръководството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 w:rsidR="00CF7841">
        <w:rPr>
          <w:rFonts w:eastAsia="Times New Roman" w:cs="Helvetica"/>
          <w:color w:val="575757"/>
          <w:sz w:val="24"/>
          <w:szCs w:val="24"/>
          <w:lang w:val="bg-BG"/>
        </w:rPr>
        <w:t>като подкрепа за основните потребители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 w:rsidR="00CF7841">
        <w:rPr>
          <w:rFonts w:eastAsia="Times New Roman" w:cs="Helvetica"/>
          <w:color w:val="575757"/>
          <w:sz w:val="24"/>
          <w:szCs w:val="24"/>
          <w:lang w:val="bg-BG"/>
        </w:rPr>
        <w:t>при оценяване перспективите пред предприятието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 w:rsidR="00CF7841">
        <w:rPr>
          <w:rFonts w:eastAsia="Times New Roman" w:cs="Helvetica"/>
          <w:color w:val="575757"/>
          <w:sz w:val="24"/>
          <w:szCs w:val="24"/>
          <w:lang w:val="bg-BG"/>
        </w:rPr>
        <w:t>за бъдещи парични потоци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 w:rsidR="00CF7841">
        <w:rPr>
          <w:rFonts w:eastAsia="Times New Roman" w:cs="Helvetica"/>
          <w:color w:val="575757"/>
          <w:sz w:val="24"/>
          <w:szCs w:val="24"/>
          <w:lang w:val="bg-BG"/>
        </w:rPr>
        <w:t>и грижливото стопанисване от страна на ръководството на икономическите ресурси на предприятието чрез предоставяне на полезна информация и анализ, които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:</w:t>
      </w:r>
    </w:p>
    <w:p w14:paraId="710ED855" w14:textId="49501240" w:rsidR="00E720EE" w:rsidRPr="001B46A3" w:rsidRDefault="00CF7841" w:rsidP="00E720EE">
      <w:pPr>
        <w:numPr>
          <w:ilvl w:val="0"/>
          <w:numId w:val="8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да повишават разбирането на основните потребители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за резултатите от дейността и състоянието на предприятието, така както са представени в съответните финансови отчети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; </w:t>
      </w:r>
      <w:r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14:paraId="618E1FF3" w14:textId="44D651BC" w:rsidR="00E720EE" w:rsidRPr="001B46A3" w:rsidRDefault="00CF7841" w:rsidP="00E720EE">
      <w:pPr>
        <w:numPr>
          <w:ilvl w:val="0"/>
          <w:numId w:val="8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да дават задълбочена информация за факторите, които биха могли да окажат влияние върху перспективите пред предприятието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.</w:t>
      </w:r>
    </w:p>
    <w:p w14:paraId="246C9CD9" w14:textId="423E7FAF" w:rsidR="00E720EE" w:rsidRPr="001B46A3" w:rsidRDefault="000E01CB" w:rsidP="00E720E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Присъстващите тринадесет членове на Съвета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 </w:t>
      </w:r>
      <w:r>
        <w:rPr>
          <w:rFonts w:eastAsia="Times New Roman" w:cs="Helvetica"/>
          <w:color w:val="575757"/>
          <w:sz w:val="24"/>
          <w:szCs w:val="24"/>
          <w:lang w:val="bg-BG"/>
        </w:rPr>
        <w:t>изразиха съгласие с това решение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.</w:t>
      </w:r>
    </w:p>
    <w:p w14:paraId="75C9F610" w14:textId="5DC347A0" w:rsidR="00E720EE" w:rsidRPr="001B46A3" w:rsidRDefault="00743B52" w:rsidP="00E720E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Съветът обсъди също така и работен проект на насоки относно целта на коментара на ръководството, която да бъде включена в преработеното Изложение за практика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, </w:t>
      </w:r>
      <w:r>
        <w:rPr>
          <w:rFonts w:eastAsia="Times New Roman" w:cs="Helvetica"/>
          <w:color w:val="575757"/>
          <w:sz w:val="24"/>
          <w:szCs w:val="24"/>
          <w:lang w:val="bg-BG"/>
        </w:rPr>
        <w:t>включително насоки относно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:</w:t>
      </w:r>
    </w:p>
    <w:p w14:paraId="5FF1BDB8" w14:textId="50A71AE9" w:rsidR="00E720EE" w:rsidRPr="001B46A3" w:rsidRDefault="006224A3" w:rsidP="00E720EE">
      <w:pPr>
        <w:numPr>
          <w:ilvl w:val="0"/>
          <w:numId w:val="9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схващането за „виждане на ръководството“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;</w:t>
      </w:r>
    </w:p>
    <w:p w14:paraId="58082A10" w14:textId="686D70C4" w:rsidR="00E720EE" w:rsidRPr="001B46A3" w:rsidRDefault="006224A3" w:rsidP="00E720EE">
      <w:pPr>
        <w:numPr>
          <w:ilvl w:val="0"/>
          <w:numId w:val="9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видовете информация в коментара на ръководството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; </w:t>
      </w:r>
      <w:r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14:paraId="4C428912" w14:textId="51770E2C" w:rsidR="00E720EE" w:rsidRPr="001B46A3" w:rsidRDefault="006224A3" w:rsidP="00E720EE">
      <w:pPr>
        <w:numPr>
          <w:ilvl w:val="0"/>
          <w:numId w:val="9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връзката между схващанията за „перспективите пред предприятието за бъдещи парични потоци“ и „създаване</w:t>
      </w:r>
      <w:bookmarkStart w:id="3" w:name="_GoBack"/>
      <w:bookmarkEnd w:id="3"/>
      <w:r>
        <w:rPr>
          <w:rFonts w:eastAsia="Times New Roman" w:cs="Helvetica"/>
          <w:color w:val="575757"/>
          <w:sz w:val="24"/>
          <w:szCs w:val="24"/>
          <w:lang w:val="bg-BG"/>
        </w:rPr>
        <w:t xml:space="preserve"> на стойност“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.</w:t>
      </w:r>
    </w:p>
    <w:p w14:paraId="2F91488A" w14:textId="3B6136D7" w:rsidR="00E720EE" w:rsidRPr="001B46A3" w:rsidRDefault="00A81C89" w:rsidP="00E720EE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</w:rPr>
      </w:pPr>
      <w:r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 xml:space="preserve">Цели на оповестяването </w:t>
      </w:r>
      <w:r w:rsidR="00E720EE" w:rsidRPr="001B46A3">
        <w:rPr>
          <w:rFonts w:eastAsia="Times New Roman" w:cs="Helvetica"/>
          <w:b/>
          <w:bCs/>
          <w:color w:val="333333"/>
          <w:sz w:val="24"/>
          <w:szCs w:val="24"/>
        </w:rPr>
        <w:t>(</w:t>
      </w:r>
      <w:r w:rsidR="001B46A3" w:rsidRPr="001B46A3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Документ по програмата</w:t>
      </w:r>
      <w:r w:rsidR="001B46A3" w:rsidRPr="001B46A3">
        <w:rPr>
          <w:rFonts w:eastAsia="Times New Roman" w:cs="Helvetica"/>
          <w:b/>
          <w:bCs/>
          <w:color w:val="333333"/>
          <w:sz w:val="24"/>
          <w:szCs w:val="24"/>
        </w:rPr>
        <w:t xml:space="preserve"> </w:t>
      </w:r>
      <w:r w:rsidR="00E720EE" w:rsidRPr="001B46A3">
        <w:rPr>
          <w:rFonts w:eastAsia="Times New Roman" w:cs="Helvetica"/>
          <w:b/>
          <w:bCs/>
          <w:color w:val="333333"/>
          <w:sz w:val="24"/>
          <w:szCs w:val="24"/>
        </w:rPr>
        <w:t>15</w:t>
      </w:r>
      <w:r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Б</w:t>
      </w:r>
      <w:r w:rsidR="00E720EE" w:rsidRPr="001B46A3">
        <w:rPr>
          <w:rFonts w:eastAsia="Times New Roman" w:cs="Helvetica"/>
          <w:b/>
          <w:bCs/>
          <w:color w:val="333333"/>
          <w:sz w:val="24"/>
          <w:szCs w:val="24"/>
        </w:rPr>
        <w:t>)</w:t>
      </w:r>
    </w:p>
    <w:p w14:paraId="7398972B" w14:textId="7DDB0B63" w:rsidR="00E720EE" w:rsidRPr="001B46A3" w:rsidRDefault="00A81C89" w:rsidP="00E720E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Съветът обсъди първоначални идеи относно разработването на цели на оповестяването по отношение на видовете съдържание, което се очаква да бъде включено в коментара на ръководството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.</w:t>
      </w:r>
    </w:p>
    <w:p w14:paraId="3FEC3FF0" w14:textId="2F765557" w:rsidR="00E720EE" w:rsidRPr="001B46A3" w:rsidRDefault="000E01CB" w:rsidP="00E720E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От Съвета не бе поискано да взема каквито и да е решения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.</w:t>
      </w:r>
    </w:p>
    <w:p w14:paraId="655DA2A4" w14:textId="040786A7" w:rsidR="00E720EE" w:rsidRPr="001B46A3" w:rsidRDefault="001B46A3" w:rsidP="00E720EE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</w:rPr>
      </w:pPr>
      <w:r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>Следващ етап</w:t>
      </w:r>
    </w:p>
    <w:p w14:paraId="54356038" w14:textId="5F229DFC" w:rsidR="00E720EE" w:rsidRPr="001B46A3" w:rsidRDefault="000E01CB" w:rsidP="00E720EE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Очаква се следващото обсъждане на Съвета да обхване бизнес модела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, </w:t>
      </w:r>
      <w:r>
        <w:rPr>
          <w:rFonts w:eastAsia="Times New Roman" w:cs="Helvetica"/>
          <w:color w:val="575757"/>
          <w:sz w:val="24"/>
          <w:szCs w:val="24"/>
          <w:lang w:val="bg-BG"/>
        </w:rPr>
        <w:t>ресурси и взаимоотношения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 xml:space="preserve">, </w:t>
      </w:r>
      <w:r>
        <w:rPr>
          <w:rFonts w:eastAsia="Times New Roman" w:cs="Helvetica"/>
          <w:color w:val="575757"/>
          <w:sz w:val="24"/>
          <w:szCs w:val="24"/>
          <w:lang w:val="bg-BG"/>
        </w:rPr>
        <w:t>стратегия и възможности</w:t>
      </w:r>
      <w:r w:rsidR="00E720EE" w:rsidRPr="001B46A3">
        <w:rPr>
          <w:rFonts w:eastAsia="Times New Roman" w:cs="Helvetica"/>
          <w:color w:val="575757"/>
          <w:sz w:val="24"/>
          <w:szCs w:val="24"/>
        </w:rPr>
        <w:t>.</w:t>
      </w:r>
    </w:p>
    <w:p w14:paraId="1EB91ABD" w14:textId="77777777" w:rsidR="00C93BF3" w:rsidRPr="001B46A3" w:rsidRDefault="00C93BF3"/>
    <w:sectPr w:rsidR="00C93BF3" w:rsidRPr="001B46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4E72"/>
    <w:multiLevelType w:val="multilevel"/>
    <w:tmpl w:val="76A4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C41E7"/>
    <w:multiLevelType w:val="multilevel"/>
    <w:tmpl w:val="ED24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B59A2"/>
    <w:multiLevelType w:val="multilevel"/>
    <w:tmpl w:val="AFBA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A36339"/>
    <w:multiLevelType w:val="multilevel"/>
    <w:tmpl w:val="3DFEA900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BA5317"/>
    <w:multiLevelType w:val="multilevel"/>
    <w:tmpl w:val="CF16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E53100"/>
    <w:multiLevelType w:val="multilevel"/>
    <w:tmpl w:val="3798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BD71E4"/>
    <w:multiLevelType w:val="multilevel"/>
    <w:tmpl w:val="CB807B14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A25023"/>
    <w:multiLevelType w:val="multilevel"/>
    <w:tmpl w:val="1422D366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9A4541"/>
    <w:multiLevelType w:val="multilevel"/>
    <w:tmpl w:val="CB54E7D0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EE"/>
    <w:rsid w:val="000E01CB"/>
    <w:rsid w:val="001104D5"/>
    <w:rsid w:val="00185CF0"/>
    <w:rsid w:val="001B46A3"/>
    <w:rsid w:val="003D65B8"/>
    <w:rsid w:val="005425A5"/>
    <w:rsid w:val="005D3A58"/>
    <w:rsid w:val="006224A3"/>
    <w:rsid w:val="00743B52"/>
    <w:rsid w:val="007E7682"/>
    <w:rsid w:val="00A81C89"/>
    <w:rsid w:val="00AB2702"/>
    <w:rsid w:val="00C93BF3"/>
    <w:rsid w:val="00CF7841"/>
    <w:rsid w:val="00D70762"/>
    <w:rsid w:val="00D709FF"/>
    <w:rsid w:val="00E11831"/>
    <w:rsid w:val="00E720EE"/>
    <w:rsid w:val="00E7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B502"/>
  <w15:chartTrackingRefBased/>
  <w15:docId w15:val="{3B0C5C83-D659-4F6F-A508-82EFDF2B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0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3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4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79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5" w:color="C6C6C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3748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rs.org/news-and-events/updates/iasb-updates/march-20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frs.org/news-and-events/updates/iasb-updates/march-2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rs.org/news-and-events/updates/iasb-updates/march-2020/" TargetMode="External"/><Relationship Id="rId5" Type="http://schemas.openxmlformats.org/officeDocument/2006/relationships/hyperlink" Target="https://www.ifrs.org/news-and-events/calendar/2020/march/international-accounting-standards-boar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5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Svetoslava Velinova</dc:creator>
  <cp:keywords/>
  <dc:description/>
  <cp:lastModifiedBy>VS</cp:lastModifiedBy>
  <cp:revision>16</cp:revision>
  <dcterms:created xsi:type="dcterms:W3CDTF">2020-04-16T04:38:00Z</dcterms:created>
  <dcterms:modified xsi:type="dcterms:W3CDTF">2020-04-20T04:18:00Z</dcterms:modified>
</cp:coreProperties>
</file>