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EF3" w:rsidRPr="00623D8F" w:rsidRDefault="00623D8F" w:rsidP="00FA4EF3">
      <w:pPr>
        <w:pStyle w:val="Heading1"/>
        <w:shd w:val="clear" w:color="auto" w:fill="A41F35"/>
        <w:spacing w:before="0"/>
        <w:rPr>
          <w:rFonts w:asciiTheme="minorHAnsi" w:eastAsia="Times New Roman" w:hAnsiTheme="minorHAnsi" w:cs="Helvetica"/>
          <w:b/>
          <w:bCs/>
          <w:color w:val="FFFFFF"/>
          <w:kern w:val="36"/>
          <w:sz w:val="58"/>
          <w:szCs w:val="58"/>
        </w:rPr>
      </w:pPr>
      <w:r w:rsidRPr="00623D8F">
        <w:rPr>
          <w:rFonts w:asciiTheme="minorHAnsi" w:eastAsia="Times New Roman" w:hAnsiTheme="minorHAnsi" w:cs="Helvetica"/>
          <w:b/>
          <w:bCs/>
          <w:color w:val="FFFFFF"/>
          <w:kern w:val="36"/>
          <w:sz w:val="58"/>
          <w:szCs w:val="58"/>
          <w:lang w:val="bg-BG"/>
        </w:rPr>
        <w:t>Информационен бюлетин на Съвета по международни счетоводни стандарти (IASB) – февруари 2020 г.</w:t>
      </w:r>
    </w:p>
    <w:p w:rsidR="00FA4EF3" w:rsidRPr="00623D8F" w:rsidRDefault="00FA4EF3" w:rsidP="00FA4EF3">
      <w:pPr>
        <w:shd w:val="clear" w:color="auto" w:fill="FFFFFF"/>
        <w:spacing w:after="0" w:line="240" w:lineRule="auto"/>
        <w:outlineLvl w:val="0"/>
        <w:rPr>
          <w:rFonts w:eastAsia="Times New Roman" w:cs="Helvetica"/>
          <w:b/>
          <w:bCs/>
          <w:color w:val="FFFFFF"/>
          <w:kern w:val="36"/>
          <w:sz w:val="58"/>
          <w:szCs w:val="58"/>
        </w:rPr>
      </w:pPr>
      <w:r w:rsidRPr="00623D8F">
        <w:rPr>
          <w:rFonts w:eastAsia="Times New Roman" w:cs="Helvetica"/>
          <w:b/>
          <w:bCs/>
          <w:color w:val="FFFFFF"/>
          <w:kern w:val="36"/>
          <w:sz w:val="58"/>
          <w:szCs w:val="58"/>
        </w:rPr>
        <w:t>B Update February 2020</w:t>
      </w:r>
    </w:p>
    <w:p w:rsidR="00FA4EF3" w:rsidRPr="00623D8F" w:rsidRDefault="00FA4EF3" w:rsidP="00FA4EF3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</w:p>
    <w:p w:rsidR="00FA4EF3" w:rsidRPr="00623D8F" w:rsidRDefault="00623D8F" w:rsidP="00FA4EF3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623D8F">
        <w:rPr>
          <w:rFonts w:eastAsia="Times New Roman" w:cs="Helvetica"/>
          <w:color w:val="575757"/>
          <w:sz w:val="24"/>
          <w:szCs w:val="24"/>
          <w:lang w:val="bg-BG"/>
        </w:rPr>
        <w:t>Настоящият бюлетин на Съвета по международни счетоводни стандарти (IASB) (”Съветът”) представя предварителните решения на Съвета. Окончателните решения на Съвета по международни счетоводни стандарти относно: МСФО стандарти (IFRS</w:t>
      </w:r>
      <w:r w:rsidRPr="00623D8F">
        <w:rPr>
          <w:rFonts w:eastAsia="Times New Roman" w:cs="Helvetica"/>
          <w:color w:val="575757"/>
          <w:sz w:val="24"/>
          <w:szCs w:val="24"/>
          <w:vertAlign w:val="superscript"/>
          <w:lang w:val="bg-BG"/>
        </w:rPr>
        <w:t>®</w:t>
      </w:r>
      <w:r w:rsidRPr="00623D8F">
        <w:rPr>
          <w:rFonts w:eastAsia="Times New Roman" w:cs="Helvetica"/>
          <w:color w:val="575757"/>
          <w:sz w:val="24"/>
          <w:szCs w:val="24"/>
          <w:lang w:val="bg-BG"/>
        </w:rPr>
        <w:t> </w:t>
      </w:r>
      <w:proofErr w:type="spellStart"/>
      <w:r w:rsidRPr="00623D8F">
        <w:rPr>
          <w:rFonts w:eastAsia="Times New Roman" w:cs="Helvetica"/>
          <w:color w:val="575757"/>
          <w:sz w:val="24"/>
          <w:szCs w:val="24"/>
          <w:lang w:val="bg-BG"/>
        </w:rPr>
        <w:t>Standards</w:t>
      </w:r>
      <w:proofErr w:type="spellEnd"/>
      <w:r w:rsidRPr="00623D8F">
        <w:rPr>
          <w:rFonts w:eastAsia="Times New Roman" w:cs="Helvetica"/>
          <w:color w:val="575757"/>
          <w:sz w:val="24"/>
          <w:szCs w:val="24"/>
          <w:lang w:val="bg-BG"/>
        </w:rPr>
        <w:t>), Изменения и Разяснения (IFRIC</w:t>
      </w:r>
      <w:r w:rsidRPr="00623D8F">
        <w:rPr>
          <w:rFonts w:eastAsia="Times New Roman" w:cs="Helvetica"/>
          <w:color w:val="575757"/>
          <w:sz w:val="24"/>
          <w:szCs w:val="24"/>
          <w:vertAlign w:val="superscript"/>
          <w:lang w:val="bg-BG"/>
        </w:rPr>
        <w:t>®</w:t>
      </w:r>
      <w:r w:rsidRPr="00623D8F">
        <w:rPr>
          <w:rFonts w:eastAsia="Times New Roman" w:cs="Helvetica"/>
          <w:color w:val="575757"/>
          <w:sz w:val="24"/>
          <w:szCs w:val="24"/>
          <w:lang w:val="bg-BG"/>
        </w:rPr>
        <w:t> </w:t>
      </w:r>
      <w:proofErr w:type="spellStart"/>
      <w:r w:rsidRPr="00623D8F">
        <w:rPr>
          <w:rFonts w:eastAsia="Times New Roman" w:cs="Helvetica"/>
          <w:color w:val="575757"/>
          <w:sz w:val="24"/>
          <w:szCs w:val="24"/>
          <w:lang w:val="bg-BG"/>
        </w:rPr>
        <w:t>Interpretations</w:t>
      </w:r>
      <w:proofErr w:type="spellEnd"/>
      <w:r w:rsidRPr="00623D8F">
        <w:rPr>
          <w:rFonts w:eastAsia="Times New Roman" w:cs="Helvetica"/>
          <w:color w:val="575757"/>
          <w:sz w:val="24"/>
          <w:szCs w:val="24"/>
          <w:lang w:val="bg-BG"/>
        </w:rPr>
        <w:t xml:space="preserve">) се подлагат на официално гласуване, съгласно предвиденото в </w:t>
      </w:r>
      <w:r w:rsidRPr="00623D8F">
        <w:rPr>
          <w:rFonts w:eastAsia="Times New Roman" w:cs="Helvetica"/>
          <w:i/>
          <w:color w:val="575757"/>
          <w:sz w:val="24"/>
          <w:szCs w:val="24"/>
          <w:lang w:val="bg-BG"/>
        </w:rPr>
        <w:t>Ръководството по регламентираната процедура</w:t>
      </w:r>
      <w:r w:rsidRPr="00623D8F">
        <w:rPr>
          <w:rFonts w:eastAsia="Times New Roman" w:cs="Helvetica"/>
          <w:color w:val="575757"/>
          <w:sz w:val="24"/>
          <w:szCs w:val="24"/>
          <w:lang w:val="bg-BG"/>
        </w:rPr>
        <w:t xml:space="preserve"> на Фондация МСФО (IFRS</w:t>
      </w:r>
      <w:r w:rsidRPr="00623D8F">
        <w:rPr>
          <w:rFonts w:eastAsia="Times New Roman" w:cs="Helvetica"/>
          <w:color w:val="575757"/>
          <w:sz w:val="24"/>
          <w:szCs w:val="24"/>
          <w:vertAlign w:val="superscript"/>
          <w:lang w:val="bg-BG"/>
        </w:rPr>
        <w:t>®</w:t>
      </w:r>
      <w:r w:rsidRPr="00623D8F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proofErr w:type="spellStart"/>
      <w:r w:rsidRPr="00623D8F">
        <w:rPr>
          <w:rFonts w:eastAsia="Times New Roman" w:cs="Helvetica"/>
          <w:color w:val="575757"/>
          <w:sz w:val="24"/>
          <w:szCs w:val="24"/>
          <w:lang w:val="bg-BG"/>
        </w:rPr>
        <w:t>Foundation</w:t>
      </w:r>
      <w:proofErr w:type="spellEnd"/>
      <w:r w:rsidRPr="00623D8F">
        <w:rPr>
          <w:rFonts w:eastAsia="Times New Roman" w:cs="Helvetica"/>
          <w:color w:val="575757"/>
          <w:sz w:val="24"/>
          <w:szCs w:val="24"/>
          <w:lang w:val="bg-BG"/>
        </w:rPr>
        <w:t xml:space="preserve">) и Комитета по разясненията на МСФО (IFRS </w:t>
      </w:r>
      <w:proofErr w:type="spellStart"/>
      <w:r w:rsidRPr="00623D8F">
        <w:rPr>
          <w:rFonts w:eastAsia="Times New Roman" w:cs="Helvetica"/>
          <w:color w:val="575757"/>
          <w:sz w:val="24"/>
          <w:szCs w:val="24"/>
          <w:lang w:val="bg-BG"/>
        </w:rPr>
        <w:t>Interpretation</w:t>
      </w:r>
      <w:proofErr w:type="spellEnd"/>
      <w:r w:rsidRPr="00623D8F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proofErr w:type="spellStart"/>
      <w:r w:rsidRPr="00623D8F">
        <w:rPr>
          <w:rFonts w:eastAsia="Times New Roman" w:cs="Helvetica"/>
          <w:color w:val="575757"/>
          <w:sz w:val="24"/>
          <w:szCs w:val="24"/>
          <w:lang w:val="bg-BG"/>
        </w:rPr>
        <w:t>Committee</w:t>
      </w:r>
      <w:proofErr w:type="spellEnd"/>
      <w:r w:rsidRPr="00623D8F">
        <w:rPr>
          <w:rFonts w:eastAsia="Times New Roman" w:cs="Helvetica"/>
          <w:color w:val="575757"/>
          <w:sz w:val="24"/>
          <w:szCs w:val="24"/>
          <w:lang w:val="bg-BG"/>
        </w:rPr>
        <w:t>)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.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br/>
      </w:r>
      <w:r w:rsidR="00FA4EF3" w:rsidRPr="00623D8F">
        <w:rPr>
          <w:rFonts w:eastAsia="Times New Roman" w:cs="Helvetica"/>
          <w:color w:val="575757"/>
          <w:sz w:val="24"/>
          <w:szCs w:val="24"/>
        </w:rPr>
        <w:br/>
      </w:r>
      <w:r w:rsidRPr="00623D8F">
        <w:rPr>
          <w:rFonts w:eastAsia="Times New Roman" w:cs="Helvetica"/>
          <w:color w:val="575757"/>
          <w:sz w:val="24"/>
          <w:szCs w:val="24"/>
          <w:lang w:val="bg-BG"/>
        </w:rPr>
        <w:t>Съветът проведе заседания на 2</w:t>
      </w:r>
      <w:r>
        <w:rPr>
          <w:rFonts w:eastAsia="Times New Roman" w:cs="Helvetica"/>
          <w:color w:val="575757"/>
          <w:sz w:val="24"/>
          <w:szCs w:val="24"/>
          <w:lang w:val="bg-BG"/>
        </w:rPr>
        <w:t>5</w:t>
      </w:r>
      <w:r w:rsidRPr="00623D8F">
        <w:rPr>
          <w:rFonts w:eastAsia="Times New Roman" w:cs="Helvetica"/>
          <w:color w:val="575757"/>
          <w:sz w:val="24"/>
          <w:szCs w:val="24"/>
          <w:lang w:val="bg-BG"/>
        </w:rPr>
        <w:t xml:space="preserve"> – </w:t>
      </w:r>
      <w:r>
        <w:rPr>
          <w:rFonts w:eastAsia="Times New Roman" w:cs="Helvetica"/>
          <w:color w:val="575757"/>
          <w:sz w:val="24"/>
          <w:szCs w:val="24"/>
          <w:lang w:val="bg-BG"/>
        </w:rPr>
        <w:t>27</w:t>
      </w:r>
      <w:r w:rsidRPr="00623D8F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февруари</w:t>
      </w:r>
      <w:r w:rsidRPr="00623D8F">
        <w:rPr>
          <w:rFonts w:eastAsia="Times New Roman" w:cs="Helvetica"/>
          <w:color w:val="575757"/>
          <w:sz w:val="24"/>
          <w:szCs w:val="24"/>
          <w:lang w:val="bg-BG"/>
        </w:rPr>
        <w:t xml:space="preserve"> 2020 г. в офисите на Фондация МСФО в Лондон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.</w:t>
      </w:r>
    </w:p>
    <w:p w:rsidR="00FA4EF3" w:rsidRPr="00623D8F" w:rsidRDefault="00623D8F" w:rsidP="00FA4EF3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623D8F">
        <w:rPr>
          <w:rFonts w:eastAsia="Times New Roman" w:cs="Helvetica"/>
          <w:color w:val="575757"/>
          <w:sz w:val="24"/>
          <w:szCs w:val="24"/>
          <w:lang w:val="bg-BG"/>
        </w:rPr>
        <w:t>Темите, по реда на обсъждането им, включваха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:</w:t>
      </w:r>
    </w:p>
    <w:p w:rsidR="00FA4EF3" w:rsidRPr="00623D8F" w:rsidRDefault="008D0501" w:rsidP="00FA4EF3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hyperlink r:id="rId5" w:anchor="1" w:history="1">
        <w:r w:rsidR="00623D8F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Изменения в</w:t>
        </w:r>
        <w:r w:rsidR="00FA4EF3" w:rsidRPr="00623D8F">
          <w:rPr>
            <w:rFonts w:eastAsia="Times New Roman" w:cs="Helvetica"/>
            <w:color w:val="CD3333"/>
            <w:sz w:val="24"/>
            <w:szCs w:val="24"/>
            <w:u w:val="single"/>
          </w:rPr>
          <w:t xml:space="preserve"> </w:t>
        </w:r>
        <w:r w:rsidR="00623D8F">
          <w:rPr>
            <w:rFonts w:eastAsia="Times New Roman" w:cs="Helvetica"/>
            <w:color w:val="CD3333"/>
            <w:sz w:val="24"/>
            <w:szCs w:val="24"/>
            <w:u w:val="single"/>
          </w:rPr>
          <w:t>МСФО</w:t>
        </w:r>
        <w:r w:rsidR="00FA4EF3" w:rsidRPr="00623D8F">
          <w:rPr>
            <w:rFonts w:eastAsia="Times New Roman" w:cs="Helvetica"/>
            <w:color w:val="CD3333"/>
            <w:sz w:val="24"/>
            <w:szCs w:val="24"/>
            <w:u w:val="single"/>
          </w:rPr>
          <w:t xml:space="preserve"> 17 </w:t>
        </w:r>
        <w:r w:rsidR="00623D8F">
          <w:rPr>
            <w:rFonts w:eastAsia="Times New Roman" w:cs="Helvetica"/>
            <w:i/>
            <w:iCs/>
            <w:color w:val="CD3333"/>
            <w:sz w:val="24"/>
            <w:szCs w:val="24"/>
            <w:lang w:val="bg-BG"/>
          </w:rPr>
          <w:t>Застрахователни договори</w:t>
        </w:r>
      </w:hyperlink>
    </w:p>
    <w:p w:rsidR="00FA4EF3" w:rsidRPr="00623D8F" w:rsidRDefault="008D0501" w:rsidP="00FA4EF3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hyperlink r:id="rId6" w:anchor="2" w:history="1">
        <w:r w:rsidR="00623D8F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Реформата на базовия лихвен процент</w:t>
        </w:r>
        <w:r w:rsidR="005C6467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 и ефектът й върху финансовото отчитане </w:t>
        </w:r>
        <w:r w:rsidR="00FA4EF3" w:rsidRPr="00623D8F">
          <w:rPr>
            <w:rFonts w:eastAsia="Times New Roman" w:cs="Helvetica"/>
            <w:color w:val="CD3333"/>
            <w:sz w:val="24"/>
            <w:szCs w:val="24"/>
            <w:u w:val="single"/>
          </w:rPr>
          <w:t>—</w:t>
        </w:r>
        <w:r w:rsidR="005C6467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 Фаза</w:t>
        </w:r>
        <w:r w:rsidR="00FA4EF3" w:rsidRPr="00623D8F">
          <w:rPr>
            <w:rFonts w:eastAsia="Times New Roman" w:cs="Helvetica"/>
            <w:color w:val="CD3333"/>
            <w:sz w:val="24"/>
            <w:szCs w:val="24"/>
            <w:u w:val="single"/>
          </w:rPr>
          <w:t xml:space="preserve"> 2</w:t>
        </w:r>
      </w:hyperlink>
    </w:p>
    <w:p w:rsidR="00FA4EF3" w:rsidRPr="00623D8F" w:rsidRDefault="008D0501" w:rsidP="00FA4EF3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hyperlink r:id="rId7" w:anchor="3" w:history="1">
        <w:r w:rsidR="005C6467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Инициатива за оповестяване</w:t>
        </w:r>
        <w:r w:rsidR="00FA4EF3" w:rsidRPr="00623D8F">
          <w:rPr>
            <w:rFonts w:eastAsia="Times New Roman" w:cs="Helvetica"/>
            <w:color w:val="CD3333"/>
            <w:sz w:val="24"/>
            <w:szCs w:val="24"/>
            <w:u w:val="single"/>
          </w:rPr>
          <w:t>—</w:t>
        </w:r>
        <w:r w:rsidR="005C6467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целеви преглед на оповестяванията на ниво стандарти</w:t>
        </w:r>
      </w:hyperlink>
    </w:p>
    <w:p w:rsidR="00FA4EF3" w:rsidRPr="00623D8F" w:rsidRDefault="008D0501" w:rsidP="00FA4EF3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hyperlink r:id="rId8" w:anchor="4" w:history="1">
        <w:r w:rsidR="005C6467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Инициатива за оповестяване</w:t>
        </w:r>
        <w:r w:rsidR="00FA4EF3" w:rsidRPr="00623D8F">
          <w:rPr>
            <w:rFonts w:eastAsia="Times New Roman" w:cs="Helvetica"/>
            <w:color w:val="CD3333"/>
            <w:sz w:val="24"/>
            <w:szCs w:val="24"/>
            <w:u w:val="single"/>
          </w:rPr>
          <w:t>—</w:t>
        </w:r>
        <w:r w:rsidR="005C6467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счетоводни политики</w:t>
        </w:r>
      </w:hyperlink>
    </w:p>
    <w:p w:rsidR="00FA4EF3" w:rsidRPr="00623D8F" w:rsidRDefault="008D0501" w:rsidP="00FA4EF3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hyperlink r:id="rId9" w:anchor="5" w:history="1">
        <w:r w:rsidR="005C6467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Поддържане и последователно прилагане</w:t>
        </w:r>
      </w:hyperlink>
    </w:p>
    <w:p w:rsidR="00FA4EF3" w:rsidRPr="00623D8F" w:rsidRDefault="008D0501" w:rsidP="00FA4EF3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hyperlink r:id="rId10" w:anchor="6" w:history="1">
        <w:r w:rsidR="005C6467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Бизнес комбинации под общ контрол</w:t>
        </w:r>
      </w:hyperlink>
    </w:p>
    <w:p w:rsidR="00FA4EF3" w:rsidRPr="00623D8F" w:rsidRDefault="005C6467" w:rsidP="00FA4EF3">
      <w:pPr>
        <w:shd w:val="clear" w:color="auto" w:fill="F6F6F6"/>
        <w:spacing w:before="225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Допълнителна информация</w:t>
      </w:r>
    </w:p>
    <w:p w:rsidR="00FA4EF3" w:rsidRPr="00623D8F" w:rsidRDefault="005C6467" w:rsidP="00FA4EF3">
      <w:pPr>
        <w:shd w:val="clear" w:color="auto" w:fill="F6F6F6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5C6467">
        <w:rPr>
          <w:rFonts w:eastAsia="Times New Roman" w:cs="Helvetica"/>
          <w:color w:val="575757"/>
          <w:sz w:val="24"/>
          <w:szCs w:val="24"/>
          <w:lang w:val="bg-BG"/>
        </w:rPr>
        <w:t>Предстоящи заседания на Съвета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:</w:t>
      </w:r>
    </w:p>
    <w:p w:rsidR="00FA4EF3" w:rsidRPr="00623D8F" w:rsidRDefault="00FA4EF3" w:rsidP="00FA4EF3">
      <w:pPr>
        <w:numPr>
          <w:ilvl w:val="0"/>
          <w:numId w:val="2"/>
        </w:numPr>
        <w:shd w:val="clear" w:color="auto" w:fill="F6F6F6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 w:rsidRPr="00623D8F">
        <w:rPr>
          <w:rFonts w:eastAsia="Times New Roman" w:cs="Helvetica"/>
          <w:color w:val="575757"/>
          <w:sz w:val="24"/>
          <w:szCs w:val="24"/>
        </w:rPr>
        <w:t xml:space="preserve">16–20 </w:t>
      </w:r>
      <w:r w:rsidR="005C6467">
        <w:rPr>
          <w:rFonts w:eastAsia="Times New Roman" w:cs="Helvetica"/>
          <w:color w:val="575757"/>
          <w:sz w:val="24"/>
          <w:szCs w:val="24"/>
          <w:lang w:val="bg-BG"/>
        </w:rPr>
        <w:t>март</w:t>
      </w:r>
      <w:r w:rsidRPr="00623D8F">
        <w:rPr>
          <w:rFonts w:eastAsia="Times New Roman" w:cs="Helvetica"/>
          <w:color w:val="575757"/>
          <w:sz w:val="24"/>
          <w:szCs w:val="24"/>
        </w:rPr>
        <w:t xml:space="preserve"> 2020</w:t>
      </w:r>
      <w:r w:rsidR="005C6467">
        <w:rPr>
          <w:rFonts w:eastAsia="Times New Roman" w:cs="Helvetica"/>
          <w:color w:val="575757"/>
          <w:sz w:val="24"/>
          <w:szCs w:val="24"/>
          <w:lang w:val="bg-BG"/>
        </w:rPr>
        <w:t xml:space="preserve"> г.</w:t>
      </w:r>
    </w:p>
    <w:p w:rsidR="00FA4EF3" w:rsidRPr="00623D8F" w:rsidRDefault="00FA4EF3" w:rsidP="00FA4EF3">
      <w:pPr>
        <w:numPr>
          <w:ilvl w:val="0"/>
          <w:numId w:val="2"/>
        </w:numPr>
        <w:shd w:val="clear" w:color="auto" w:fill="F6F6F6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 w:rsidRPr="00623D8F">
        <w:rPr>
          <w:rFonts w:eastAsia="Times New Roman" w:cs="Helvetica"/>
          <w:color w:val="575757"/>
          <w:sz w:val="24"/>
          <w:szCs w:val="24"/>
        </w:rPr>
        <w:t xml:space="preserve">20–24 </w:t>
      </w:r>
      <w:r w:rsidR="005C6467">
        <w:rPr>
          <w:rFonts w:eastAsia="Times New Roman" w:cs="Helvetica"/>
          <w:color w:val="575757"/>
          <w:sz w:val="24"/>
          <w:szCs w:val="24"/>
          <w:lang w:val="bg-BG"/>
        </w:rPr>
        <w:t>април</w:t>
      </w:r>
      <w:r w:rsidRPr="00623D8F">
        <w:rPr>
          <w:rFonts w:eastAsia="Times New Roman" w:cs="Helvetica"/>
          <w:color w:val="575757"/>
          <w:sz w:val="24"/>
          <w:szCs w:val="24"/>
        </w:rPr>
        <w:t xml:space="preserve"> 2020</w:t>
      </w:r>
      <w:r w:rsidR="005C6467">
        <w:rPr>
          <w:rFonts w:eastAsia="Times New Roman" w:cs="Helvetica"/>
          <w:color w:val="575757"/>
          <w:sz w:val="24"/>
          <w:szCs w:val="24"/>
          <w:lang w:val="bg-BG"/>
        </w:rPr>
        <w:t xml:space="preserve"> г.</w:t>
      </w:r>
    </w:p>
    <w:p w:rsidR="00FA4EF3" w:rsidRPr="00623D8F" w:rsidRDefault="00FA4EF3" w:rsidP="00FA4EF3">
      <w:pPr>
        <w:numPr>
          <w:ilvl w:val="0"/>
          <w:numId w:val="2"/>
        </w:numPr>
        <w:shd w:val="clear" w:color="auto" w:fill="F6F6F6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 w:rsidRPr="00623D8F">
        <w:rPr>
          <w:rFonts w:eastAsia="Times New Roman" w:cs="Helvetica"/>
          <w:color w:val="575757"/>
          <w:sz w:val="24"/>
          <w:szCs w:val="24"/>
        </w:rPr>
        <w:t xml:space="preserve">18–22 </w:t>
      </w:r>
      <w:r w:rsidR="005C6467">
        <w:rPr>
          <w:rFonts w:eastAsia="Times New Roman" w:cs="Helvetica"/>
          <w:color w:val="575757"/>
          <w:sz w:val="24"/>
          <w:szCs w:val="24"/>
          <w:lang w:val="bg-BG"/>
        </w:rPr>
        <w:t>май</w:t>
      </w:r>
      <w:r w:rsidRPr="00623D8F">
        <w:rPr>
          <w:rFonts w:eastAsia="Times New Roman" w:cs="Helvetica"/>
          <w:color w:val="575757"/>
          <w:sz w:val="24"/>
          <w:szCs w:val="24"/>
        </w:rPr>
        <w:t xml:space="preserve"> 2020</w:t>
      </w:r>
      <w:r w:rsidR="005C6467">
        <w:rPr>
          <w:rFonts w:eastAsia="Times New Roman" w:cs="Helvetica"/>
          <w:color w:val="575757"/>
          <w:sz w:val="24"/>
          <w:szCs w:val="24"/>
          <w:lang w:val="bg-BG"/>
        </w:rPr>
        <w:t xml:space="preserve"> г.</w:t>
      </w:r>
    </w:p>
    <w:p w:rsidR="00FA4EF3" w:rsidRPr="00623D8F" w:rsidRDefault="00FA4EF3" w:rsidP="00FA4EF3">
      <w:pPr>
        <w:shd w:val="clear" w:color="auto" w:fill="F6F6F6"/>
        <w:spacing w:after="0" w:line="240" w:lineRule="auto"/>
        <w:rPr>
          <w:rFonts w:eastAsia="Times New Roman" w:cs="Helvetica"/>
          <w:color w:val="575757"/>
          <w:sz w:val="24"/>
          <w:szCs w:val="24"/>
        </w:rPr>
      </w:pPr>
    </w:p>
    <w:p w:rsidR="00FA4EF3" w:rsidRPr="00623D8F" w:rsidRDefault="005C6467" w:rsidP="00FA4EF3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</w:rPr>
      </w:pPr>
      <w:bookmarkStart w:id="0" w:name="1"/>
      <w:r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lastRenderedPageBreak/>
        <w:t>Изменения в</w:t>
      </w:r>
      <w:r w:rsidR="00FA4EF3" w:rsidRPr="00623D8F">
        <w:rPr>
          <w:rFonts w:eastAsia="Times New Roman" w:cs="Helvetica"/>
          <w:b/>
          <w:bCs/>
          <w:color w:val="CD3333"/>
          <w:sz w:val="34"/>
          <w:szCs w:val="34"/>
        </w:rPr>
        <w:t xml:space="preserve"> </w:t>
      </w:r>
      <w:r w:rsidR="00623D8F">
        <w:rPr>
          <w:rFonts w:eastAsia="Times New Roman" w:cs="Helvetica"/>
          <w:b/>
          <w:bCs/>
          <w:color w:val="CD3333"/>
          <w:sz w:val="34"/>
          <w:szCs w:val="34"/>
        </w:rPr>
        <w:t>МСФО</w:t>
      </w:r>
      <w:r w:rsidR="00FA4EF3" w:rsidRPr="00623D8F">
        <w:rPr>
          <w:rFonts w:eastAsia="Times New Roman" w:cs="Helvetica"/>
          <w:b/>
          <w:bCs/>
          <w:color w:val="CD3333"/>
          <w:sz w:val="34"/>
          <w:szCs w:val="34"/>
        </w:rPr>
        <w:t xml:space="preserve"> 17 </w:t>
      </w:r>
      <w:r>
        <w:rPr>
          <w:rFonts w:eastAsia="Times New Roman" w:cs="Helvetica"/>
          <w:b/>
          <w:bCs/>
          <w:i/>
          <w:iCs/>
          <w:color w:val="CD3333"/>
          <w:sz w:val="34"/>
          <w:szCs w:val="34"/>
          <w:lang w:val="bg-BG"/>
        </w:rPr>
        <w:t>Застрахователни договори</w:t>
      </w:r>
      <w:r w:rsidR="00FA4EF3" w:rsidRPr="00623D8F">
        <w:rPr>
          <w:rFonts w:eastAsia="Times New Roman" w:cs="Helvetica"/>
          <w:b/>
          <w:bCs/>
          <w:i/>
          <w:iCs/>
          <w:color w:val="CD3333"/>
          <w:sz w:val="34"/>
          <w:szCs w:val="34"/>
        </w:rPr>
        <w:t> </w:t>
      </w:r>
      <w:r w:rsidR="00FA4EF3" w:rsidRPr="00623D8F">
        <w:rPr>
          <w:rFonts w:eastAsia="Times New Roman" w:cs="Helvetica"/>
          <w:b/>
          <w:bCs/>
          <w:color w:val="CD3333"/>
          <w:sz w:val="34"/>
          <w:szCs w:val="34"/>
        </w:rPr>
        <w:t>(</w:t>
      </w:r>
      <w:r>
        <w:rPr>
          <w:rFonts w:eastAsia="Times New Roman" w:cs="Helvetica"/>
          <w:b/>
          <w:bCs/>
          <w:color w:val="CD3333"/>
          <w:sz w:val="34"/>
          <w:szCs w:val="34"/>
        </w:rPr>
        <w:t>Документ по програмата</w:t>
      </w:r>
      <w:r w:rsidR="00FA4EF3" w:rsidRPr="00623D8F">
        <w:rPr>
          <w:rFonts w:eastAsia="Times New Roman" w:cs="Helvetica"/>
          <w:b/>
          <w:bCs/>
          <w:color w:val="CD3333"/>
          <w:sz w:val="34"/>
          <w:szCs w:val="34"/>
        </w:rPr>
        <w:t xml:space="preserve"> 2)</w:t>
      </w:r>
      <w:bookmarkEnd w:id="0"/>
    </w:p>
    <w:p w:rsidR="00FA4EF3" w:rsidRPr="00623D8F" w:rsidRDefault="005C6467" w:rsidP="00FA4EF3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5C6467">
        <w:rPr>
          <w:rFonts w:eastAsia="Times New Roman" w:cs="Helvetica"/>
          <w:color w:val="575757"/>
          <w:sz w:val="24"/>
          <w:szCs w:val="24"/>
          <w:lang w:val="bg-BG"/>
        </w:rPr>
        <w:t>На 2</w:t>
      </w:r>
      <w:r>
        <w:rPr>
          <w:rFonts w:eastAsia="Times New Roman" w:cs="Helvetica"/>
          <w:color w:val="575757"/>
          <w:sz w:val="24"/>
          <w:szCs w:val="24"/>
          <w:lang w:val="bg-BG"/>
        </w:rPr>
        <w:t>5</w:t>
      </w:r>
      <w:r w:rsidRPr="005C6467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февруари</w:t>
      </w:r>
      <w:r w:rsidRPr="005C6467">
        <w:rPr>
          <w:rFonts w:eastAsia="Times New Roman" w:cs="Helvetica"/>
          <w:color w:val="575757"/>
          <w:sz w:val="24"/>
          <w:szCs w:val="24"/>
          <w:lang w:val="bg-BG"/>
        </w:rPr>
        <w:t xml:space="preserve"> 2020 г.</w:t>
      </w:r>
      <w:r w:rsidRPr="005C6467">
        <w:rPr>
          <w:rFonts w:eastAsia="Times New Roman" w:cs="Helvetica"/>
          <w:color w:val="575757"/>
          <w:sz w:val="24"/>
          <w:szCs w:val="24"/>
        </w:rPr>
        <w:t xml:space="preserve"> </w:t>
      </w:r>
      <w:r w:rsidRPr="005C6467"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проведе заседание, за да обсъди </w:t>
      </w:r>
      <w:r w:rsidR="001F3AF4">
        <w:rPr>
          <w:rFonts w:eastAsia="Times New Roman" w:cs="Helvetica"/>
          <w:color w:val="575757"/>
          <w:sz w:val="24"/>
          <w:szCs w:val="24"/>
          <w:lang w:val="bg-BG"/>
        </w:rPr>
        <w:t xml:space="preserve">становищата, получени като обратна информация във връзка с Проекта за обсъждане на Съвета </w:t>
      </w:r>
      <w:r w:rsidR="001F3AF4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Изменения в</w:t>
      </w:r>
      <w:r w:rsidR="00FA4EF3" w:rsidRPr="00623D8F">
        <w:rPr>
          <w:rFonts w:eastAsia="Times New Roman" w:cs="Helvetica"/>
          <w:i/>
          <w:iCs/>
          <w:color w:val="575757"/>
          <w:sz w:val="24"/>
          <w:szCs w:val="24"/>
        </w:rPr>
        <w:t xml:space="preserve"> </w:t>
      </w:r>
      <w:r w:rsidR="00623D8F">
        <w:rPr>
          <w:rFonts w:eastAsia="Times New Roman" w:cs="Helvetica"/>
          <w:i/>
          <w:iCs/>
          <w:color w:val="575757"/>
          <w:sz w:val="24"/>
          <w:szCs w:val="24"/>
        </w:rPr>
        <w:t>МСФО</w:t>
      </w:r>
      <w:r w:rsidR="00FA4EF3" w:rsidRPr="00623D8F">
        <w:rPr>
          <w:rFonts w:eastAsia="Times New Roman" w:cs="Helvetica"/>
          <w:i/>
          <w:iCs/>
          <w:color w:val="575757"/>
          <w:sz w:val="24"/>
          <w:szCs w:val="24"/>
        </w:rPr>
        <w:t xml:space="preserve"> 17</w:t>
      </w:r>
      <w:r w:rsidR="001F3AF4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, </w:t>
      </w:r>
      <w:r w:rsidR="001F3AF4">
        <w:rPr>
          <w:rFonts w:eastAsia="Times New Roman" w:cs="Helvetica"/>
          <w:color w:val="575757"/>
          <w:sz w:val="24"/>
          <w:szCs w:val="24"/>
          <w:lang w:val="bg-BG"/>
        </w:rPr>
        <w:t>отнасящи се до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:</w:t>
      </w:r>
    </w:p>
    <w:p w:rsidR="00FA4EF3" w:rsidRPr="00623D8F" w:rsidRDefault="001F3AF4" w:rsidP="00FA4EF3">
      <w:pPr>
        <w:numPr>
          <w:ilvl w:val="0"/>
          <w:numId w:val="3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маржа на договорената услуга, който може да бъде отнесен към инвестиционни услуги 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—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5C6467">
        <w:rPr>
          <w:rFonts w:eastAsia="Times New Roman" w:cs="Helvetica"/>
          <w:color w:val="575757"/>
          <w:sz w:val="24"/>
          <w:szCs w:val="24"/>
        </w:rPr>
        <w:t>Документ по програмата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2A;</w:t>
      </w:r>
    </w:p>
    <w:p w:rsidR="00FA4EF3" w:rsidRPr="00623D8F" w:rsidRDefault="001F3AF4" w:rsidP="00FA4EF3">
      <w:pPr>
        <w:numPr>
          <w:ilvl w:val="0"/>
          <w:numId w:val="3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ниво на агрегиране (обобщаване) на информацията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—</w:t>
      </w:r>
      <w:r>
        <w:rPr>
          <w:rFonts w:eastAsia="Times New Roman" w:cs="Helvetica"/>
          <w:color w:val="575757"/>
          <w:sz w:val="24"/>
          <w:szCs w:val="24"/>
          <w:lang w:val="bg-BG"/>
        </w:rPr>
        <w:t>годишни кохорти при застрахователни договори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с междупоколенческо споделяне на рисковете между притежателите на полици 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—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5C6467">
        <w:rPr>
          <w:rFonts w:eastAsia="Times New Roman" w:cs="Helvetica"/>
          <w:color w:val="575757"/>
          <w:sz w:val="24"/>
          <w:szCs w:val="24"/>
        </w:rPr>
        <w:t>Документ по програмата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2</w:t>
      </w:r>
      <w:r>
        <w:rPr>
          <w:rFonts w:eastAsia="Times New Roman" w:cs="Helvetica"/>
          <w:color w:val="575757"/>
          <w:sz w:val="24"/>
          <w:szCs w:val="24"/>
          <w:lang w:val="bg-BG"/>
        </w:rPr>
        <w:t>Б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;</w:t>
      </w:r>
    </w:p>
    <w:p w:rsidR="00FA4EF3" w:rsidRPr="00623D8F" w:rsidRDefault="001F3AF4" w:rsidP="00FA4EF3">
      <w:pPr>
        <w:numPr>
          <w:ilvl w:val="0"/>
          <w:numId w:val="3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приложимост на опцията за смекчаване на риска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—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недеривативни финансови инструменти по справедлива стойност през печалбата или загубата 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—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5C6467">
        <w:rPr>
          <w:rFonts w:eastAsia="Times New Roman" w:cs="Helvetica"/>
          <w:color w:val="575757"/>
          <w:sz w:val="24"/>
          <w:szCs w:val="24"/>
        </w:rPr>
        <w:t>Документ по програмата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2</w:t>
      </w:r>
      <w:r>
        <w:rPr>
          <w:rFonts w:eastAsia="Times New Roman" w:cs="Helvetica"/>
          <w:color w:val="575757"/>
          <w:sz w:val="24"/>
          <w:szCs w:val="24"/>
          <w:lang w:val="bg-BG"/>
        </w:rPr>
        <w:t>В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;</w:t>
      </w:r>
    </w:p>
    <w:p w:rsidR="00FA4EF3" w:rsidRPr="00623D8F" w:rsidRDefault="001F3AF4" w:rsidP="00FA4EF3">
      <w:pPr>
        <w:numPr>
          <w:ilvl w:val="0"/>
          <w:numId w:val="3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незначителни изменения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—</w:t>
      </w:r>
      <w:r w:rsidR="005C6467">
        <w:rPr>
          <w:rFonts w:eastAsia="Times New Roman" w:cs="Helvetica"/>
          <w:color w:val="575757"/>
          <w:sz w:val="24"/>
          <w:szCs w:val="24"/>
        </w:rPr>
        <w:t>Документ по програмата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2</w:t>
      </w:r>
      <w:r>
        <w:rPr>
          <w:rFonts w:eastAsia="Times New Roman" w:cs="Helvetica"/>
          <w:color w:val="575757"/>
          <w:sz w:val="24"/>
          <w:szCs w:val="24"/>
          <w:lang w:val="bg-BG"/>
        </w:rPr>
        <w:t>Г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;</w:t>
      </w:r>
    </w:p>
    <w:p w:rsidR="00FA4EF3" w:rsidRPr="00623D8F" w:rsidRDefault="001F3AF4" w:rsidP="00FA4EF3">
      <w:pPr>
        <w:numPr>
          <w:ilvl w:val="0"/>
          <w:numId w:val="3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допълнителни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специфични преходни модификации и облекчения 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—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5C6467">
        <w:rPr>
          <w:rFonts w:eastAsia="Times New Roman" w:cs="Helvetica"/>
          <w:color w:val="575757"/>
          <w:sz w:val="24"/>
          <w:szCs w:val="24"/>
        </w:rPr>
        <w:t>Документ по програмата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2</w:t>
      </w:r>
      <w:r>
        <w:rPr>
          <w:rFonts w:eastAsia="Times New Roman" w:cs="Helvetica"/>
          <w:color w:val="575757"/>
          <w:sz w:val="24"/>
          <w:szCs w:val="24"/>
          <w:lang w:val="bg-BG"/>
        </w:rPr>
        <w:t>Д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; </w:t>
      </w:r>
      <w:r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FA4EF3" w:rsidRPr="00623D8F" w:rsidRDefault="001F3AF4" w:rsidP="00FA4EF3">
      <w:pPr>
        <w:numPr>
          <w:ilvl w:val="0"/>
          <w:numId w:val="3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други теми, повдигнати от лицата, предоставили становища в отговор на Проекта за обсъждане 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—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5C6467">
        <w:rPr>
          <w:rFonts w:eastAsia="Times New Roman" w:cs="Helvetica"/>
          <w:color w:val="575757"/>
          <w:sz w:val="24"/>
          <w:szCs w:val="24"/>
        </w:rPr>
        <w:t>Документ по програмата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2</w:t>
      </w:r>
      <w:r>
        <w:rPr>
          <w:rFonts w:eastAsia="Times New Roman" w:cs="Helvetica"/>
          <w:color w:val="575757"/>
          <w:sz w:val="24"/>
          <w:szCs w:val="24"/>
          <w:lang w:val="bg-BG"/>
        </w:rPr>
        <w:t>Е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.</w:t>
      </w:r>
    </w:p>
    <w:p w:rsidR="00FA4EF3" w:rsidRPr="00623D8F" w:rsidRDefault="001F3AF4" w:rsidP="00FA4EF3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Марж</w:t>
      </w:r>
      <w:r w:rsidRPr="001F3AF4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 на договорената услуга, който може да бъде отнесен към инвестиционни услуги </w:t>
      </w:r>
      <w:r w:rsidR="00FA4EF3" w:rsidRPr="00623D8F">
        <w:rPr>
          <w:rFonts w:eastAsia="Times New Roman" w:cs="Helvetica"/>
          <w:b/>
          <w:bCs/>
          <w:color w:val="333333"/>
          <w:sz w:val="24"/>
          <w:szCs w:val="24"/>
        </w:rPr>
        <w:t>(</w:t>
      </w:r>
      <w:r w:rsidR="005C6467">
        <w:rPr>
          <w:rFonts w:eastAsia="Times New Roman" w:cs="Helvetica"/>
          <w:b/>
          <w:bCs/>
          <w:color w:val="333333"/>
          <w:sz w:val="24"/>
          <w:szCs w:val="24"/>
        </w:rPr>
        <w:t>Документ по програмата</w:t>
      </w:r>
      <w:r w:rsidR="00FA4EF3" w:rsidRPr="00623D8F">
        <w:rPr>
          <w:rFonts w:eastAsia="Times New Roman" w:cs="Helvetica"/>
          <w:b/>
          <w:bCs/>
          <w:color w:val="333333"/>
          <w:sz w:val="24"/>
          <w:szCs w:val="24"/>
        </w:rPr>
        <w:t xml:space="preserve"> 2A)</w:t>
      </w:r>
    </w:p>
    <w:p w:rsidR="00FA4EF3" w:rsidRPr="00623D8F" w:rsidRDefault="001F3AF4" w:rsidP="00FA4EF3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реши в порядък на </w:t>
      </w:r>
      <w:r w:rsidR="002C29B1">
        <w:rPr>
          <w:rFonts w:eastAsia="Times New Roman" w:cs="Helvetica"/>
          <w:color w:val="575757"/>
          <w:sz w:val="24"/>
          <w:szCs w:val="24"/>
          <w:lang w:val="bg-BG"/>
        </w:rPr>
        <w:t>работна хипотеза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:</w:t>
      </w:r>
    </w:p>
    <w:p w:rsidR="00FA4EF3" w:rsidRPr="00623D8F" w:rsidRDefault="00A41FE1" w:rsidP="00FA4EF3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да финализира предложеното изменение на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 w:rsidR="00623D8F">
        <w:rPr>
          <w:rFonts w:eastAsia="Times New Roman" w:cs="Helvetica"/>
          <w:color w:val="575757"/>
          <w:sz w:val="24"/>
          <w:szCs w:val="24"/>
        </w:rPr>
        <w:t>МСФО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17 </w:t>
      </w:r>
      <w:r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Застрахователни договори, </w:t>
      </w:r>
      <w:r>
        <w:rPr>
          <w:rFonts w:eastAsia="Times New Roman" w:cs="Helvetica"/>
          <w:color w:val="575757"/>
          <w:sz w:val="24"/>
          <w:szCs w:val="24"/>
          <w:lang w:val="bg-BG"/>
        </w:rPr>
        <w:t>което би изисквало предприятието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да идентифицира застрахователни единици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при застрахователни договори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без характеристики за пряко участие в разпределението на печалбата,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като вземе под внимание количеството на ползите и очаквания период на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услугата по възвръщаемост на инвестицията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ако има такава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в допълнение към застрахователното покритие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.</w:t>
      </w:r>
    </w:p>
    <w:p w:rsidR="00FA4EF3" w:rsidRPr="00623D8F" w:rsidRDefault="00A41FE1" w:rsidP="00FA4EF3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да потвърди посочените критерии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предложени в параграф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Б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119B </w:t>
      </w:r>
      <w:r>
        <w:rPr>
          <w:rFonts w:eastAsia="Times New Roman" w:cs="Helvetica"/>
          <w:color w:val="575757"/>
          <w:sz w:val="24"/>
          <w:szCs w:val="24"/>
          <w:lang w:val="bg-BG"/>
        </w:rPr>
        <w:t>на Проекта за обсъждане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които определят дали застрахователният договор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може да предоставя услуга по възвръщаемост на инвестицията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но да замени препратките в тези критерии към „положителна инвестиционна възвръщаемост“ с „инвестиционна </w:t>
      </w:r>
      <w:r w:rsidR="009645D1">
        <w:rPr>
          <w:rFonts w:eastAsia="Times New Roman" w:cs="Helvetica"/>
          <w:color w:val="575757"/>
          <w:sz w:val="24"/>
          <w:szCs w:val="24"/>
          <w:lang w:val="bg-BG"/>
        </w:rPr>
        <w:t>възвръщаемост</w:t>
      </w:r>
      <w:r>
        <w:rPr>
          <w:rFonts w:eastAsia="Times New Roman" w:cs="Helvetica"/>
          <w:color w:val="575757"/>
          <w:sz w:val="24"/>
          <w:szCs w:val="24"/>
          <w:lang w:val="bg-BG"/>
        </w:rPr>
        <w:t>“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.</w:t>
      </w:r>
    </w:p>
    <w:p w:rsidR="00FA4EF3" w:rsidRPr="00623D8F" w:rsidRDefault="009645D1" w:rsidP="00FA4EF3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да изисква предприятието да включва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като парични потоци в границите на застрахователния договор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разходите, свързани с инвестиционни дейности до степента, в която предприятието извършва такива дейности, за да повиши ползите от застрахователното покритие за притежателя на полицата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дори ако предприятието е </w:t>
      </w:r>
      <w:r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достигнало до заключение, че договорът не предоставя услуга по възвръщаемост на инвестицията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.</w:t>
      </w:r>
    </w:p>
    <w:p w:rsidR="00FA4EF3" w:rsidRPr="00623D8F" w:rsidRDefault="0039147A" w:rsidP="00FA4EF3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 w:rsidRPr="0039147A">
        <w:rPr>
          <w:rFonts w:eastAsia="Times New Roman" w:cs="Helvetica"/>
          <w:color w:val="575757"/>
          <w:sz w:val="24"/>
          <w:szCs w:val="24"/>
          <w:lang w:val="bg-BG"/>
        </w:rPr>
        <w:t>да финализира предложеното изменение на</w:t>
      </w:r>
      <w:r w:rsidRPr="0039147A">
        <w:rPr>
          <w:rFonts w:eastAsia="Times New Roman" w:cs="Helvetica"/>
          <w:color w:val="575757"/>
          <w:sz w:val="24"/>
          <w:szCs w:val="24"/>
        </w:rPr>
        <w:t xml:space="preserve"> </w:t>
      </w:r>
      <w:r w:rsidR="00623D8F">
        <w:rPr>
          <w:rFonts w:eastAsia="Times New Roman" w:cs="Helvetica"/>
          <w:color w:val="575757"/>
          <w:sz w:val="24"/>
          <w:szCs w:val="24"/>
        </w:rPr>
        <w:t>МСФО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17</w:t>
      </w:r>
      <w:r>
        <w:rPr>
          <w:rFonts w:eastAsia="Times New Roman" w:cs="Helvetica"/>
          <w:color w:val="575757"/>
          <w:sz w:val="24"/>
          <w:szCs w:val="24"/>
          <w:lang w:val="bg-BG"/>
        </w:rPr>
        <w:t>, което би изисквало предприятието да оповестява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:</w:t>
      </w:r>
    </w:p>
    <w:p w:rsidR="00FA4EF3" w:rsidRPr="00623D8F" w:rsidRDefault="0039147A" w:rsidP="00FA4EF3">
      <w:pPr>
        <w:numPr>
          <w:ilvl w:val="1"/>
          <w:numId w:val="4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количествена информация относно това кога предприятието очаква да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признае в печалбата или загубата маржа на договорената услуга</w:t>
      </w:r>
      <w:r w:rsidR="00444404">
        <w:rPr>
          <w:rFonts w:eastAsia="Times New Roman" w:cs="Helvetica"/>
          <w:color w:val="575757"/>
          <w:sz w:val="24"/>
          <w:szCs w:val="24"/>
          <w:lang w:val="bg-BG"/>
        </w:rPr>
        <w:t>, оставащ към края на отчетния период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; </w:t>
      </w:r>
      <w:r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FA4EF3" w:rsidRPr="00623D8F" w:rsidRDefault="00444404" w:rsidP="00FA4EF3">
      <w:pPr>
        <w:numPr>
          <w:ilvl w:val="1"/>
          <w:numId w:val="4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подхода, използван за определяне на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относителното тегло на ползите, предоставени от застрахователното покритие и услугата по възвръщаемост на инвестицията или услугата, свързана с инвестиция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.</w:t>
      </w:r>
    </w:p>
    <w:p w:rsidR="00FA4EF3" w:rsidRPr="00623D8F" w:rsidRDefault="00444404" w:rsidP="00FA4EF3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да потвърди добавянето на дефиницията на „услуги по застрахователни договори“ в Приложение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A </w:t>
      </w:r>
      <w:r>
        <w:rPr>
          <w:rFonts w:eastAsia="Times New Roman" w:cs="Helvetica"/>
          <w:color w:val="575757"/>
          <w:sz w:val="24"/>
          <w:szCs w:val="24"/>
          <w:lang w:val="bg-BG"/>
        </w:rPr>
        <w:t>от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 w:rsidR="00623D8F">
        <w:rPr>
          <w:rFonts w:eastAsia="Times New Roman" w:cs="Helvetica"/>
          <w:color w:val="575757"/>
          <w:sz w:val="24"/>
          <w:szCs w:val="24"/>
        </w:rPr>
        <w:t>МСФО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17, </w:t>
      </w:r>
      <w:r>
        <w:rPr>
          <w:rFonts w:eastAsia="Times New Roman" w:cs="Helvetica"/>
          <w:color w:val="575757"/>
          <w:sz w:val="24"/>
          <w:szCs w:val="24"/>
          <w:lang w:val="bg-BG"/>
        </w:rPr>
        <w:t>без обаче да изменя останалата терминология, използвана в стандарта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(</w:t>
      </w:r>
      <w:r>
        <w:rPr>
          <w:rFonts w:eastAsia="Times New Roman" w:cs="Helvetica"/>
          <w:color w:val="575757"/>
          <w:sz w:val="24"/>
          <w:szCs w:val="24"/>
          <w:lang w:val="bg-BG"/>
        </w:rPr>
        <w:t>т.е., да не заменя „покритие“ с „услуга“ в термините „единици покритие“, „период на покритие“ и „задължение за оставащо покритие“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).</w:t>
      </w:r>
    </w:p>
    <w:p w:rsidR="00FA4EF3" w:rsidRPr="00623D8F" w:rsidRDefault="002B72E6" w:rsidP="00FA4EF3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Всичките присъстващи дванадесет членове на Съвета изразиха съгласие с тези решения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. </w:t>
      </w:r>
      <w:r>
        <w:rPr>
          <w:rFonts w:eastAsia="Times New Roman" w:cs="Helvetica"/>
          <w:color w:val="575757"/>
          <w:sz w:val="24"/>
          <w:szCs w:val="24"/>
          <w:lang w:val="bg-BG"/>
        </w:rPr>
        <w:t>Двама от членовете на Съвета отсъстваха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.</w:t>
      </w:r>
    </w:p>
    <w:p w:rsidR="00FA4EF3" w:rsidRPr="00623D8F" w:rsidRDefault="005337C1" w:rsidP="00FA4EF3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Ниво</w:t>
      </w:r>
      <w:r w:rsidRPr="005337C1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 на агрегиране (обобщаване) на информацията</w:t>
      </w:r>
      <w:r w:rsidRPr="005337C1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>—</w:t>
      </w:r>
      <w:r w:rsidRPr="005337C1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годишни кохорти при застрахователни договори</w:t>
      </w:r>
      <w:r w:rsidRPr="005337C1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 xml:space="preserve"> </w:t>
      </w:r>
      <w:r w:rsidRPr="005337C1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с междупоколенческо споделяне на рисковете между притежателите на полици </w:t>
      </w:r>
      <w:r w:rsidR="00FA4EF3" w:rsidRPr="00623D8F">
        <w:rPr>
          <w:rFonts w:eastAsia="Times New Roman" w:cs="Helvetica"/>
          <w:b/>
          <w:bCs/>
          <w:color w:val="333333"/>
          <w:sz w:val="24"/>
          <w:szCs w:val="24"/>
        </w:rPr>
        <w:t>(</w:t>
      </w:r>
      <w:r w:rsidR="005C6467">
        <w:rPr>
          <w:rFonts w:eastAsia="Times New Roman" w:cs="Helvetica"/>
          <w:b/>
          <w:bCs/>
          <w:color w:val="333333"/>
          <w:sz w:val="24"/>
          <w:szCs w:val="24"/>
        </w:rPr>
        <w:t>Документ по програмата</w:t>
      </w:r>
      <w:r w:rsidR="00FA4EF3" w:rsidRPr="00623D8F">
        <w:rPr>
          <w:rFonts w:eastAsia="Times New Roman" w:cs="Helvetica"/>
          <w:b/>
          <w:bCs/>
          <w:color w:val="333333"/>
          <w:sz w:val="24"/>
          <w:szCs w:val="24"/>
        </w:rPr>
        <w:t xml:space="preserve"> 2</w:t>
      </w:r>
      <w:r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Б</w:t>
      </w:r>
      <w:r w:rsidR="00FA4EF3" w:rsidRPr="00623D8F">
        <w:rPr>
          <w:rFonts w:eastAsia="Times New Roman" w:cs="Helvetica"/>
          <w:b/>
          <w:bCs/>
          <w:color w:val="333333"/>
          <w:sz w:val="24"/>
          <w:szCs w:val="24"/>
        </w:rPr>
        <w:t>)</w:t>
      </w:r>
    </w:p>
    <w:p w:rsidR="00FA4EF3" w:rsidRPr="00623D8F" w:rsidRDefault="001F3AF4" w:rsidP="00FA4EF3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1F3AF4"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реши в порядък на </w:t>
      </w:r>
      <w:r w:rsidR="002C29B1">
        <w:rPr>
          <w:rFonts w:eastAsia="Times New Roman" w:cs="Helvetica"/>
          <w:color w:val="575757"/>
          <w:sz w:val="24"/>
          <w:szCs w:val="24"/>
          <w:lang w:val="bg-BG"/>
        </w:rPr>
        <w:t>работна хипотеза</w:t>
      </w:r>
      <w:r w:rsidRPr="001F3AF4">
        <w:rPr>
          <w:rFonts w:eastAsia="Times New Roman" w:cs="Helvetica"/>
          <w:color w:val="575757"/>
          <w:sz w:val="24"/>
          <w:szCs w:val="24"/>
        </w:rPr>
        <w:t xml:space="preserve"> </w:t>
      </w:r>
      <w:r w:rsidR="005337C1">
        <w:rPr>
          <w:rFonts w:eastAsia="Times New Roman" w:cs="Helvetica"/>
          <w:color w:val="575757"/>
          <w:sz w:val="24"/>
          <w:szCs w:val="24"/>
          <w:lang w:val="bg-BG"/>
        </w:rPr>
        <w:t>да запази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, </w:t>
      </w:r>
      <w:r w:rsidR="005337C1">
        <w:rPr>
          <w:rFonts w:eastAsia="Times New Roman" w:cs="Helvetica"/>
          <w:color w:val="575757"/>
          <w:sz w:val="24"/>
          <w:szCs w:val="24"/>
          <w:lang w:val="bg-BG"/>
        </w:rPr>
        <w:t>без изменение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, </w:t>
      </w:r>
      <w:r w:rsidR="005337C1">
        <w:rPr>
          <w:rFonts w:eastAsia="Times New Roman" w:cs="Helvetica"/>
          <w:color w:val="575757"/>
          <w:sz w:val="24"/>
          <w:szCs w:val="24"/>
          <w:lang w:val="bg-BG"/>
        </w:rPr>
        <w:t>изискването за годишни кохорти в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 w:rsidR="00623D8F">
        <w:rPr>
          <w:rFonts w:eastAsia="Times New Roman" w:cs="Helvetica"/>
          <w:color w:val="575757"/>
          <w:sz w:val="24"/>
          <w:szCs w:val="24"/>
        </w:rPr>
        <w:t>МСФО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17.</w:t>
      </w:r>
    </w:p>
    <w:p w:rsidR="00FA4EF3" w:rsidRPr="00623D8F" w:rsidRDefault="002B72E6" w:rsidP="00FA4EF3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2B72E6">
        <w:rPr>
          <w:rFonts w:eastAsia="Times New Roman" w:cs="Helvetica"/>
          <w:color w:val="575757"/>
          <w:sz w:val="24"/>
          <w:szCs w:val="24"/>
          <w:lang w:val="bg-BG"/>
        </w:rPr>
        <w:t>Всичките присъстващи дванадесет членове на Съвета изразиха съгласие с тези решения</w:t>
      </w:r>
      <w:r w:rsidRPr="002B72E6">
        <w:rPr>
          <w:rFonts w:eastAsia="Times New Roman" w:cs="Helvetica"/>
          <w:color w:val="575757"/>
          <w:sz w:val="24"/>
          <w:szCs w:val="24"/>
        </w:rPr>
        <w:t xml:space="preserve">. </w:t>
      </w:r>
      <w:r w:rsidRPr="002B72E6">
        <w:rPr>
          <w:rFonts w:eastAsia="Times New Roman" w:cs="Helvetica"/>
          <w:color w:val="575757"/>
          <w:sz w:val="24"/>
          <w:szCs w:val="24"/>
          <w:lang w:val="bg-BG"/>
        </w:rPr>
        <w:t>Двама от членовете на Съвета отсъстваха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.</w:t>
      </w:r>
    </w:p>
    <w:p w:rsidR="00FA4EF3" w:rsidRPr="00623D8F" w:rsidRDefault="005337C1" w:rsidP="00FA4EF3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П</w:t>
      </w:r>
      <w:r w:rsidRPr="005337C1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риложимост на опцията за смекчаване на риска</w:t>
      </w:r>
      <w:r w:rsidRPr="005337C1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>—</w:t>
      </w:r>
      <w:r w:rsidRPr="005337C1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недеривативни финансови инструменти по справедлива стойност през печалбата или загубата </w:t>
      </w:r>
      <w:r w:rsidR="00FA4EF3" w:rsidRPr="00623D8F">
        <w:rPr>
          <w:rFonts w:eastAsia="Times New Roman" w:cs="Helvetica"/>
          <w:b/>
          <w:bCs/>
          <w:color w:val="333333"/>
          <w:sz w:val="24"/>
          <w:szCs w:val="24"/>
        </w:rPr>
        <w:t>(</w:t>
      </w:r>
      <w:r w:rsidR="005C6467">
        <w:rPr>
          <w:rFonts w:eastAsia="Times New Roman" w:cs="Helvetica"/>
          <w:b/>
          <w:bCs/>
          <w:color w:val="333333"/>
          <w:sz w:val="24"/>
          <w:szCs w:val="24"/>
        </w:rPr>
        <w:t>Документ по програмата</w:t>
      </w:r>
      <w:r w:rsidR="00FA4EF3" w:rsidRPr="00623D8F">
        <w:rPr>
          <w:rFonts w:eastAsia="Times New Roman" w:cs="Helvetica"/>
          <w:b/>
          <w:bCs/>
          <w:color w:val="333333"/>
          <w:sz w:val="24"/>
          <w:szCs w:val="24"/>
        </w:rPr>
        <w:t xml:space="preserve"> 2</w:t>
      </w:r>
      <w:r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В</w:t>
      </w:r>
      <w:r w:rsidR="00FA4EF3" w:rsidRPr="00623D8F">
        <w:rPr>
          <w:rFonts w:eastAsia="Times New Roman" w:cs="Helvetica"/>
          <w:b/>
          <w:bCs/>
          <w:color w:val="333333"/>
          <w:sz w:val="24"/>
          <w:szCs w:val="24"/>
        </w:rPr>
        <w:t>)</w:t>
      </w:r>
    </w:p>
    <w:p w:rsidR="00FA4EF3" w:rsidRPr="00623D8F" w:rsidRDefault="001F3AF4" w:rsidP="00FA4EF3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1F3AF4"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реши в порядък на </w:t>
      </w:r>
      <w:r w:rsidR="002C29B1">
        <w:rPr>
          <w:rFonts w:eastAsia="Times New Roman" w:cs="Helvetica"/>
          <w:color w:val="575757"/>
          <w:sz w:val="24"/>
          <w:szCs w:val="24"/>
          <w:lang w:val="bg-BG"/>
        </w:rPr>
        <w:t>работна хипотеза</w:t>
      </w:r>
      <w:r w:rsidRPr="001F3AF4">
        <w:rPr>
          <w:rFonts w:eastAsia="Times New Roman" w:cs="Helvetica"/>
          <w:color w:val="575757"/>
          <w:sz w:val="24"/>
          <w:szCs w:val="24"/>
        </w:rPr>
        <w:t xml:space="preserve"> </w:t>
      </w:r>
      <w:r w:rsidR="005337C1">
        <w:rPr>
          <w:rFonts w:eastAsia="Times New Roman" w:cs="Helvetica"/>
          <w:color w:val="575757"/>
          <w:sz w:val="24"/>
          <w:szCs w:val="24"/>
          <w:lang w:val="bg-BG"/>
        </w:rPr>
        <w:t>да измени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 w:rsidR="00623D8F">
        <w:rPr>
          <w:rFonts w:eastAsia="Times New Roman" w:cs="Helvetica"/>
          <w:color w:val="575757"/>
          <w:sz w:val="24"/>
          <w:szCs w:val="24"/>
        </w:rPr>
        <w:t>МСФО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17</w:t>
      </w:r>
      <w:r w:rsidR="005337C1">
        <w:rPr>
          <w:rFonts w:eastAsia="Times New Roman" w:cs="Helvetica"/>
          <w:color w:val="575757"/>
          <w:sz w:val="24"/>
          <w:szCs w:val="24"/>
          <w:lang w:val="bg-BG"/>
        </w:rPr>
        <w:t>, така че да разшири опцията за смекчаване на риска по отношение на застрахователните договори с характеристики на пряко участие в разпределението на печалбата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, </w:t>
      </w:r>
      <w:r w:rsidR="005337C1">
        <w:rPr>
          <w:rFonts w:eastAsia="Times New Roman" w:cs="Helvetica"/>
          <w:color w:val="575757"/>
          <w:sz w:val="24"/>
          <w:szCs w:val="24"/>
          <w:lang w:val="bg-BG"/>
        </w:rPr>
        <w:t>съгласно изложеното в параграф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 w:rsidR="005337C1">
        <w:rPr>
          <w:rFonts w:eastAsia="Times New Roman" w:cs="Helvetica"/>
          <w:color w:val="575757"/>
          <w:sz w:val="24"/>
          <w:szCs w:val="24"/>
          <w:lang w:val="bg-BG"/>
        </w:rPr>
        <w:t>Б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115 </w:t>
      </w:r>
      <w:r w:rsidR="005337C1">
        <w:rPr>
          <w:rFonts w:eastAsia="Times New Roman" w:cs="Helvetica"/>
          <w:color w:val="575757"/>
          <w:sz w:val="24"/>
          <w:szCs w:val="24"/>
          <w:lang w:val="bg-BG"/>
        </w:rPr>
        <w:t>от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 w:rsidR="00623D8F">
        <w:rPr>
          <w:rFonts w:eastAsia="Times New Roman" w:cs="Helvetica"/>
          <w:color w:val="575757"/>
          <w:sz w:val="24"/>
          <w:szCs w:val="24"/>
        </w:rPr>
        <w:t>МСФО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17. </w:t>
      </w:r>
      <w:r w:rsidR="005337C1">
        <w:rPr>
          <w:rFonts w:eastAsia="Times New Roman" w:cs="Helvetica"/>
          <w:color w:val="575757"/>
          <w:sz w:val="24"/>
          <w:szCs w:val="24"/>
          <w:lang w:val="bg-BG"/>
        </w:rPr>
        <w:t>Разширяването на обхвата би позволило на предприятието да прилага тази опция, когато предприятието смекчава ефекта от финансов риск върху паричните потоци при изпълнение, съгласно изложеното в параграф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 w:rsidR="005337C1">
        <w:rPr>
          <w:rFonts w:eastAsia="Times New Roman" w:cs="Helvetica"/>
          <w:color w:val="575757"/>
          <w:sz w:val="24"/>
          <w:szCs w:val="24"/>
          <w:lang w:val="bg-BG"/>
        </w:rPr>
        <w:t>Б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113(</w:t>
      </w:r>
      <w:r w:rsidR="00C27BAF">
        <w:rPr>
          <w:rFonts w:eastAsia="Times New Roman" w:cs="Helvetica"/>
          <w:color w:val="575757"/>
          <w:sz w:val="24"/>
          <w:szCs w:val="24"/>
          <w:lang w:val="bg-BG"/>
        </w:rPr>
        <w:t>б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) </w:t>
      </w:r>
      <w:r w:rsidR="005337C1">
        <w:rPr>
          <w:rFonts w:eastAsia="Times New Roman" w:cs="Helvetica"/>
          <w:color w:val="575757"/>
          <w:sz w:val="24"/>
          <w:szCs w:val="24"/>
          <w:lang w:val="bg-BG"/>
        </w:rPr>
        <w:t>от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 w:rsidR="00623D8F">
        <w:rPr>
          <w:rFonts w:eastAsia="Times New Roman" w:cs="Helvetica"/>
          <w:color w:val="575757"/>
          <w:sz w:val="24"/>
          <w:szCs w:val="24"/>
        </w:rPr>
        <w:t>МСФО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17</w:t>
      </w:r>
      <w:r w:rsidR="005337C1">
        <w:rPr>
          <w:rFonts w:eastAsia="Times New Roman" w:cs="Helvetica"/>
          <w:color w:val="575757"/>
          <w:sz w:val="24"/>
          <w:szCs w:val="24"/>
          <w:lang w:val="bg-BG"/>
        </w:rPr>
        <w:t>,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 w:rsidR="005337C1">
        <w:rPr>
          <w:rFonts w:eastAsia="Times New Roman" w:cs="Helvetica"/>
          <w:color w:val="575757"/>
          <w:sz w:val="24"/>
          <w:szCs w:val="24"/>
          <w:lang w:val="bg-BG"/>
        </w:rPr>
        <w:t>използвайки недеривативни финансови инструменти, оценени по справедлива стойност през печалбата или загубата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. </w:t>
      </w:r>
      <w:r w:rsidR="005337C1">
        <w:rPr>
          <w:rFonts w:eastAsia="Times New Roman" w:cs="Helvetica"/>
          <w:color w:val="575757"/>
          <w:sz w:val="24"/>
          <w:szCs w:val="24"/>
          <w:lang w:val="bg-BG"/>
        </w:rPr>
        <w:t>За да приложи опцията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, </w:t>
      </w:r>
      <w:r w:rsidR="005337C1">
        <w:rPr>
          <w:rFonts w:eastAsia="Times New Roman" w:cs="Helvetica"/>
          <w:color w:val="575757"/>
          <w:sz w:val="24"/>
          <w:szCs w:val="24"/>
          <w:lang w:val="bg-BG"/>
        </w:rPr>
        <w:t>предприятието трябва да отговаря на условията, изложени в параграф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 w:rsidR="005337C1">
        <w:rPr>
          <w:rFonts w:eastAsia="Times New Roman" w:cs="Helvetica"/>
          <w:color w:val="575757"/>
          <w:sz w:val="24"/>
          <w:szCs w:val="24"/>
          <w:lang w:val="bg-BG"/>
        </w:rPr>
        <w:t>Б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116 </w:t>
      </w:r>
      <w:r w:rsidR="005337C1">
        <w:rPr>
          <w:rFonts w:eastAsia="Times New Roman" w:cs="Helvetica"/>
          <w:color w:val="575757"/>
          <w:sz w:val="24"/>
          <w:szCs w:val="24"/>
          <w:lang w:val="bg-BG"/>
        </w:rPr>
        <w:t>от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 w:rsidR="00623D8F">
        <w:rPr>
          <w:rFonts w:eastAsia="Times New Roman" w:cs="Helvetica"/>
          <w:color w:val="575757"/>
          <w:sz w:val="24"/>
          <w:szCs w:val="24"/>
        </w:rPr>
        <w:t>МСФО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17.</w:t>
      </w:r>
    </w:p>
    <w:p w:rsidR="00FA4EF3" w:rsidRPr="00623D8F" w:rsidRDefault="002B72E6" w:rsidP="00FA4EF3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2B72E6">
        <w:rPr>
          <w:rFonts w:eastAsia="Times New Roman" w:cs="Helvetica"/>
          <w:color w:val="575757"/>
          <w:sz w:val="24"/>
          <w:szCs w:val="24"/>
          <w:lang w:val="bg-BG"/>
        </w:rPr>
        <w:t>Всичките присъстващи дванадесет членове на Съвета изразиха съгласие с тези решения</w:t>
      </w:r>
      <w:r w:rsidRPr="002B72E6">
        <w:rPr>
          <w:rFonts w:eastAsia="Times New Roman" w:cs="Helvetica"/>
          <w:color w:val="575757"/>
          <w:sz w:val="24"/>
          <w:szCs w:val="24"/>
        </w:rPr>
        <w:t xml:space="preserve">. </w:t>
      </w:r>
      <w:r w:rsidRPr="002B72E6">
        <w:rPr>
          <w:rFonts w:eastAsia="Times New Roman" w:cs="Helvetica"/>
          <w:color w:val="575757"/>
          <w:sz w:val="24"/>
          <w:szCs w:val="24"/>
          <w:lang w:val="bg-BG"/>
        </w:rPr>
        <w:t>Двама от членовете на Съвета отсъстваха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.</w:t>
      </w:r>
    </w:p>
    <w:p w:rsidR="00FA4EF3" w:rsidRPr="00623D8F" w:rsidRDefault="00BB0D52" w:rsidP="00FA4EF3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lastRenderedPageBreak/>
        <w:t xml:space="preserve">Незначителни изменения </w:t>
      </w:r>
      <w:r w:rsidR="00FA4EF3" w:rsidRPr="00623D8F">
        <w:rPr>
          <w:rFonts w:eastAsia="Times New Roman" w:cs="Helvetica"/>
          <w:b/>
          <w:bCs/>
          <w:color w:val="333333"/>
          <w:sz w:val="24"/>
          <w:szCs w:val="24"/>
        </w:rPr>
        <w:t>(</w:t>
      </w:r>
      <w:r w:rsidR="005C6467">
        <w:rPr>
          <w:rFonts w:eastAsia="Times New Roman" w:cs="Helvetica"/>
          <w:b/>
          <w:bCs/>
          <w:color w:val="333333"/>
          <w:sz w:val="24"/>
          <w:szCs w:val="24"/>
        </w:rPr>
        <w:t>Документ по програмата</w:t>
      </w:r>
      <w:r w:rsidR="00FA4EF3" w:rsidRPr="00623D8F">
        <w:rPr>
          <w:rFonts w:eastAsia="Times New Roman" w:cs="Helvetica"/>
          <w:b/>
          <w:bCs/>
          <w:color w:val="333333"/>
          <w:sz w:val="24"/>
          <w:szCs w:val="24"/>
        </w:rPr>
        <w:t xml:space="preserve"> 2</w:t>
      </w:r>
      <w:r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Г</w:t>
      </w:r>
      <w:r w:rsidR="00FA4EF3" w:rsidRPr="00623D8F">
        <w:rPr>
          <w:rFonts w:eastAsia="Times New Roman" w:cs="Helvetica"/>
          <w:b/>
          <w:bCs/>
          <w:color w:val="333333"/>
          <w:sz w:val="24"/>
          <w:szCs w:val="24"/>
        </w:rPr>
        <w:t>)</w:t>
      </w:r>
    </w:p>
    <w:p w:rsidR="00FA4EF3" w:rsidRPr="00623D8F" w:rsidRDefault="001F3AF4" w:rsidP="00FA4EF3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1F3AF4"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реши в порядък на </w:t>
      </w:r>
      <w:r w:rsidR="002C29B1">
        <w:rPr>
          <w:rFonts w:eastAsia="Times New Roman" w:cs="Helvetica"/>
          <w:color w:val="575757"/>
          <w:sz w:val="24"/>
          <w:szCs w:val="24"/>
          <w:lang w:val="bg-BG"/>
        </w:rPr>
        <w:t>работна хипотеза</w:t>
      </w:r>
      <w:r w:rsidRPr="001F3AF4">
        <w:rPr>
          <w:rFonts w:eastAsia="Times New Roman" w:cs="Helvetica"/>
          <w:color w:val="575757"/>
          <w:sz w:val="24"/>
          <w:szCs w:val="24"/>
        </w:rPr>
        <w:t xml:space="preserve"> </w:t>
      </w:r>
      <w:r w:rsidR="00BB0D52">
        <w:rPr>
          <w:rFonts w:eastAsia="Times New Roman" w:cs="Helvetica"/>
          <w:color w:val="575757"/>
          <w:sz w:val="24"/>
          <w:szCs w:val="24"/>
          <w:lang w:val="bg-BG"/>
        </w:rPr>
        <w:t>да финализира незначителните изменения, предложени в Проекта за обсъждане, внасяйки обаче следните промени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:</w:t>
      </w:r>
    </w:p>
    <w:p w:rsidR="00FA4EF3" w:rsidRPr="00623D8F" w:rsidRDefault="003265E2" w:rsidP="00FA4EF3">
      <w:pPr>
        <w:numPr>
          <w:ilvl w:val="0"/>
          <w:numId w:val="5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изменението на параграф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Б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128 </w:t>
      </w:r>
      <w:r>
        <w:rPr>
          <w:rFonts w:eastAsia="Times New Roman" w:cs="Helvetica"/>
          <w:color w:val="575757"/>
          <w:sz w:val="24"/>
          <w:szCs w:val="24"/>
          <w:lang w:val="bg-BG"/>
        </w:rPr>
        <w:t>от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 w:rsidR="00623D8F">
        <w:rPr>
          <w:rFonts w:eastAsia="Times New Roman" w:cs="Helvetica"/>
          <w:color w:val="575757"/>
          <w:sz w:val="24"/>
          <w:szCs w:val="24"/>
        </w:rPr>
        <w:t>МСФО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17 </w:t>
      </w:r>
      <w:r>
        <w:rPr>
          <w:rFonts w:eastAsia="Times New Roman" w:cs="Helvetica"/>
          <w:color w:val="575757"/>
          <w:sz w:val="24"/>
          <w:szCs w:val="24"/>
          <w:lang w:val="bg-BG"/>
        </w:rPr>
        <w:t>следва да препраща към „промени в стойността на стоящите в основата позиции“, а не „промени в справедливата стойност на стоящите в основата позиции“, както е посочено в Проекта за обсъждане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. 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Съответно този параграф би посочвал, че „промените в оценката на група застрахователни договори, предизвикани от промени </w:t>
      </w:r>
      <w:r w:rsidRPr="003265E2">
        <w:rPr>
          <w:rFonts w:eastAsia="Times New Roman" w:cs="Helvetica"/>
          <w:color w:val="575757"/>
          <w:sz w:val="24"/>
          <w:szCs w:val="24"/>
          <w:lang w:val="bg-BG"/>
        </w:rPr>
        <w:t>в стойността на стоящите в основата позиции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(</w:t>
      </w:r>
      <w:r>
        <w:rPr>
          <w:rFonts w:eastAsia="Times New Roman" w:cs="Helvetica"/>
          <w:color w:val="575757"/>
          <w:sz w:val="24"/>
          <w:szCs w:val="24"/>
          <w:lang w:val="bg-BG"/>
        </w:rPr>
        <w:t>изключвайки добавяния и оттегляния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) 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са промени, произтичащи от ефекта от стойността на парите във времето и финансовия риск и </w:t>
      </w:r>
      <w:r w:rsidR="00C27BAF">
        <w:rPr>
          <w:rFonts w:eastAsia="Times New Roman" w:cs="Helvetica"/>
          <w:color w:val="575757"/>
          <w:sz w:val="24"/>
          <w:szCs w:val="24"/>
          <w:lang w:val="bg-BG"/>
        </w:rPr>
        <w:t xml:space="preserve">съответно </w:t>
      </w:r>
      <w:r>
        <w:rPr>
          <w:rFonts w:eastAsia="Times New Roman" w:cs="Helvetica"/>
          <w:color w:val="575757"/>
          <w:sz w:val="24"/>
          <w:szCs w:val="24"/>
          <w:lang w:val="bg-BG"/>
        </w:rPr>
        <w:t>промените в тях“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. </w:t>
      </w:r>
      <w:r>
        <w:rPr>
          <w:rFonts w:eastAsia="Times New Roman" w:cs="Helvetica"/>
          <w:color w:val="575757"/>
          <w:sz w:val="24"/>
          <w:szCs w:val="24"/>
          <w:lang w:val="bg-BG"/>
        </w:rPr>
        <w:t>Последното изречение на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 w:rsidRPr="003265E2">
        <w:rPr>
          <w:rFonts w:eastAsia="Times New Roman" w:cs="Helvetica"/>
          <w:color w:val="575757"/>
          <w:sz w:val="24"/>
          <w:szCs w:val="24"/>
          <w:lang w:val="bg-BG"/>
        </w:rPr>
        <w:t>параграф</w:t>
      </w:r>
      <w:r w:rsidRPr="003265E2">
        <w:rPr>
          <w:rFonts w:eastAsia="Times New Roman" w:cs="Helvetica"/>
          <w:color w:val="575757"/>
          <w:sz w:val="24"/>
          <w:szCs w:val="24"/>
        </w:rPr>
        <w:t xml:space="preserve"> </w:t>
      </w:r>
      <w:r w:rsidRPr="003265E2">
        <w:rPr>
          <w:rFonts w:eastAsia="Times New Roman" w:cs="Helvetica"/>
          <w:color w:val="575757"/>
          <w:sz w:val="24"/>
          <w:szCs w:val="24"/>
          <w:lang w:val="bg-BG"/>
        </w:rPr>
        <w:t>Б</w:t>
      </w:r>
      <w:r w:rsidRPr="003265E2">
        <w:rPr>
          <w:rFonts w:eastAsia="Times New Roman" w:cs="Helvetica"/>
          <w:color w:val="575757"/>
          <w:sz w:val="24"/>
          <w:szCs w:val="24"/>
        </w:rPr>
        <w:t xml:space="preserve"> 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134 </w:t>
      </w:r>
      <w:r>
        <w:rPr>
          <w:rFonts w:eastAsia="Times New Roman" w:cs="Helvetica"/>
          <w:color w:val="575757"/>
          <w:sz w:val="24"/>
          <w:szCs w:val="24"/>
          <w:lang w:val="bg-BG"/>
        </w:rPr>
        <w:t>от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 w:rsidR="00623D8F">
        <w:rPr>
          <w:rFonts w:eastAsia="Times New Roman" w:cs="Helvetica"/>
          <w:color w:val="575757"/>
          <w:sz w:val="24"/>
          <w:szCs w:val="24"/>
        </w:rPr>
        <w:t>МСФО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17 </w:t>
      </w:r>
      <w:r>
        <w:rPr>
          <w:rFonts w:eastAsia="Times New Roman" w:cs="Helvetica"/>
          <w:color w:val="575757"/>
          <w:sz w:val="24"/>
          <w:szCs w:val="24"/>
          <w:lang w:val="bg-BG"/>
        </w:rPr>
        <w:t>следва да пояснява, че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сумата, включена по отношение на застрахователните договори се определя, като се вземат под внимание всички приходи и разходи, включени в печалбата или загубата по отношение на стоящите в основата позиции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независимо къде в печалбата или загубата са представени приходът или разходът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.</w:t>
      </w:r>
    </w:p>
    <w:p w:rsidR="00FA4EF3" w:rsidRPr="00623D8F" w:rsidRDefault="003265E2" w:rsidP="00FA4EF3">
      <w:pPr>
        <w:numPr>
          <w:ilvl w:val="0"/>
          <w:numId w:val="5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изменението на </w:t>
      </w:r>
      <w:r w:rsidRPr="003265E2">
        <w:rPr>
          <w:rFonts w:eastAsia="Times New Roman" w:cs="Helvetica"/>
          <w:color w:val="575757"/>
          <w:sz w:val="24"/>
          <w:szCs w:val="24"/>
          <w:lang w:val="bg-BG"/>
        </w:rPr>
        <w:t>параграф</w:t>
      </w:r>
      <w:r w:rsidRPr="003265E2">
        <w:rPr>
          <w:rFonts w:eastAsia="Times New Roman" w:cs="Helvetica"/>
          <w:color w:val="575757"/>
          <w:sz w:val="24"/>
          <w:szCs w:val="24"/>
        </w:rPr>
        <w:t xml:space="preserve"> </w:t>
      </w:r>
      <w:r w:rsidRPr="003265E2">
        <w:rPr>
          <w:rFonts w:eastAsia="Times New Roman" w:cs="Helvetica"/>
          <w:color w:val="575757"/>
          <w:sz w:val="24"/>
          <w:szCs w:val="24"/>
          <w:lang w:val="bg-BG"/>
        </w:rPr>
        <w:t>Б</w:t>
      </w:r>
      <w:r w:rsidRPr="003265E2">
        <w:rPr>
          <w:rFonts w:eastAsia="Times New Roman" w:cs="Helvetica"/>
          <w:color w:val="575757"/>
          <w:sz w:val="24"/>
          <w:szCs w:val="24"/>
        </w:rPr>
        <w:t xml:space="preserve"> 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96(</w:t>
      </w:r>
      <w:r>
        <w:rPr>
          <w:rFonts w:eastAsia="Times New Roman" w:cs="Helvetica"/>
          <w:color w:val="575757"/>
          <w:sz w:val="24"/>
          <w:szCs w:val="24"/>
          <w:lang w:val="bg-BG"/>
        </w:rPr>
        <w:t>в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) </w:t>
      </w:r>
      <w:r>
        <w:rPr>
          <w:rFonts w:eastAsia="Times New Roman" w:cs="Helvetica"/>
          <w:color w:val="575757"/>
          <w:sz w:val="24"/>
          <w:szCs w:val="24"/>
          <w:lang w:val="bg-BG"/>
        </w:rPr>
        <w:t>от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 w:rsidR="00623D8F">
        <w:rPr>
          <w:rFonts w:eastAsia="Times New Roman" w:cs="Helvetica"/>
          <w:color w:val="575757"/>
          <w:sz w:val="24"/>
          <w:szCs w:val="24"/>
        </w:rPr>
        <w:t>МСФО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17 </w:t>
      </w:r>
      <w:r>
        <w:rPr>
          <w:rFonts w:eastAsia="Times New Roman" w:cs="Helvetica"/>
          <w:color w:val="575757"/>
          <w:sz w:val="24"/>
          <w:szCs w:val="24"/>
          <w:lang w:val="bg-BG"/>
        </w:rPr>
        <w:t>следва да е приложимо и по отношение на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заеми към притежателите на полици, така че, по отношение на застрахователни договори без характеристики на пряко участие в разпределението на печалбата, маржът на договорената услуга не би бил коригиран за отчитане на промени в паричните потоци при изпълнение</w:t>
      </w:r>
      <w:r w:rsidR="0075467F">
        <w:rPr>
          <w:rFonts w:eastAsia="Times New Roman" w:cs="Helvetica"/>
          <w:color w:val="575757"/>
          <w:sz w:val="24"/>
          <w:szCs w:val="24"/>
          <w:lang w:val="bg-BG"/>
        </w:rPr>
        <w:t>, произтичащи от разлики, отнасящи се до стойността на парите във времето и предположения, отнасящи се до финансовия риск, между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:</w:t>
      </w:r>
    </w:p>
    <w:p w:rsidR="00FA4EF3" w:rsidRPr="00623D8F" w:rsidRDefault="0075467F" w:rsidP="00FA4EF3">
      <w:pPr>
        <w:numPr>
          <w:ilvl w:val="1"/>
          <w:numId w:val="5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заем към притежател на полица, който се очаква да стане дължим през периода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; </w:t>
      </w:r>
      <w:r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FA4EF3" w:rsidRPr="00623D8F" w:rsidRDefault="0075467F" w:rsidP="00FA4EF3">
      <w:pPr>
        <w:numPr>
          <w:ilvl w:val="1"/>
          <w:numId w:val="5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действителния заем към притежател на полица, който става дължим през периода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.</w:t>
      </w:r>
    </w:p>
    <w:p w:rsidR="00FA4EF3" w:rsidRPr="00623D8F" w:rsidRDefault="0075467F" w:rsidP="00FA4EF3">
      <w:pPr>
        <w:numPr>
          <w:ilvl w:val="0"/>
          <w:numId w:val="5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изменението на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 w:rsidR="003265E2">
        <w:rPr>
          <w:rFonts w:eastAsia="Times New Roman" w:cs="Helvetica"/>
          <w:color w:val="575757"/>
          <w:sz w:val="24"/>
          <w:szCs w:val="24"/>
          <w:lang w:val="bg-BG"/>
        </w:rPr>
        <w:t>параграфи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106(a) </w:t>
      </w:r>
      <w:r>
        <w:rPr>
          <w:rFonts w:eastAsia="Times New Roman" w:cs="Helvetica"/>
          <w:color w:val="575757"/>
          <w:sz w:val="24"/>
          <w:szCs w:val="24"/>
          <w:lang w:val="bg-BG"/>
        </w:rPr>
        <w:t>и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Б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124 </w:t>
      </w:r>
      <w:r>
        <w:rPr>
          <w:rFonts w:eastAsia="Times New Roman" w:cs="Helvetica"/>
          <w:color w:val="575757"/>
          <w:sz w:val="24"/>
          <w:szCs w:val="24"/>
          <w:lang w:val="bg-BG"/>
        </w:rPr>
        <w:t>от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 w:rsidR="00623D8F">
        <w:rPr>
          <w:rFonts w:eastAsia="Times New Roman" w:cs="Helvetica"/>
          <w:color w:val="575757"/>
          <w:sz w:val="24"/>
          <w:szCs w:val="24"/>
        </w:rPr>
        <w:t>МСФО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17 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следва да посочва, че предприятието трябва да представя „корекции, произтичащи от опита, по отношение на постъпления от премии, </w:t>
      </w:r>
      <w:r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които се отнасят до текуща или минала услуга“</w:t>
      </w:r>
      <w:r w:rsidR="00FA4EF3" w:rsidRPr="00623D8F">
        <w:rPr>
          <w:rFonts w:eastAsia="Times New Roman" w:cs="Helvetica"/>
          <w:i/>
          <w:iCs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като застрахователен приход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.</w:t>
      </w:r>
    </w:p>
    <w:p w:rsidR="00FA4EF3" w:rsidRPr="00623D8F" w:rsidRDefault="0075467F" w:rsidP="00FA4EF3">
      <w:pPr>
        <w:numPr>
          <w:ilvl w:val="0"/>
          <w:numId w:val="5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изменение в произтичащото като следствие изменение на параграф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2.1 </w:t>
      </w:r>
      <w:r>
        <w:rPr>
          <w:rFonts w:eastAsia="Times New Roman" w:cs="Helvetica"/>
          <w:color w:val="575757"/>
          <w:sz w:val="24"/>
          <w:szCs w:val="24"/>
          <w:lang w:val="bg-BG"/>
        </w:rPr>
        <w:t>от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 w:rsidR="00623D8F">
        <w:rPr>
          <w:rFonts w:eastAsia="Times New Roman" w:cs="Helvetica"/>
          <w:color w:val="575757"/>
          <w:sz w:val="24"/>
          <w:szCs w:val="24"/>
        </w:rPr>
        <w:t>МСФО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9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Финансови инструменти 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(</w:t>
      </w:r>
      <w:r>
        <w:rPr>
          <w:rFonts w:eastAsia="Times New Roman" w:cs="Helvetica"/>
          <w:color w:val="575757"/>
          <w:sz w:val="24"/>
          <w:szCs w:val="24"/>
          <w:lang w:val="bg-BG"/>
        </w:rPr>
        <w:t>което пояснява, че държаните застрахователни договори не попадат в обхвата на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 w:rsidR="00623D8F">
        <w:rPr>
          <w:rFonts w:eastAsia="Times New Roman" w:cs="Helvetica"/>
          <w:color w:val="575757"/>
          <w:sz w:val="24"/>
          <w:szCs w:val="24"/>
        </w:rPr>
        <w:t>МСФО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9)</w:t>
      </w:r>
      <w:r>
        <w:rPr>
          <w:rFonts w:eastAsia="Times New Roman" w:cs="Helvetica"/>
          <w:color w:val="575757"/>
          <w:sz w:val="24"/>
          <w:szCs w:val="24"/>
          <w:lang w:val="bg-BG"/>
        </w:rPr>
        <w:t>, за да се поправи пропуска на думата „издадени“ в Проекта за обсъждане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.</w:t>
      </w:r>
    </w:p>
    <w:p w:rsidR="00FA4EF3" w:rsidRPr="00623D8F" w:rsidRDefault="002B72E6" w:rsidP="00FA4EF3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2B72E6">
        <w:rPr>
          <w:rFonts w:eastAsia="Times New Roman" w:cs="Helvetica"/>
          <w:color w:val="575757"/>
          <w:sz w:val="24"/>
          <w:szCs w:val="24"/>
          <w:lang w:val="bg-BG"/>
        </w:rPr>
        <w:t>Всичките присъстващи дванадесет членове на Съвета изразиха съгласие с тези решения</w:t>
      </w:r>
      <w:r w:rsidRPr="002B72E6">
        <w:rPr>
          <w:rFonts w:eastAsia="Times New Roman" w:cs="Helvetica"/>
          <w:color w:val="575757"/>
          <w:sz w:val="24"/>
          <w:szCs w:val="24"/>
        </w:rPr>
        <w:t xml:space="preserve">. </w:t>
      </w:r>
      <w:r w:rsidRPr="002B72E6">
        <w:rPr>
          <w:rFonts w:eastAsia="Times New Roman" w:cs="Helvetica"/>
          <w:color w:val="575757"/>
          <w:sz w:val="24"/>
          <w:szCs w:val="24"/>
          <w:lang w:val="bg-BG"/>
        </w:rPr>
        <w:t>Двама от членовете на Съвета отсъстваха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.</w:t>
      </w:r>
    </w:p>
    <w:p w:rsidR="00FA4EF3" w:rsidRPr="00623D8F" w:rsidRDefault="00BB0D52" w:rsidP="00FA4EF3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Д</w:t>
      </w:r>
      <w:r w:rsidRPr="00BB0D52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опълнителни</w:t>
      </w:r>
      <w:r w:rsidRPr="00BB0D52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 xml:space="preserve"> </w:t>
      </w:r>
      <w:r w:rsidRPr="00BB0D52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специфични преходни модификации и облекчения </w:t>
      </w:r>
      <w:r w:rsidR="00FA4EF3" w:rsidRPr="00623D8F">
        <w:rPr>
          <w:rFonts w:eastAsia="Times New Roman" w:cs="Helvetica"/>
          <w:b/>
          <w:bCs/>
          <w:color w:val="333333"/>
          <w:sz w:val="24"/>
          <w:szCs w:val="24"/>
        </w:rPr>
        <w:t>(</w:t>
      </w:r>
      <w:r w:rsidR="005C6467">
        <w:rPr>
          <w:rFonts w:eastAsia="Times New Roman" w:cs="Helvetica"/>
          <w:b/>
          <w:bCs/>
          <w:color w:val="333333"/>
          <w:sz w:val="24"/>
          <w:szCs w:val="24"/>
        </w:rPr>
        <w:t>Документ по програмата</w:t>
      </w:r>
      <w:r w:rsidR="00FA4EF3" w:rsidRPr="00623D8F">
        <w:rPr>
          <w:rFonts w:eastAsia="Times New Roman" w:cs="Helvetica"/>
          <w:b/>
          <w:bCs/>
          <w:color w:val="333333"/>
          <w:sz w:val="24"/>
          <w:szCs w:val="24"/>
        </w:rPr>
        <w:t xml:space="preserve"> 2</w:t>
      </w:r>
      <w:r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</w:t>
      </w:r>
      <w:r w:rsidR="00FA4EF3" w:rsidRPr="00623D8F">
        <w:rPr>
          <w:rFonts w:eastAsia="Times New Roman" w:cs="Helvetica"/>
          <w:b/>
          <w:bCs/>
          <w:color w:val="333333"/>
          <w:sz w:val="24"/>
          <w:szCs w:val="24"/>
        </w:rPr>
        <w:t>)</w:t>
      </w:r>
    </w:p>
    <w:p w:rsidR="00FA4EF3" w:rsidRPr="00623D8F" w:rsidRDefault="001F3AF4" w:rsidP="00FA4EF3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1F3AF4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 xml:space="preserve">Съветът реши в порядък на </w:t>
      </w:r>
      <w:r w:rsidR="002C29B1">
        <w:rPr>
          <w:rFonts w:eastAsia="Times New Roman" w:cs="Helvetica"/>
          <w:color w:val="575757"/>
          <w:sz w:val="24"/>
          <w:szCs w:val="24"/>
          <w:lang w:val="bg-BG"/>
        </w:rPr>
        <w:t>работна хипотеза</w:t>
      </w:r>
      <w:r w:rsidRPr="001F3AF4">
        <w:rPr>
          <w:rFonts w:eastAsia="Times New Roman" w:cs="Helvetica"/>
          <w:color w:val="575757"/>
          <w:sz w:val="24"/>
          <w:szCs w:val="24"/>
        </w:rPr>
        <w:t xml:space="preserve"> </w:t>
      </w:r>
      <w:r w:rsidR="009F0D55">
        <w:rPr>
          <w:rFonts w:eastAsia="Times New Roman" w:cs="Helvetica"/>
          <w:color w:val="575757"/>
          <w:sz w:val="24"/>
          <w:szCs w:val="24"/>
          <w:lang w:val="bg-BG"/>
        </w:rPr>
        <w:t>да измени преходните изисквания в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 w:rsidR="00623D8F">
        <w:rPr>
          <w:rFonts w:eastAsia="Times New Roman" w:cs="Helvetica"/>
          <w:color w:val="575757"/>
          <w:sz w:val="24"/>
          <w:szCs w:val="24"/>
        </w:rPr>
        <w:t>МСФО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17</w:t>
      </w:r>
      <w:r w:rsidR="009F0D55">
        <w:rPr>
          <w:rFonts w:eastAsia="Times New Roman" w:cs="Helvetica"/>
          <w:color w:val="575757"/>
          <w:sz w:val="24"/>
          <w:szCs w:val="24"/>
          <w:lang w:val="bg-BG"/>
        </w:rPr>
        <w:t>, така че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:</w:t>
      </w:r>
    </w:p>
    <w:p w:rsidR="00FA4EF3" w:rsidRPr="00623D8F" w:rsidRDefault="00AD179A" w:rsidP="00FA4EF3">
      <w:pPr>
        <w:numPr>
          <w:ilvl w:val="0"/>
          <w:numId w:val="6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да разшири модификацията в модифицирания ретроспективен подход и облекчението в подхода </w:t>
      </w:r>
      <w:r w:rsidR="00C27BAF">
        <w:rPr>
          <w:rFonts w:eastAsia="Times New Roman" w:cs="Helvetica"/>
          <w:color w:val="575757"/>
          <w:sz w:val="24"/>
          <w:szCs w:val="24"/>
          <w:lang w:val="bg-BG"/>
        </w:rPr>
        <w:t>за отчитане по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справедлива стойност, отнасящи се до оценки, които биха били направени в началото (при влизане в сила на договора) или първоначалното признаване, така че да се включи оценката относно това дали инвестиционният договор отговаря на дефиницията за инвестиционен договор с характеристики за допълнителни, негарантирани доходи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. </w:t>
      </w:r>
      <w:r>
        <w:rPr>
          <w:rFonts w:eastAsia="Times New Roman" w:cs="Helvetica"/>
          <w:color w:val="575757"/>
          <w:sz w:val="24"/>
          <w:szCs w:val="24"/>
          <w:lang w:val="bg-BG"/>
        </w:rPr>
        <w:t>Това разширяване би позволило на предприятието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да определи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 w:rsidRPr="00AD179A">
        <w:rPr>
          <w:rFonts w:eastAsia="Times New Roman" w:cs="Helvetica"/>
          <w:color w:val="575757"/>
          <w:sz w:val="24"/>
          <w:szCs w:val="24"/>
          <w:lang w:val="bg-BG"/>
        </w:rPr>
        <w:t>дали инвестиционният договор отговаря на дефиницията за инвестиционен договор с характеристики за допълнителни, негарантирани доходи</w:t>
      </w:r>
      <w:r>
        <w:rPr>
          <w:rFonts w:eastAsia="Times New Roman" w:cs="Helvetica"/>
          <w:color w:val="575757"/>
          <w:sz w:val="24"/>
          <w:szCs w:val="24"/>
          <w:lang w:val="bg-BG"/>
        </w:rPr>
        <w:t>, като използва информация, която е налична към датата на преход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(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а не в </w:t>
      </w:r>
      <w:r w:rsidRPr="00AD179A">
        <w:rPr>
          <w:rFonts w:eastAsia="Times New Roman" w:cs="Helvetica"/>
          <w:color w:val="575757"/>
          <w:sz w:val="24"/>
          <w:szCs w:val="24"/>
          <w:lang w:val="bg-BG"/>
        </w:rPr>
        <w:t>началото (при влизане в сила на договора)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или при първоначално признаване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). </w:t>
      </w:r>
      <w:r>
        <w:rPr>
          <w:rFonts w:eastAsia="Times New Roman" w:cs="Helvetica"/>
          <w:color w:val="575757"/>
          <w:sz w:val="24"/>
          <w:szCs w:val="24"/>
          <w:lang w:val="bg-BG"/>
        </w:rPr>
        <w:t>В съответствие с други модификации в модифицирания ретроспективен подход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предприятието би прилагало разширената модификация само до степента, в която предприятието не разполага с разумна и можеща да бъде подкрепена информация, за да приложи ретроспективния подход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.</w:t>
      </w:r>
    </w:p>
    <w:p w:rsidR="00FA4EF3" w:rsidRPr="00623D8F" w:rsidRDefault="00AD179A" w:rsidP="00FA4EF3">
      <w:pPr>
        <w:numPr>
          <w:ilvl w:val="0"/>
          <w:numId w:val="6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да измени предложената модификация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 w:rsidRPr="00AD179A">
        <w:rPr>
          <w:rFonts w:eastAsia="Times New Roman" w:cs="Helvetica"/>
          <w:color w:val="575757"/>
          <w:sz w:val="24"/>
          <w:szCs w:val="24"/>
          <w:lang w:val="bg-BG"/>
        </w:rPr>
        <w:t xml:space="preserve">в модифицирания ретроспективен подход </w:t>
      </w:r>
      <w:r>
        <w:rPr>
          <w:rFonts w:eastAsia="Times New Roman" w:cs="Helvetica"/>
          <w:color w:val="575757"/>
          <w:sz w:val="24"/>
          <w:szCs w:val="24"/>
          <w:lang w:val="bg-BG"/>
        </w:rPr>
        <w:t>по отношение на държани презастрахователни договори, когато стоящите в основата застрахователни договори са обременяващи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. </w:t>
      </w:r>
      <w:r>
        <w:rPr>
          <w:rFonts w:eastAsia="Times New Roman" w:cs="Helvetica"/>
          <w:color w:val="575757"/>
          <w:sz w:val="24"/>
          <w:szCs w:val="24"/>
          <w:lang w:val="bg-BG"/>
        </w:rPr>
        <w:t>Изменението би посочило, че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ако предприятието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 w:rsidRPr="00AD179A">
        <w:rPr>
          <w:rFonts w:eastAsia="Times New Roman" w:cs="Helvetica"/>
          <w:color w:val="575757"/>
          <w:sz w:val="24"/>
          <w:szCs w:val="24"/>
          <w:lang w:val="bg-BG"/>
        </w:rPr>
        <w:t xml:space="preserve">не разполага с разумна и можеща да бъде подкрепена информация, за да 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идентифицира </w:t>
      </w:r>
      <w:r w:rsidR="00731B4C">
        <w:rPr>
          <w:rFonts w:eastAsia="Times New Roman" w:cs="Helvetica"/>
          <w:color w:val="575757"/>
          <w:sz w:val="24"/>
          <w:szCs w:val="24"/>
          <w:lang w:val="bg-BG"/>
        </w:rPr>
        <w:t>дали държаният презастрахователен договор е придобит преди или по същото време, когато се издават застрахователните договори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, </w:t>
      </w:r>
      <w:r w:rsidR="00731B4C">
        <w:rPr>
          <w:rFonts w:eastAsia="Times New Roman" w:cs="Helvetica"/>
          <w:color w:val="575757"/>
          <w:sz w:val="24"/>
          <w:szCs w:val="24"/>
          <w:lang w:val="bg-BG"/>
        </w:rPr>
        <w:t>държаният презастрахователен договор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 w:rsidR="00731B4C">
        <w:rPr>
          <w:rFonts w:eastAsia="Times New Roman" w:cs="Helvetica"/>
          <w:color w:val="575757"/>
          <w:sz w:val="24"/>
          <w:szCs w:val="24"/>
          <w:lang w:val="bg-BG"/>
        </w:rPr>
        <w:t>не би имал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 w:rsidR="00731B4C">
        <w:rPr>
          <w:rFonts w:eastAsia="Times New Roman" w:cs="Helvetica"/>
          <w:color w:val="575757"/>
          <w:sz w:val="24"/>
          <w:szCs w:val="24"/>
          <w:lang w:val="bg-BG"/>
        </w:rPr>
        <w:t>към датата на преход компонент за възстановяване на загубата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.</w:t>
      </w:r>
    </w:p>
    <w:p w:rsidR="00FA4EF3" w:rsidRPr="00623D8F" w:rsidRDefault="0093493C" w:rsidP="00FA4EF3">
      <w:pPr>
        <w:numPr>
          <w:ilvl w:val="0"/>
          <w:numId w:val="6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да добави модификация към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 w:rsidRPr="0093493C">
        <w:rPr>
          <w:rFonts w:eastAsia="Times New Roman" w:cs="Helvetica"/>
          <w:color w:val="575757"/>
          <w:sz w:val="24"/>
          <w:szCs w:val="24"/>
          <w:lang w:val="bg-BG"/>
        </w:rPr>
        <w:t xml:space="preserve">модифицирания ретроспективен подход </w:t>
      </w:r>
      <w:r>
        <w:rPr>
          <w:rFonts w:eastAsia="Times New Roman" w:cs="Helvetica"/>
          <w:color w:val="575757"/>
          <w:sz w:val="24"/>
          <w:szCs w:val="24"/>
          <w:lang w:val="bg-BG"/>
        </w:rPr>
        <w:t>по отношение на предприятия, които правят избор на счетоводна политика да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 w:rsidRPr="0093493C">
        <w:rPr>
          <w:rFonts w:eastAsia="Times New Roman" w:cs="Helvetica"/>
          <w:i/>
          <w:color w:val="575757"/>
          <w:sz w:val="24"/>
          <w:szCs w:val="24"/>
          <w:lang w:val="bg-BG"/>
        </w:rPr>
        <w:t>не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променят третирането на счетоводни приблизителни оценки, направени в предходни междинни финансови отчети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. 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Предприятието би прилагало модификацията до степента, в която предприятието </w:t>
      </w:r>
      <w:r w:rsidRPr="0093493C">
        <w:rPr>
          <w:rFonts w:eastAsia="Times New Roman" w:cs="Helvetica"/>
          <w:color w:val="575757"/>
          <w:sz w:val="24"/>
          <w:szCs w:val="24"/>
          <w:lang w:val="bg-BG"/>
        </w:rPr>
        <w:t xml:space="preserve">не разполага с разумна и можеща да бъде подкрепена информация, за да приложи </w:t>
      </w:r>
      <w:r>
        <w:rPr>
          <w:rFonts w:eastAsia="Times New Roman" w:cs="Helvetica"/>
          <w:color w:val="575757"/>
          <w:sz w:val="24"/>
          <w:szCs w:val="24"/>
          <w:lang w:val="bg-BG"/>
        </w:rPr>
        <w:t>ретроспективно избора си на счетоводна политика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. </w:t>
      </w:r>
      <w:r>
        <w:rPr>
          <w:rFonts w:eastAsia="Times New Roman" w:cs="Helvetica"/>
          <w:color w:val="575757"/>
          <w:sz w:val="24"/>
          <w:szCs w:val="24"/>
          <w:lang w:val="bg-BG"/>
        </w:rPr>
        <w:t>Предприятие, прилагащо модификацията, би определило м</w:t>
      </w:r>
      <w:r w:rsidR="00C27BAF">
        <w:rPr>
          <w:rFonts w:eastAsia="Times New Roman" w:cs="Helvetica"/>
          <w:color w:val="575757"/>
          <w:sz w:val="24"/>
          <w:szCs w:val="24"/>
          <w:lang w:val="bg-BG"/>
        </w:rPr>
        <w:t>а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ржа на </w:t>
      </w:r>
      <w:r w:rsidR="00C27BAF">
        <w:rPr>
          <w:rFonts w:eastAsia="Times New Roman" w:cs="Helvetica"/>
          <w:color w:val="575757"/>
          <w:sz w:val="24"/>
          <w:szCs w:val="24"/>
          <w:lang w:val="bg-BG"/>
        </w:rPr>
        <w:t>договорената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услуга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компонента на загуба и сумите, отнасящи се до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застрахователни финансови приходи или разходи към датата на преход</w:t>
      </w:r>
      <w:r w:rsidR="00D3780B">
        <w:rPr>
          <w:rFonts w:eastAsia="Times New Roman" w:cs="Helvetica"/>
          <w:color w:val="575757"/>
          <w:sz w:val="24"/>
          <w:szCs w:val="24"/>
          <w:lang w:val="bg-BG"/>
        </w:rPr>
        <w:t xml:space="preserve"> така, сякаш предприятието не е изготвяло междинни финансови отчети преди датата на преход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.</w:t>
      </w:r>
    </w:p>
    <w:p w:rsidR="00FA4EF3" w:rsidRPr="00623D8F" w:rsidRDefault="002B72E6" w:rsidP="00FA4EF3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2B72E6">
        <w:rPr>
          <w:rFonts w:eastAsia="Times New Roman" w:cs="Helvetica"/>
          <w:color w:val="575757"/>
          <w:sz w:val="24"/>
          <w:szCs w:val="24"/>
          <w:lang w:val="bg-BG"/>
        </w:rPr>
        <w:t>Всичките присъстващи дванадесет членове на Съвета изразиха съгласие с решения</w:t>
      </w:r>
      <w:r>
        <w:rPr>
          <w:rFonts w:eastAsia="Times New Roman" w:cs="Helvetica"/>
          <w:color w:val="575757"/>
          <w:sz w:val="24"/>
          <w:szCs w:val="24"/>
          <w:lang w:val="bg-BG"/>
        </w:rPr>
        <w:t>та</w:t>
      </w:r>
      <w:r w:rsidR="00C27BAF">
        <w:rPr>
          <w:rFonts w:eastAsia="Times New Roman" w:cs="Helvetica"/>
          <w:color w:val="575757"/>
          <w:sz w:val="24"/>
          <w:szCs w:val="24"/>
          <w:lang w:val="bg-BG"/>
        </w:rPr>
        <w:t>, включени</w:t>
      </w:r>
      <w:r w:rsidRPr="002B72E6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в подточки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(a) </w:t>
      </w:r>
      <w:r>
        <w:rPr>
          <w:rFonts w:eastAsia="Times New Roman" w:cs="Helvetica"/>
          <w:color w:val="575757"/>
          <w:sz w:val="24"/>
          <w:szCs w:val="24"/>
          <w:lang w:val="bg-BG"/>
        </w:rPr>
        <w:t>и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(</w:t>
      </w:r>
      <w:r>
        <w:rPr>
          <w:rFonts w:eastAsia="Times New Roman" w:cs="Helvetica"/>
          <w:color w:val="575757"/>
          <w:sz w:val="24"/>
          <w:szCs w:val="24"/>
          <w:lang w:val="bg-BG"/>
        </w:rPr>
        <w:t>б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). </w:t>
      </w:r>
      <w:r>
        <w:rPr>
          <w:rFonts w:eastAsia="Times New Roman" w:cs="Helvetica"/>
          <w:color w:val="575757"/>
          <w:sz w:val="24"/>
          <w:szCs w:val="24"/>
          <w:lang w:val="bg-BG"/>
        </w:rPr>
        <w:t>Единадесет от присъстващите дванадесет членове изразиха съгласие с решението в подточка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(</w:t>
      </w:r>
      <w:r>
        <w:rPr>
          <w:rFonts w:eastAsia="Times New Roman" w:cs="Helvetica"/>
          <w:color w:val="575757"/>
          <w:sz w:val="24"/>
          <w:szCs w:val="24"/>
          <w:lang w:val="bg-BG"/>
        </w:rPr>
        <w:t>в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). </w:t>
      </w:r>
      <w:r w:rsidRPr="002B72E6">
        <w:rPr>
          <w:rFonts w:eastAsia="Times New Roman" w:cs="Helvetica"/>
          <w:color w:val="575757"/>
          <w:sz w:val="24"/>
          <w:szCs w:val="24"/>
          <w:lang w:val="bg-BG"/>
        </w:rPr>
        <w:t>Двама от членовете на Съвета отсъстваха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.</w:t>
      </w:r>
    </w:p>
    <w:p w:rsidR="00FA4EF3" w:rsidRPr="00623D8F" w:rsidRDefault="00D3780B" w:rsidP="00FA4EF3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Д</w:t>
      </w:r>
      <w:r w:rsidRPr="00D3780B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руги теми, повдигнати от лицата, предоставили становища в отговор на Проекта за обсъждане </w:t>
      </w:r>
      <w:r w:rsidR="00FA4EF3" w:rsidRPr="00623D8F">
        <w:rPr>
          <w:rFonts w:eastAsia="Times New Roman" w:cs="Helvetica"/>
          <w:b/>
          <w:bCs/>
          <w:color w:val="333333"/>
          <w:sz w:val="24"/>
          <w:szCs w:val="24"/>
        </w:rPr>
        <w:t>(</w:t>
      </w:r>
      <w:r w:rsidR="005C6467">
        <w:rPr>
          <w:rFonts w:eastAsia="Times New Roman" w:cs="Helvetica"/>
          <w:b/>
          <w:bCs/>
          <w:color w:val="333333"/>
          <w:sz w:val="24"/>
          <w:szCs w:val="24"/>
        </w:rPr>
        <w:t>Документ по програмата</w:t>
      </w:r>
      <w:r w:rsidR="00FA4EF3" w:rsidRPr="00623D8F">
        <w:rPr>
          <w:rFonts w:eastAsia="Times New Roman" w:cs="Helvetica"/>
          <w:b/>
          <w:bCs/>
          <w:color w:val="333333"/>
          <w:sz w:val="24"/>
          <w:szCs w:val="24"/>
        </w:rPr>
        <w:t xml:space="preserve"> 2</w:t>
      </w:r>
      <w:r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Е</w:t>
      </w:r>
      <w:r w:rsidR="00FA4EF3" w:rsidRPr="00623D8F">
        <w:rPr>
          <w:rFonts w:eastAsia="Times New Roman" w:cs="Helvetica"/>
          <w:b/>
          <w:bCs/>
          <w:color w:val="333333"/>
          <w:sz w:val="24"/>
          <w:szCs w:val="24"/>
        </w:rPr>
        <w:t>)</w:t>
      </w:r>
    </w:p>
    <w:p w:rsidR="00FA4EF3" w:rsidRPr="00623D8F" w:rsidRDefault="001F3AF4" w:rsidP="00FA4EF3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1F3AF4"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реши в порядък на </w:t>
      </w:r>
      <w:r w:rsidR="002C29B1">
        <w:rPr>
          <w:rFonts w:eastAsia="Times New Roman" w:cs="Helvetica"/>
          <w:color w:val="575757"/>
          <w:sz w:val="24"/>
          <w:szCs w:val="24"/>
          <w:lang w:val="bg-BG"/>
        </w:rPr>
        <w:t>работна хипотеза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:</w:t>
      </w:r>
    </w:p>
    <w:p w:rsidR="00FA4EF3" w:rsidRPr="00623D8F" w:rsidRDefault="00D3780B" w:rsidP="00FA4EF3">
      <w:pPr>
        <w:numPr>
          <w:ilvl w:val="0"/>
          <w:numId w:val="7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да измени параграф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Б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66(</w:t>
      </w:r>
      <w:r>
        <w:rPr>
          <w:rFonts w:eastAsia="Times New Roman" w:cs="Helvetica"/>
          <w:color w:val="575757"/>
          <w:sz w:val="24"/>
          <w:szCs w:val="24"/>
          <w:lang w:val="bg-BG"/>
        </w:rPr>
        <w:t>е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) </w:t>
      </w:r>
      <w:r>
        <w:rPr>
          <w:rFonts w:eastAsia="Times New Roman" w:cs="Helvetica"/>
          <w:color w:val="575757"/>
          <w:sz w:val="24"/>
          <w:szCs w:val="24"/>
          <w:lang w:val="bg-BG"/>
        </w:rPr>
        <w:t>от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 w:rsidR="00623D8F">
        <w:rPr>
          <w:rFonts w:eastAsia="Times New Roman" w:cs="Helvetica"/>
          <w:color w:val="575757"/>
          <w:sz w:val="24"/>
          <w:szCs w:val="24"/>
        </w:rPr>
        <w:t>МСФО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17</w:t>
      </w:r>
      <w:r>
        <w:rPr>
          <w:rFonts w:eastAsia="Times New Roman" w:cs="Helvetica"/>
          <w:color w:val="575757"/>
          <w:sz w:val="24"/>
          <w:szCs w:val="24"/>
          <w:lang w:val="bg-BG"/>
        </w:rPr>
        <w:t>, за да отстрани несъответствие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между този параграф и параграф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Б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65(</w:t>
      </w:r>
      <w:r>
        <w:rPr>
          <w:rFonts w:eastAsia="Times New Roman" w:cs="Helvetica"/>
          <w:color w:val="575757"/>
          <w:sz w:val="24"/>
          <w:szCs w:val="24"/>
          <w:lang w:val="bg-BG"/>
        </w:rPr>
        <w:t>м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) </w:t>
      </w:r>
      <w:r>
        <w:rPr>
          <w:rFonts w:eastAsia="Times New Roman" w:cs="Helvetica"/>
          <w:color w:val="575757"/>
          <w:sz w:val="24"/>
          <w:szCs w:val="24"/>
          <w:lang w:val="bg-BG"/>
        </w:rPr>
        <w:t>от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 w:rsidR="00623D8F">
        <w:rPr>
          <w:rFonts w:eastAsia="Times New Roman" w:cs="Helvetica"/>
          <w:color w:val="575757"/>
          <w:sz w:val="24"/>
          <w:szCs w:val="24"/>
        </w:rPr>
        <w:t>МСФО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17. </w:t>
      </w:r>
      <w:r>
        <w:rPr>
          <w:rFonts w:eastAsia="Times New Roman" w:cs="Helvetica"/>
          <w:color w:val="575757"/>
          <w:sz w:val="24"/>
          <w:szCs w:val="24"/>
          <w:lang w:val="bg-BG"/>
        </w:rPr>
        <w:t>След това изменение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предприятието ще прилага параграф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Б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65(</w:t>
      </w:r>
      <w:r>
        <w:rPr>
          <w:rFonts w:eastAsia="Times New Roman" w:cs="Helvetica"/>
          <w:color w:val="575757"/>
          <w:sz w:val="24"/>
          <w:szCs w:val="24"/>
          <w:lang w:val="bg-BG"/>
        </w:rPr>
        <w:t>м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) </w:t>
      </w:r>
      <w:r>
        <w:rPr>
          <w:rFonts w:eastAsia="Times New Roman" w:cs="Helvetica"/>
          <w:color w:val="575757"/>
          <w:sz w:val="24"/>
          <w:szCs w:val="24"/>
          <w:lang w:val="bg-BG"/>
        </w:rPr>
        <w:t>от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 w:rsidR="00623D8F">
        <w:rPr>
          <w:rFonts w:eastAsia="Times New Roman" w:cs="Helvetica"/>
          <w:color w:val="575757"/>
          <w:sz w:val="24"/>
          <w:szCs w:val="24"/>
        </w:rPr>
        <w:t>МСФО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17</w:t>
      </w:r>
      <w:r>
        <w:rPr>
          <w:rFonts w:eastAsia="Times New Roman" w:cs="Helvetica"/>
          <w:color w:val="575757"/>
          <w:sz w:val="24"/>
          <w:szCs w:val="24"/>
          <w:lang w:val="bg-BG"/>
        </w:rPr>
        <w:t>, така че да включва в паричните потоци при изпълнение плащания и постъпления на данъци върху дохода, които конкретно се начисляват на притежателя на полицата съгласно условията на застрахователния договор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.</w:t>
      </w:r>
    </w:p>
    <w:p w:rsidR="00FA4EF3" w:rsidRPr="00623D8F" w:rsidRDefault="00D3780B" w:rsidP="00FA4EF3">
      <w:pPr>
        <w:numPr>
          <w:ilvl w:val="0"/>
          <w:numId w:val="7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да запази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без изменение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изискванията в параграф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Б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113(</w:t>
      </w:r>
      <w:r>
        <w:rPr>
          <w:rFonts w:eastAsia="Times New Roman" w:cs="Helvetica"/>
          <w:color w:val="575757"/>
          <w:sz w:val="24"/>
          <w:szCs w:val="24"/>
          <w:lang w:val="bg-BG"/>
        </w:rPr>
        <w:t>б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) </w:t>
      </w:r>
      <w:r>
        <w:rPr>
          <w:rFonts w:eastAsia="Times New Roman" w:cs="Helvetica"/>
          <w:color w:val="575757"/>
          <w:sz w:val="24"/>
          <w:szCs w:val="24"/>
          <w:lang w:val="bg-BG"/>
        </w:rPr>
        <w:t>от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 w:rsidR="00623D8F">
        <w:rPr>
          <w:rFonts w:eastAsia="Times New Roman" w:cs="Helvetica"/>
          <w:color w:val="575757"/>
          <w:sz w:val="24"/>
          <w:szCs w:val="24"/>
        </w:rPr>
        <w:t>МСФО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17. </w:t>
      </w:r>
      <w:r>
        <w:rPr>
          <w:rFonts w:eastAsia="Times New Roman" w:cs="Helvetica"/>
          <w:color w:val="575757"/>
          <w:sz w:val="24"/>
          <w:szCs w:val="24"/>
          <w:lang w:val="bg-BG"/>
        </w:rPr>
        <w:t>Този параграф изисква предприятието да коригира маржа на договорената услуга по застрахователни договори с характеристики на пряко участие в разпределението на печалбата с оглед промените в ефекта от стойността на парите във времето и финансовите рискове, които не произтичат от стоящите в основата позиции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.</w:t>
      </w:r>
    </w:p>
    <w:p w:rsidR="00FA4EF3" w:rsidRPr="00623D8F" w:rsidRDefault="00D3780B" w:rsidP="00FA4EF3">
      <w:pPr>
        <w:numPr>
          <w:ilvl w:val="0"/>
          <w:numId w:val="7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да не добавя нови изисквания към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 w:rsidR="00623D8F">
        <w:rPr>
          <w:rFonts w:eastAsia="Times New Roman" w:cs="Helvetica"/>
          <w:color w:val="575757"/>
          <w:sz w:val="24"/>
          <w:szCs w:val="24"/>
        </w:rPr>
        <w:t>МСФО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17 </w:t>
      </w:r>
      <w:r>
        <w:rPr>
          <w:rFonts w:eastAsia="Times New Roman" w:cs="Helvetica"/>
          <w:color w:val="575757"/>
          <w:sz w:val="24"/>
          <w:szCs w:val="24"/>
          <w:lang w:val="bg-BG"/>
        </w:rPr>
        <w:t>и да не публикува образователни материали, свързани със счетоводното отчитане на застрахователни договори, които променят с течение на времето своето естество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.</w:t>
      </w:r>
    </w:p>
    <w:p w:rsidR="00FA4EF3" w:rsidRPr="00623D8F" w:rsidRDefault="00D3780B" w:rsidP="00FA4EF3">
      <w:pPr>
        <w:numPr>
          <w:ilvl w:val="0"/>
          <w:numId w:val="7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 w:rsidRPr="00D3780B">
        <w:rPr>
          <w:rFonts w:eastAsia="Times New Roman" w:cs="Helvetica"/>
          <w:color w:val="575757"/>
          <w:sz w:val="24"/>
          <w:szCs w:val="24"/>
          <w:lang w:val="bg-BG"/>
        </w:rPr>
        <w:t>да запази</w:t>
      </w:r>
      <w:r w:rsidRPr="00D3780B">
        <w:rPr>
          <w:rFonts w:eastAsia="Times New Roman" w:cs="Helvetica"/>
          <w:color w:val="575757"/>
          <w:sz w:val="24"/>
          <w:szCs w:val="24"/>
        </w:rPr>
        <w:t xml:space="preserve">, </w:t>
      </w:r>
      <w:r w:rsidRPr="00D3780B">
        <w:rPr>
          <w:rFonts w:eastAsia="Times New Roman" w:cs="Helvetica"/>
          <w:color w:val="575757"/>
          <w:sz w:val="24"/>
          <w:szCs w:val="24"/>
          <w:lang w:val="bg-BG"/>
        </w:rPr>
        <w:t>без изменение</w:t>
      </w:r>
      <w:r w:rsidRPr="00D3780B">
        <w:rPr>
          <w:rFonts w:eastAsia="Times New Roman" w:cs="Helvetica"/>
          <w:color w:val="575757"/>
          <w:sz w:val="24"/>
          <w:szCs w:val="24"/>
        </w:rPr>
        <w:t xml:space="preserve">, </w:t>
      </w:r>
      <w:r w:rsidRPr="00D3780B">
        <w:rPr>
          <w:rFonts w:eastAsia="Times New Roman" w:cs="Helvetica"/>
          <w:color w:val="575757"/>
          <w:sz w:val="24"/>
          <w:szCs w:val="24"/>
          <w:lang w:val="bg-BG"/>
        </w:rPr>
        <w:t xml:space="preserve">изискванията в </w:t>
      </w:r>
      <w:r w:rsidR="00623D8F">
        <w:rPr>
          <w:rFonts w:eastAsia="Times New Roman" w:cs="Helvetica"/>
          <w:color w:val="575757"/>
          <w:sz w:val="24"/>
          <w:szCs w:val="24"/>
        </w:rPr>
        <w:t>МСФО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17</w:t>
      </w:r>
      <w:r>
        <w:rPr>
          <w:rFonts w:eastAsia="Times New Roman" w:cs="Helvetica"/>
          <w:color w:val="575757"/>
          <w:sz w:val="24"/>
          <w:szCs w:val="24"/>
          <w:lang w:val="bg-BG"/>
        </w:rPr>
        <w:t>, отнасящи се до останалите теми, обсъждани в Приложение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A </w:t>
      </w:r>
      <w:r>
        <w:rPr>
          <w:rFonts w:eastAsia="Times New Roman" w:cs="Helvetica"/>
          <w:color w:val="575757"/>
          <w:sz w:val="24"/>
          <w:szCs w:val="24"/>
          <w:lang w:val="bg-BG"/>
        </w:rPr>
        <w:t>към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 w:rsidR="005C6467">
        <w:rPr>
          <w:rFonts w:eastAsia="Times New Roman" w:cs="Helvetica"/>
          <w:color w:val="575757"/>
          <w:sz w:val="24"/>
          <w:szCs w:val="24"/>
        </w:rPr>
        <w:t>Документ по програмата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2</w:t>
      </w:r>
      <w:r>
        <w:rPr>
          <w:rFonts w:eastAsia="Times New Roman" w:cs="Helvetica"/>
          <w:color w:val="575757"/>
          <w:sz w:val="24"/>
          <w:szCs w:val="24"/>
          <w:lang w:val="bg-BG"/>
        </w:rPr>
        <w:t>Е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.</w:t>
      </w:r>
    </w:p>
    <w:p w:rsidR="00FA4EF3" w:rsidRPr="00623D8F" w:rsidRDefault="002B72E6" w:rsidP="00FA4EF3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2B72E6">
        <w:rPr>
          <w:rFonts w:eastAsia="Times New Roman" w:cs="Helvetica"/>
          <w:color w:val="575757"/>
          <w:sz w:val="24"/>
          <w:szCs w:val="24"/>
          <w:lang w:val="bg-BG"/>
        </w:rPr>
        <w:t>Всичките присъстващи дванадесет членове на Съвета изразиха съгласие с тези решения</w:t>
      </w:r>
      <w:r w:rsidRPr="002B72E6">
        <w:rPr>
          <w:rFonts w:eastAsia="Times New Roman" w:cs="Helvetica"/>
          <w:color w:val="575757"/>
          <w:sz w:val="24"/>
          <w:szCs w:val="24"/>
        </w:rPr>
        <w:t xml:space="preserve">. </w:t>
      </w:r>
      <w:r w:rsidRPr="002B72E6">
        <w:rPr>
          <w:rFonts w:eastAsia="Times New Roman" w:cs="Helvetica"/>
          <w:color w:val="575757"/>
          <w:sz w:val="24"/>
          <w:szCs w:val="24"/>
          <w:lang w:val="bg-BG"/>
        </w:rPr>
        <w:t>Двама от членовете на Съвета отсъстваха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.</w:t>
      </w:r>
    </w:p>
    <w:p w:rsidR="00FA4EF3" w:rsidRPr="00623D8F" w:rsidRDefault="005C6467" w:rsidP="00FA4EF3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575757"/>
          <w:sz w:val="24"/>
          <w:szCs w:val="24"/>
        </w:rPr>
        <w:t>Следващи етапи</w:t>
      </w:r>
    </w:p>
    <w:p w:rsidR="00FA4EF3" w:rsidRPr="00623D8F" w:rsidRDefault="0020405D" w:rsidP="00FA4EF3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На заседанието си през март 2020 г. </w:t>
      </w:r>
      <w:r w:rsidR="00D3780B">
        <w:rPr>
          <w:rFonts w:eastAsia="Times New Roman" w:cs="Helvetica"/>
          <w:color w:val="575757"/>
          <w:sz w:val="24"/>
          <w:szCs w:val="24"/>
          <w:lang w:val="bg-BG"/>
        </w:rPr>
        <w:t>Съветът ще подложи на повторно разискване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 w:rsidR="00D3780B">
        <w:rPr>
          <w:rFonts w:eastAsia="Times New Roman" w:cs="Helvetica"/>
          <w:color w:val="575757"/>
          <w:sz w:val="24"/>
          <w:szCs w:val="24"/>
          <w:lang w:val="bg-BG"/>
        </w:rPr>
        <w:t>оставащите две теми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—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датата на влизане в сила на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 w:rsidR="00623D8F">
        <w:rPr>
          <w:rFonts w:eastAsia="Times New Roman" w:cs="Helvetica"/>
          <w:color w:val="575757"/>
          <w:sz w:val="24"/>
          <w:szCs w:val="24"/>
        </w:rPr>
        <w:t>МСФО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17 </w:t>
      </w:r>
      <w:r>
        <w:rPr>
          <w:rFonts w:eastAsia="Times New Roman" w:cs="Helvetica"/>
          <w:color w:val="575757"/>
          <w:sz w:val="24"/>
          <w:szCs w:val="24"/>
          <w:lang w:val="bg-BG"/>
        </w:rPr>
        <w:t>и удължаване на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временното освобождаване от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изискванията на </w:t>
      </w:r>
      <w:r w:rsidR="00623D8F">
        <w:rPr>
          <w:rFonts w:eastAsia="Times New Roman" w:cs="Helvetica"/>
          <w:color w:val="575757"/>
          <w:sz w:val="24"/>
          <w:szCs w:val="24"/>
        </w:rPr>
        <w:t>МСФО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9 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в </w:t>
      </w:r>
      <w:r w:rsidR="00623D8F">
        <w:rPr>
          <w:rFonts w:eastAsia="Times New Roman" w:cs="Helvetica"/>
          <w:color w:val="575757"/>
          <w:sz w:val="24"/>
          <w:szCs w:val="24"/>
        </w:rPr>
        <w:t>МСФО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4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Застрахователни договори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. </w:t>
      </w:r>
      <w:r>
        <w:rPr>
          <w:rFonts w:eastAsia="Times New Roman" w:cs="Helvetica"/>
          <w:color w:val="575757"/>
          <w:sz w:val="24"/>
          <w:szCs w:val="24"/>
          <w:lang w:val="bg-BG"/>
        </w:rPr>
        <w:t>На същото заседание от Съвета ще бъде поискано да даде разрешение за пристъпване към процедурата по гласуване по отношение финализиране на измененията в МС</w:t>
      </w:r>
      <w:r w:rsidR="00623D8F">
        <w:rPr>
          <w:rFonts w:eastAsia="Times New Roman" w:cs="Helvetica"/>
          <w:color w:val="575757"/>
          <w:sz w:val="24"/>
          <w:szCs w:val="24"/>
        </w:rPr>
        <w:t>ФО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17.</w:t>
      </w:r>
    </w:p>
    <w:p w:rsidR="00FA4EF3" w:rsidRPr="00623D8F" w:rsidRDefault="007545FE" w:rsidP="00FA4EF3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</w:rPr>
      </w:pPr>
      <w:bookmarkStart w:id="1" w:name="2"/>
      <w:r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Реформата на базовия лихвен процент и ефектът й върху финансовото отчитане </w:t>
      </w:r>
      <w:r w:rsidR="00FA4EF3" w:rsidRPr="00623D8F">
        <w:rPr>
          <w:rFonts w:eastAsia="Times New Roman" w:cs="Helvetica"/>
          <w:b/>
          <w:bCs/>
          <w:color w:val="CD3333"/>
          <w:sz w:val="34"/>
          <w:szCs w:val="34"/>
        </w:rPr>
        <w:t>—</w:t>
      </w:r>
      <w:r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Фаза</w:t>
      </w:r>
      <w:r w:rsidR="00FA4EF3" w:rsidRPr="00623D8F">
        <w:rPr>
          <w:rFonts w:eastAsia="Times New Roman" w:cs="Helvetica"/>
          <w:b/>
          <w:bCs/>
          <w:color w:val="CD3333"/>
          <w:sz w:val="34"/>
          <w:szCs w:val="34"/>
        </w:rPr>
        <w:t xml:space="preserve"> 2 (</w:t>
      </w:r>
      <w:r w:rsidR="005C6467">
        <w:rPr>
          <w:rFonts w:eastAsia="Times New Roman" w:cs="Helvetica"/>
          <w:b/>
          <w:bCs/>
          <w:color w:val="CD3333"/>
          <w:sz w:val="34"/>
          <w:szCs w:val="34"/>
        </w:rPr>
        <w:t>Документ по програмата</w:t>
      </w:r>
      <w:r w:rsidR="00FA4EF3" w:rsidRPr="00623D8F">
        <w:rPr>
          <w:rFonts w:eastAsia="Times New Roman" w:cs="Helvetica"/>
          <w:b/>
          <w:bCs/>
          <w:color w:val="CD3333"/>
          <w:sz w:val="34"/>
          <w:szCs w:val="34"/>
        </w:rPr>
        <w:t xml:space="preserve"> 14)</w:t>
      </w:r>
      <w:bookmarkEnd w:id="1"/>
    </w:p>
    <w:p w:rsidR="00FA4EF3" w:rsidRPr="00623D8F" w:rsidRDefault="005C6467" w:rsidP="00FA4EF3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5C6467">
        <w:rPr>
          <w:rFonts w:eastAsia="Times New Roman" w:cs="Helvetica"/>
          <w:color w:val="575757"/>
          <w:sz w:val="24"/>
          <w:szCs w:val="24"/>
          <w:lang w:val="bg-BG"/>
        </w:rPr>
        <w:t>На 2</w:t>
      </w:r>
      <w:r>
        <w:rPr>
          <w:rFonts w:eastAsia="Times New Roman" w:cs="Helvetica"/>
          <w:color w:val="575757"/>
          <w:sz w:val="24"/>
          <w:szCs w:val="24"/>
          <w:lang w:val="bg-BG"/>
        </w:rPr>
        <w:t>6</w:t>
      </w:r>
      <w:r w:rsidRPr="005C6467">
        <w:rPr>
          <w:rFonts w:eastAsia="Times New Roman" w:cs="Helvetica"/>
          <w:color w:val="575757"/>
          <w:sz w:val="24"/>
          <w:szCs w:val="24"/>
          <w:lang w:val="bg-BG"/>
        </w:rPr>
        <w:t xml:space="preserve"> февруари 2020 г.</w:t>
      </w:r>
      <w:r w:rsidRPr="005C6467">
        <w:rPr>
          <w:rFonts w:eastAsia="Times New Roman" w:cs="Helvetica"/>
          <w:color w:val="575757"/>
          <w:sz w:val="24"/>
          <w:szCs w:val="24"/>
        </w:rPr>
        <w:t xml:space="preserve"> </w:t>
      </w:r>
      <w:r w:rsidRPr="005C6467"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проведе заседание, за да обсъди </w:t>
      </w:r>
      <w:r w:rsidR="00CE476A">
        <w:rPr>
          <w:rFonts w:eastAsia="Times New Roman" w:cs="Helvetica"/>
          <w:color w:val="575757"/>
          <w:sz w:val="24"/>
          <w:szCs w:val="24"/>
          <w:lang w:val="bg-BG"/>
        </w:rPr>
        <w:t>проблемни въпроси, свързани с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 w:rsidR="0070570A">
        <w:rPr>
          <w:rFonts w:eastAsia="Times New Roman" w:cs="Helvetica"/>
          <w:color w:val="575757"/>
          <w:sz w:val="24"/>
          <w:szCs w:val="24"/>
          <w:lang w:val="bg-BG"/>
        </w:rPr>
        <w:t>реформирането</w:t>
      </w:r>
      <w:r w:rsidR="00CE476A">
        <w:rPr>
          <w:rFonts w:eastAsia="Times New Roman" w:cs="Helvetica"/>
          <w:color w:val="575757"/>
          <w:sz w:val="24"/>
          <w:szCs w:val="24"/>
          <w:lang w:val="bg-BG"/>
        </w:rPr>
        <w:t xml:space="preserve"> на референтните лихвени проценти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(</w:t>
      </w:r>
      <w:r w:rsidR="00CE476A">
        <w:rPr>
          <w:rFonts w:eastAsia="Times New Roman" w:cs="Helvetica"/>
          <w:color w:val="575757"/>
          <w:sz w:val="24"/>
          <w:szCs w:val="24"/>
          <w:lang w:val="bg-BG"/>
        </w:rPr>
        <w:t>„реформа на базовия лихвен процент“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), </w:t>
      </w:r>
      <w:r w:rsidR="00CE476A">
        <w:rPr>
          <w:rFonts w:eastAsia="Times New Roman" w:cs="Helvetica"/>
          <w:color w:val="575757"/>
          <w:sz w:val="24"/>
          <w:szCs w:val="24"/>
          <w:lang w:val="bg-BG"/>
        </w:rPr>
        <w:t>а именно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:</w:t>
      </w:r>
    </w:p>
    <w:p w:rsidR="00FA4EF3" w:rsidRPr="00623D8F" w:rsidRDefault="00CE476A" w:rsidP="00FA4EF3">
      <w:pPr>
        <w:numPr>
          <w:ilvl w:val="0"/>
          <w:numId w:val="8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въпрос, нуждаещ се от уточняване,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свързан с взетото по време на заседанието през октомври 2019 г. в порядък на работна хипотеза решение на Съвета относно това какво представлява модификация на финансов инструмент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.</w:t>
      </w:r>
    </w:p>
    <w:p w:rsidR="00FA4EF3" w:rsidRPr="00623D8F" w:rsidRDefault="00CE476A" w:rsidP="00FA4EF3">
      <w:pPr>
        <w:numPr>
          <w:ilvl w:val="0"/>
          <w:numId w:val="8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кога следва да спре да се прилага изключението, предвидено във Фаза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1</w:t>
      </w:r>
      <w:r>
        <w:rPr>
          <w:rFonts w:eastAsia="Times New Roman" w:cs="Helvetica"/>
          <w:color w:val="575757"/>
          <w:sz w:val="24"/>
          <w:szCs w:val="24"/>
          <w:lang w:val="bg-BG"/>
        </w:rPr>
        <w:t>,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във връзка с изискването в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 w:rsidR="00623D8F">
        <w:rPr>
          <w:rFonts w:eastAsia="Times New Roman" w:cs="Helvetica"/>
          <w:color w:val="575757"/>
          <w:sz w:val="24"/>
          <w:szCs w:val="24"/>
        </w:rPr>
        <w:t>МСФО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9 </w:t>
      </w:r>
      <w:r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Финансови инструменти </w:t>
      </w:r>
      <w:r>
        <w:rPr>
          <w:rFonts w:eastAsia="Times New Roman" w:cs="Helvetica"/>
          <w:color w:val="575757"/>
          <w:sz w:val="24"/>
          <w:szCs w:val="24"/>
          <w:lang w:val="bg-BG"/>
        </w:rPr>
        <w:t>и МСС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39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CE476A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Финансови инструменти</w:t>
      </w:r>
      <w:r w:rsidR="00FA4EF3" w:rsidRPr="00623D8F">
        <w:rPr>
          <w:rFonts w:eastAsia="Times New Roman" w:cs="Helvetica"/>
          <w:i/>
          <w:iCs/>
          <w:color w:val="575757"/>
          <w:sz w:val="24"/>
          <w:szCs w:val="24"/>
        </w:rPr>
        <w:t xml:space="preserve">: </w:t>
      </w:r>
      <w:r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признаване и оценяване </w:t>
      </w:r>
      <w:r>
        <w:rPr>
          <w:rFonts w:eastAsia="Times New Roman" w:cs="Helvetica"/>
          <w:color w:val="575757"/>
          <w:sz w:val="24"/>
          <w:szCs w:val="24"/>
          <w:lang w:val="bg-BG"/>
        </w:rPr>
        <w:t>за отделна разграничимост на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рисков компонент, който не е </w:t>
      </w:r>
      <w:r w:rsidR="0070570A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 xml:space="preserve">конкретно </w:t>
      </w:r>
      <w:r>
        <w:rPr>
          <w:rFonts w:eastAsia="Times New Roman" w:cs="Helvetica"/>
          <w:color w:val="575757"/>
          <w:sz w:val="24"/>
          <w:szCs w:val="24"/>
          <w:lang w:val="bg-BG"/>
        </w:rPr>
        <w:t>договорно посочен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. </w:t>
      </w:r>
      <w:r>
        <w:rPr>
          <w:rFonts w:eastAsia="Times New Roman" w:cs="Helvetica"/>
          <w:color w:val="575757"/>
          <w:sz w:val="24"/>
          <w:szCs w:val="24"/>
          <w:lang w:val="bg-BG"/>
        </w:rPr>
        <w:t>Съветът обсъди също така въпроса дали да предостави изключение от изискването във Фаза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2.</w:t>
      </w:r>
    </w:p>
    <w:p w:rsidR="00FA4EF3" w:rsidRPr="00623D8F" w:rsidRDefault="00CE476A" w:rsidP="00FA4EF3">
      <w:pPr>
        <w:numPr>
          <w:ilvl w:val="0"/>
          <w:numId w:val="8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дали предложените изменения следва да се прилагат доброволно или задължително и кога предложените изменения следва да спрат да се прилагат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.</w:t>
      </w:r>
    </w:p>
    <w:p w:rsidR="00FA4EF3" w:rsidRPr="00623D8F" w:rsidRDefault="00CE476A" w:rsidP="00FA4EF3">
      <w:pPr>
        <w:numPr>
          <w:ilvl w:val="0"/>
          <w:numId w:val="8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предложената дата на влизане в сила и преходните изисквания по отношение на взетите от Съвета в порядък на работна хипотеза решения във Фаза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2.</w:t>
      </w:r>
    </w:p>
    <w:p w:rsidR="00FA4EF3" w:rsidRPr="00623D8F" w:rsidRDefault="00CE476A" w:rsidP="00FA4EF3">
      <w:pPr>
        <w:numPr>
          <w:ilvl w:val="0"/>
          <w:numId w:val="8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приложимите изисквания на регламентираната процедура, включително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предложения период за предоставяне на коментари и разрешението на Съвета да се пристъпи към процедурата по гласуване на проект за обсъждане във връзка с Фаза 2 от проекта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.</w:t>
      </w:r>
    </w:p>
    <w:p w:rsidR="00FA4EF3" w:rsidRPr="00623D8F" w:rsidRDefault="005C6467" w:rsidP="00FA4EF3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</w:rPr>
        <w:t>Документ по програмата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14 </w:t>
      </w:r>
      <w:r w:rsidR="00CE476A">
        <w:rPr>
          <w:rFonts w:eastAsia="Times New Roman" w:cs="Helvetica"/>
          <w:color w:val="575757"/>
          <w:sz w:val="24"/>
          <w:szCs w:val="24"/>
          <w:lang w:val="bg-BG"/>
        </w:rPr>
        <w:t>предоставя обобщение на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 w:rsidR="00CE476A" w:rsidRPr="00CE476A">
        <w:rPr>
          <w:rFonts w:eastAsia="Times New Roman" w:cs="Helvetica"/>
          <w:color w:val="575757"/>
          <w:sz w:val="24"/>
          <w:szCs w:val="24"/>
          <w:lang w:val="bg-BG"/>
        </w:rPr>
        <w:t xml:space="preserve">взетите </w:t>
      </w:r>
      <w:r w:rsidR="00CE476A">
        <w:rPr>
          <w:rFonts w:eastAsia="Times New Roman" w:cs="Helvetica"/>
          <w:color w:val="575757"/>
          <w:sz w:val="24"/>
          <w:szCs w:val="24"/>
          <w:lang w:val="bg-BG"/>
        </w:rPr>
        <w:t xml:space="preserve">до момента </w:t>
      </w:r>
      <w:r w:rsidR="00CE476A" w:rsidRPr="00CE476A">
        <w:rPr>
          <w:rFonts w:eastAsia="Times New Roman" w:cs="Helvetica"/>
          <w:color w:val="575757"/>
          <w:sz w:val="24"/>
          <w:szCs w:val="24"/>
          <w:lang w:val="bg-BG"/>
        </w:rPr>
        <w:t xml:space="preserve">от Съвета в порядък на работна хипотеза решения </w:t>
      </w:r>
      <w:r w:rsidR="00CE476A">
        <w:rPr>
          <w:rFonts w:eastAsia="Times New Roman" w:cs="Helvetica"/>
          <w:color w:val="575757"/>
          <w:sz w:val="24"/>
          <w:szCs w:val="24"/>
          <w:lang w:val="bg-BG"/>
        </w:rPr>
        <w:t>единствено с информационна цел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.</w:t>
      </w:r>
    </w:p>
    <w:p w:rsidR="00FA4EF3" w:rsidRPr="00623D8F" w:rsidRDefault="00CE476A" w:rsidP="00FA4EF3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В</w:t>
      </w:r>
      <w:r w:rsidRPr="00CE476A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ъпрос, нуждаещ се от уточняване</w:t>
      </w:r>
      <w:r w:rsidRPr="00CE476A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 xml:space="preserve"> </w:t>
      </w:r>
      <w:r w:rsidR="00FA4EF3" w:rsidRPr="00623D8F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>—</w:t>
      </w: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модификация на финансови инструменти </w:t>
      </w:r>
      <w:r w:rsidR="00FA4EF3" w:rsidRPr="00623D8F">
        <w:rPr>
          <w:rFonts w:eastAsia="Times New Roman" w:cs="Helvetica"/>
          <w:b/>
          <w:bCs/>
          <w:color w:val="333333"/>
          <w:sz w:val="24"/>
          <w:szCs w:val="24"/>
        </w:rPr>
        <w:t>(</w:t>
      </w:r>
      <w:r w:rsidR="005C6467">
        <w:rPr>
          <w:rFonts w:eastAsia="Times New Roman" w:cs="Helvetica"/>
          <w:b/>
          <w:bCs/>
          <w:color w:val="333333"/>
          <w:sz w:val="24"/>
          <w:szCs w:val="24"/>
        </w:rPr>
        <w:t>Документ по програмата</w:t>
      </w:r>
      <w:r w:rsidR="00FA4EF3" w:rsidRPr="00623D8F">
        <w:rPr>
          <w:rFonts w:eastAsia="Times New Roman" w:cs="Helvetica"/>
          <w:b/>
          <w:bCs/>
          <w:color w:val="333333"/>
          <w:sz w:val="24"/>
          <w:szCs w:val="24"/>
        </w:rPr>
        <w:t xml:space="preserve"> 14A)</w:t>
      </w:r>
    </w:p>
    <w:p w:rsidR="00FA4EF3" w:rsidRPr="00623D8F" w:rsidRDefault="001F3AF4" w:rsidP="00FA4EF3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1F3AF4"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реши в порядък на </w:t>
      </w:r>
      <w:r w:rsidR="002C29B1">
        <w:rPr>
          <w:rFonts w:eastAsia="Times New Roman" w:cs="Helvetica"/>
          <w:color w:val="575757"/>
          <w:sz w:val="24"/>
          <w:szCs w:val="24"/>
          <w:lang w:val="bg-BG"/>
        </w:rPr>
        <w:t>работна хипотеза</w:t>
      </w:r>
      <w:r w:rsidR="00C001ED">
        <w:rPr>
          <w:rFonts w:eastAsia="Times New Roman" w:cs="Helvetica"/>
          <w:color w:val="575757"/>
          <w:sz w:val="24"/>
          <w:szCs w:val="24"/>
          <w:lang w:val="bg-BG"/>
        </w:rPr>
        <w:t>, че предложените изменения, целящи да се поясни какво съставлява модификация на финансов инструмент, следва да се прилагат единствено по отношение на промени, направени в контекста на реформата на базовия лихвен процент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.</w:t>
      </w:r>
    </w:p>
    <w:p w:rsidR="00FA4EF3" w:rsidRPr="00623D8F" w:rsidRDefault="002B72E6" w:rsidP="00FA4EF3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2B72E6">
        <w:rPr>
          <w:rFonts w:eastAsia="Times New Roman" w:cs="Helvetica"/>
          <w:color w:val="575757"/>
          <w:sz w:val="24"/>
          <w:szCs w:val="24"/>
          <w:lang w:val="bg-BG"/>
        </w:rPr>
        <w:t xml:space="preserve">Всичките присъстващи </w:t>
      </w:r>
      <w:r>
        <w:rPr>
          <w:rFonts w:eastAsia="Times New Roman" w:cs="Helvetica"/>
          <w:color w:val="575757"/>
          <w:sz w:val="24"/>
          <w:szCs w:val="24"/>
          <w:lang w:val="bg-BG"/>
        </w:rPr>
        <w:t>тринадесет</w:t>
      </w:r>
      <w:r w:rsidRPr="002B72E6">
        <w:rPr>
          <w:rFonts w:eastAsia="Times New Roman" w:cs="Helvetica"/>
          <w:color w:val="575757"/>
          <w:sz w:val="24"/>
          <w:szCs w:val="24"/>
          <w:lang w:val="bg-BG"/>
        </w:rPr>
        <w:t xml:space="preserve"> членове на Съвета изразиха съгласие с </w:t>
      </w:r>
      <w:r>
        <w:rPr>
          <w:rFonts w:eastAsia="Times New Roman" w:cs="Helvetica"/>
          <w:color w:val="575757"/>
          <w:sz w:val="24"/>
          <w:szCs w:val="24"/>
          <w:lang w:val="bg-BG"/>
        </w:rPr>
        <w:t>това решение</w:t>
      </w:r>
      <w:r w:rsidRPr="002B72E6">
        <w:rPr>
          <w:rFonts w:eastAsia="Times New Roman" w:cs="Helvetica"/>
          <w:color w:val="575757"/>
          <w:sz w:val="24"/>
          <w:szCs w:val="24"/>
        </w:rPr>
        <w:t xml:space="preserve">. </w:t>
      </w:r>
      <w:r>
        <w:rPr>
          <w:rFonts w:eastAsia="Times New Roman" w:cs="Helvetica"/>
          <w:color w:val="575757"/>
          <w:sz w:val="24"/>
          <w:szCs w:val="24"/>
          <w:lang w:val="bg-BG"/>
        </w:rPr>
        <w:t>Един</w:t>
      </w:r>
      <w:r w:rsidRPr="002B72E6">
        <w:rPr>
          <w:rFonts w:eastAsia="Times New Roman" w:cs="Helvetica"/>
          <w:color w:val="575757"/>
          <w:sz w:val="24"/>
          <w:szCs w:val="24"/>
          <w:lang w:val="bg-BG"/>
        </w:rPr>
        <w:t xml:space="preserve"> от членовете на Съвета </w:t>
      </w:r>
      <w:r>
        <w:rPr>
          <w:rFonts w:eastAsia="Times New Roman" w:cs="Helvetica"/>
          <w:color w:val="575757"/>
          <w:sz w:val="24"/>
          <w:szCs w:val="24"/>
          <w:lang w:val="bg-BG"/>
        </w:rPr>
        <w:t>отсъстваше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.</w:t>
      </w:r>
    </w:p>
    <w:p w:rsidR="00FA4EF3" w:rsidRPr="00623D8F" w:rsidRDefault="00C001ED" w:rsidP="00FA4EF3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Хеджиране на рискови компоненти</w:t>
      </w:r>
      <w:r w:rsidR="00FA4EF3" w:rsidRPr="00623D8F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>—</w:t>
      </w: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критерии за отделна разграничимост </w:t>
      </w:r>
      <w:r w:rsidR="00FA4EF3" w:rsidRPr="00623D8F">
        <w:rPr>
          <w:rFonts w:eastAsia="Times New Roman" w:cs="Helvetica"/>
          <w:b/>
          <w:bCs/>
          <w:color w:val="333333"/>
          <w:sz w:val="24"/>
          <w:szCs w:val="24"/>
        </w:rPr>
        <w:t>(</w:t>
      </w:r>
      <w:r w:rsidR="005C6467">
        <w:rPr>
          <w:rFonts w:eastAsia="Times New Roman" w:cs="Helvetica"/>
          <w:b/>
          <w:bCs/>
          <w:color w:val="333333"/>
          <w:sz w:val="24"/>
          <w:szCs w:val="24"/>
        </w:rPr>
        <w:t>Документ по програмата</w:t>
      </w:r>
      <w:r w:rsidR="00FA4EF3" w:rsidRPr="00623D8F">
        <w:rPr>
          <w:rFonts w:eastAsia="Times New Roman" w:cs="Helvetica"/>
          <w:b/>
          <w:bCs/>
          <w:color w:val="333333"/>
          <w:sz w:val="24"/>
          <w:szCs w:val="24"/>
        </w:rPr>
        <w:t xml:space="preserve"> 14</w:t>
      </w:r>
      <w:r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Б</w:t>
      </w:r>
      <w:r w:rsidR="00FA4EF3" w:rsidRPr="00623D8F">
        <w:rPr>
          <w:rFonts w:eastAsia="Times New Roman" w:cs="Helvetica"/>
          <w:b/>
          <w:bCs/>
          <w:color w:val="333333"/>
          <w:sz w:val="24"/>
          <w:szCs w:val="24"/>
        </w:rPr>
        <w:t>)</w:t>
      </w:r>
    </w:p>
    <w:p w:rsidR="00FA4EF3" w:rsidRPr="00623D8F" w:rsidRDefault="001F3AF4" w:rsidP="00FA4EF3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1F3AF4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</w:t>
      </w:r>
      <w:r w:rsidR="00C001ED">
        <w:rPr>
          <w:rFonts w:eastAsia="Times New Roman" w:cs="Helvetica"/>
          <w:color w:val="575757"/>
          <w:sz w:val="24"/>
          <w:szCs w:val="24"/>
          <w:lang w:val="bg-BG"/>
        </w:rPr>
        <w:t>а</w:t>
      </w:r>
      <w:r w:rsidRPr="001F3AF4">
        <w:rPr>
          <w:rFonts w:eastAsia="Times New Roman" w:cs="Helvetica"/>
          <w:color w:val="575757"/>
          <w:sz w:val="24"/>
          <w:szCs w:val="24"/>
          <w:lang w:val="bg-BG"/>
        </w:rPr>
        <w:t xml:space="preserve"> хипотеза</w:t>
      </w:r>
      <w:r w:rsidRPr="001F3AF4">
        <w:rPr>
          <w:rFonts w:eastAsia="Times New Roman" w:cs="Helvetica"/>
          <w:color w:val="575757"/>
          <w:sz w:val="24"/>
          <w:szCs w:val="24"/>
        </w:rPr>
        <w:t xml:space="preserve"> </w:t>
      </w:r>
      <w:r w:rsidR="00C001ED">
        <w:rPr>
          <w:rFonts w:eastAsia="Times New Roman" w:cs="Helvetica"/>
          <w:color w:val="575757"/>
          <w:sz w:val="24"/>
          <w:szCs w:val="24"/>
          <w:lang w:val="bg-BG"/>
        </w:rPr>
        <w:t>да предостави временно облекчение по отношение на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 w:rsidR="00C001ED">
        <w:rPr>
          <w:rFonts w:eastAsia="Times New Roman" w:cs="Helvetica"/>
          <w:color w:val="575757"/>
          <w:sz w:val="24"/>
          <w:szCs w:val="24"/>
          <w:lang w:val="bg-BG"/>
        </w:rPr>
        <w:t>хеджиращи взаимоотношения, изменени, за да се отразят модификации, изисквани като пряко следствие от реформата на базовия лихвен процент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. </w:t>
      </w:r>
      <w:r w:rsidR="00C001ED">
        <w:rPr>
          <w:rFonts w:eastAsia="Times New Roman" w:cs="Helvetica"/>
          <w:color w:val="575757"/>
          <w:sz w:val="24"/>
          <w:szCs w:val="24"/>
          <w:lang w:val="bg-BG"/>
        </w:rPr>
        <w:t>Прилагайки това облекчение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, </w:t>
      </w:r>
      <w:r w:rsidR="00C001ED">
        <w:rPr>
          <w:rFonts w:eastAsia="Times New Roman" w:cs="Helvetica"/>
          <w:color w:val="575757"/>
          <w:sz w:val="24"/>
          <w:szCs w:val="24"/>
          <w:lang w:val="bg-BG"/>
        </w:rPr>
        <w:t>ще се счита, че рисков компонент, който не е посочен конкретно в договора, удовлетворява критериите за „отделно разграничим“</w:t>
      </w:r>
      <w:r w:rsidR="0070570A">
        <w:rPr>
          <w:rFonts w:eastAsia="Times New Roman" w:cs="Helvetica"/>
          <w:color w:val="575757"/>
          <w:sz w:val="24"/>
          <w:szCs w:val="24"/>
          <w:lang w:val="bg-BG"/>
        </w:rPr>
        <w:t>,</w:t>
      </w:r>
      <w:r w:rsidR="00C001ED">
        <w:rPr>
          <w:rFonts w:eastAsia="Times New Roman" w:cs="Helvetica"/>
          <w:color w:val="575757"/>
          <w:sz w:val="24"/>
          <w:szCs w:val="24"/>
          <w:lang w:val="bg-BG"/>
        </w:rPr>
        <w:t xml:space="preserve"> ако и само ако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:</w:t>
      </w:r>
    </w:p>
    <w:p w:rsidR="00FA4EF3" w:rsidRPr="00623D8F" w:rsidRDefault="00C001ED" w:rsidP="00FA4EF3">
      <w:pPr>
        <w:numPr>
          <w:ilvl w:val="0"/>
          <w:numId w:val="9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предприятието разумно очаква, че алтернативният базов лихвен процент ще удовлетворява изискването в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 w:rsidR="00623D8F">
        <w:rPr>
          <w:rFonts w:eastAsia="Times New Roman" w:cs="Helvetica"/>
          <w:color w:val="575757"/>
          <w:sz w:val="24"/>
          <w:szCs w:val="24"/>
        </w:rPr>
        <w:t>МСФО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9 </w:t>
      </w:r>
      <w:r>
        <w:rPr>
          <w:rFonts w:eastAsia="Times New Roman" w:cs="Helvetica"/>
          <w:color w:val="575757"/>
          <w:sz w:val="24"/>
          <w:szCs w:val="24"/>
          <w:lang w:val="bg-BG"/>
        </w:rPr>
        <w:t>или МСС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39 </w:t>
      </w:r>
      <w:r>
        <w:rPr>
          <w:rFonts w:eastAsia="Times New Roman" w:cs="Helvetica"/>
          <w:color w:val="575757"/>
          <w:sz w:val="24"/>
          <w:szCs w:val="24"/>
          <w:lang w:val="bg-BG"/>
        </w:rPr>
        <w:t>за отделно разграничим рисков компонент в рамките на структурата на конкретния пазар в течение на 24 месеца от датата, на която лихвеният процент е определен като рисков компонент за целите на счетоводно</w:t>
      </w:r>
      <w:r w:rsidR="0070570A">
        <w:rPr>
          <w:rFonts w:eastAsia="Times New Roman" w:cs="Helvetica"/>
          <w:color w:val="575757"/>
          <w:sz w:val="24"/>
          <w:szCs w:val="24"/>
          <w:lang w:val="bg-BG"/>
        </w:rPr>
        <w:t>то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отчитане на хеджиране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; </w:t>
      </w:r>
      <w:r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FA4EF3" w:rsidRPr="00623D8F" w:rsidRDefault="00C001ED" w:rsidP="00FA4EF3">
      <w:pPr>
        <w:numPr>
          <w:ilvl w:val="0"/>
          <w:numId w:val="9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рисковият компонент може да бъде надеждно оценен от датата, на която е определен като рисков компонент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.</w:t>
      </w:r>
    </w:p>
    <w:p w:rsidR="00FA4EF3" w:rsidRPr="00623D8F" w:rsidRDefault="002B72E6" w:rsidP="00FA4EF3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2B72E6">
        <w:rPr>
          <w:rFonts w:eastAsia="Times New Roman" w:cs="Helvetica"/>
          <w:color w:val="575757"/>
          <w:sz w:val="24"/>
          <w:szCs w:val="24"/>
          <w:lang w:val="bg-BG"/>
        </w:rPr>
        <w:t>Всичките присъстващи тринадесет членове на Съвета изразиха съгласие с това решение</w:t>
      </w:r>
      <w:r w:rsidRPr="002B72E6">
        <w:rPr>
          <w:rFonts w:eastAsia="Times New Roman" w:cs="Helvetica"/>
          <w:color w:val="575757"/>
          <w:sz w:val="24"/>
          <w:szCs w:val="24"/>
        </w:rPr>
        <w:t xml:space="preserve">. </w:t>
      </w:r>
      <w:r w:rsidRPr="002B72E6">
        <w:rPr>
          <w:rFonts w:eastAsia="Times New Roman" w:cs="Helvetica"/>
          <w:color w:val="575757"/>
          <w:sz w:val="24"/>
          <w:szCs w:val="24"/>
          <w:lang w:val="bg-BG"/>
        </w:rPr>
        <w:t>Един от членовете на Съвета отсъстваше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.</w:t>
      </w:r>
    </w:p>
    <w:p w:rsidR="00FA4EF3" w:rsidRPr="00623D8F" w:rsidRDefault="00C001ED" w:rsidP="00FA4EF3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lastRenderedPageBreak/>
        <w:t>Край на измененията във Фаза</w:t>
      </w:r>
      <w:r w:rsidR="00FA4EF3" w:rsidRPr="00623D8F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 xml:space="preserve"> 2 </w:t>
      </w: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и доброволно или задължително прилагане</w:t>
      </w:r>
      <w:r w:rsidR="00FA4EF3" w:rsidRPr="00623D8F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 xml:space="preserve"> </w:t>
      </w:r>
      <w:r w:rsidR="00FA4EF3" w:rsidRPr="00623D8F">
        <w:rPr>
          <w:rFonts w:eastAsia="Times New Roman" w:cs="Helvetica"/>
          <w:b/>
          <w:bCs/>
          <w:color w:val="333333"/>
          <w:sz w:val="24"/>
          <w:szCs w:val="24"/>
        </w:rPr>
        <w:t>(</w:t>
      </w:r>
      <w:r w:rsidR="005C6467">
        <w:rPr>
          <w:rFonts w:eastAsia="Times New Roman" w:cs="Helvetica"/>
          <w:b/>
          <w:bCs/>
          <w:color w:val="333333"/>
          <w:sz w:val="24"/>
          <w:szCs w:val="24"/>
        </w:rPr>
        <w:t>Документ по програмата</w:t>
      </w:r>
      <w:r w:rsidR="00FA4EF3" w:rsidRPr="00623D8F">
        <w:rPr>
          <w:rFonts w:eastAsia="Times New Roman" w:cs="Helvetica"/>
          <w:b/>
          <w:bCs/>
          <w:color w:val="333333"/>
          <w:sz w:val="24"/>
          <w:szCs w:val="24"/>
        </w:rPr>
        <w:t xml:space="preserve"> 14</w:t>
      </w:r>
      <w:r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В</w:t>
      </w:r>
      <w:r w:rsidR="00FA4EF3" w:rsidRPr="00623D8F">
        <w:rPr>
          <w:rFonts w:eastAsia="Times New Roman" w:cs="Helvetica"/>
          <w:b/>
          <w:bCs/>
          <w:color w:val="333333"/>
          <w:sz w:val="24"/>
          <w:szCs w:val="24"/>
        </w:rPr>
        <w:t>)</w:t>
      </w:r>
    </w:p>
    <w:p w:rsidR="00FA4EF3" w:rsidRPr="00623D8F" w:rsidRDefault="001F3AF4" w:rsidP="00FA4EF3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1F3AF4"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реши в порядък на </w:t>
      </w:r>
      <w:r w:rsidR="002C29B1">
        <w:rPr>
          <w:rFonts w:eastAsia="Times New Roman" w:cs="Helvetica"/>
          <w:color w:val="575757"/>
          <w:sz w:val="24"/>
          <w:szCs w:val="24"/>
          <w:lang w:val="bg-BG"/>
        </w:rPr>
        <w:t>работна хипотеза</w:t>
      </w:r>
      <w:r w:rsidR="00A65A2B">
        <w:rPr>
          <w:rFonts w:eastAsia="Times New Roman" w:cs="Helvetica"/>
          <w:color w:val="575757"/>
          <w:sz w:val="24"/>
          <w:szCs w:val="24"/>
          <w:lang w:val="bg-BG"/>
        </w:rPr>
        <w:t>, че прилагането на всички предложени изменения във Фаза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2 </w:t>
      </w:r>
      <w:r w:rsidR="00A65A2B">
        <w:rPr>
          <w:rFonts w:eastAsia="Times New Roman" w:cs="Helvetica"/>
          <w:color w:val="575757"/>
          <w:sz w:val="24"/>
          <w:szCs w:val="24"/>
          <w:lang w:val="bg-BG"/>
        </w:rPr>
        <w:t>следва да е задължително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. </w:t>
      </w:r>
      <w:r w:rsidR="00A65A2B" w:rsidRPr="00A65A2B"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реши </w:t>
      </w:r>
      <w:r w:rsidR="00A65A2B">
        <w:rPr>
          <w:rFonts w:eastAsia="Times New Roman" w:cs="Helvetica"/>
          <w:color w:val="575757"/>
          <w:sz w:val="24"/>
          <w:szCs w:val="24"/>
          <w:lang w:val="bg-BG"/>
        </w:rPr>
        <w:t xml:space="preserve">също така </w:t>
      </w:r>
      <w:r w:rsidR="00A65A2B" w:rsidRPr="00A65A2B">
        <w:rPr>
          <w:rFonts w:eastAsia="Times New Roman" w:cs="Helvetica"/>
          <w:color w:val="575757"/>
          <w:sz w:val="24"/>
          <w:szCs w:val="24"/>
          <w:lang w:val="bg-BG"/>
        </w:rPr>
        <w:t xml:space="preserve">в порядък на </w:t>
      </w:r>
      <w:r w:rsidR="002C29B1">
        <w:rPr>
          <w:rFonts w:eastAsia="Times New Roman" w:cs="Helvetica"/>
          <w:color w:val="575757"/>
          <w:sz w:val="24"/>
          <w:szCs w:val="24"/>
          <w:lang w:val="bg-BG"/>
        </w:rPr>
        <w:t>работна хипотеза</w:t>
      </w:r>
      <w:r w:rsidR="00A65A2B">
        <w:rPr>
          <w:rFonts w:eastAsia="Times New Roman" w:cs="Helvetica"/>
          <w:color w:val="575757"/>
          <w:sz w:val="24"/>
          <w:szCs w:val="24"/>
          <w:lang w:val="bg-BG"/>
        </w:rPr>
        <w:t>, че естеството на предложените изменения е такова, че те могат да бъдат прилагани само по отношение на модификации на финансови инструменти и промени в хеджиращи взаимоотношения, които удовлетворяват съответните критерии и следователно не е необходимо да бъде посочван конкретен край на изискванията за прилагане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.</w:t>
      </w:r>
    </w:p>
    <w:p w:rsidR="00FA4EF3" w:rsidRPr="00623D8F" w:rsidRDefault="002B72E6" w:rsidP="00FA4EF3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2B72E6">
        <w:rPr>
          <w:rFonts w:eastAsia="Times New Roman" w:cs="Helvetica"/>
          <w:color w:val="575757"/>
          <w:sz w:val="24"/>
          <w:szCs w:val="24"/>
          <w:lang w:val="bg-BG"/>
        </w:rPr>
        <w:t xml:space="preserve">Всичките присъстващи тринадесет членове на Съвета изразиха съгласие с </w:t>
      </w:r>
      <w:r>
        <w:rPr>
          <w:rFonts w:eastAsia="Times New Roman" w:cs="Helvetica"/>
          <w:color w:val="575757"/>
          <w:sz w:val="24"/>
          <w:szCs w:val="24"/>
          <w:lang w:val="bg-BG"/>
        </w:rPr>
        <w:t>тези решения</w:t>
      </w:r>
      <w:r w:rsidRPr="002B72E6">
        <w:rPr>
          <w:rFonts w:eastAsia="Times New Roman" w:cs="Helvetica"/>
          <w:color w:val="575757"/>
          <w:sz w:val="24"/>
          <w:szCs w:val="24"/>
        </w:rPr>
        <w:t xml:space="preserve">. </w:t>
      </w:r>
      <w:r w:rsidRPr="002B72E6">
        <w:rPr>
          <w:rFonts w:eastAsia="Times New Roman" w:cs="Helvetica"/>
          <w:color w:val="575757"/>
          <w:sz w:val="24"/>
          <w:szCs w:val="24"/>
          <w:lang w:val="bg-BG"/>
        </w:rPr>
        <w:t>Един от членовете на Съвета отсъстваше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.</w:t>
      </w:r>
    </w:p>
    <w:p w:rsidR="00FA4EF3" w:rsidRPr="00623D8F" w:rsidRDefault="00A65A2B" w:rsidP="00FA4EF3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Дата на влизане в сила и изисквания при преход </w:t>
      </w:r>
      <w:r w:rsidR="00FA4EF3" w:rsidRPr="00623D8F">
        <w:rPr>
          <w:rFonts w:eastAsia="Times New Roman" w:cs="Helvetica"/>
          <w:b/>
          <w:bCs/>
          <w:color w:val="333333"/>
          <w:sz w:val="24"/>
          <w:szCs w:val="24"/>
        </w:rPr>
        <w:t>(</w:t>
      </w:r>
      <w:r w:rsidR="005C6467">
        <w:rPr>
          <w:rFonts w:eastAsia="Times New Roman" w:cs="Helvetica"/>
          <w:b/>
          <w:bCs/>
          <w:color w:val="333333"/>
          <w:sz w:val="24"/>
          <w:szCs w:val="24"/>
        </w:rPr>
        <w:t>Документ по програмата</w:t>
      </w:r>
      <w:r w:rsidR="00FA4EF3" w:rsidRPr="00623D8F">
        <w:rPr>
          <w:rFonts w:eastAsia="Times New Roman" w:cs="Helvetica"/>
          <w:b/>
          <w:bCs/>
          <w:color w:val="333333"/>
          <w:sz w:val="24"/>
          <w:szCs w:val="24"/>
        </w:rPr>
        <w:t xml:space="preserve"> 14</w:t>
      </w:r>
      <w:r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Г</w:t>
      </w:r>
      <w:r w:rsidR="00FA4EF3" w:rsidRPr="00623D8F">
        <w:rPr>
          <w:rFonts w:eastAsia="Times New Roman" w:cs="Helvetica"/>
          <w:b/>
          <w:bCs/>
          <w:color w:val="333333"/>
          <w:sz w:val="24"/>
          <w:szCs w:val="24"/>
        </w:rPr>
        <w:t>)</w:t>
      </w:r>
    </w:p>
    <w:p w:rsidR="00FA4EF3" w:rsidRPr="00623D8F" w:rsidRDefault="001F3AF4" w:rsidP="00FA4EF3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1F3AF4"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реши в порядък на </w:t>
      </w:r>
      <w:r w:rsidR="002C29B1">
        <w:rPr>
          <w:rFonts w:eastAsia="Times New Roman" w:cs="Helvetica"/>
          <w:color w:val="575757"/>
          <w:sz w:val="24"/>
          <w:szCs w:val="24"/>
          <w:lang w:val="bg-BG"/>
        </w:rPr>
        <w:t>работна хипотеза</w:t>
      </w:r>
      <w:r>
        <w:rPr>
          <w:rFonts w:eastAsia="Times New Roman" w:cs="Helvetica"/>
          <w:color w:val="575757"/>
          <w:sz w:val="24"/>
          <w:szCs w:val="24"/>
          <w:lang w:val="bg-BG"/>
        </w:rPr>
        <w:t>, че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:</w:t>
      </w:r>
    </w:p>
    <w:p w:rsidR="00FA4EF3" w:rsidRPr="00623D8F" w:rsidRDefault="00A65A2B" w:rsidP="00FA4EF3">
      <w:pPr>
        <w:numPr>
          <w:ilvl w:val="0"/>
          <w:numId w:val="10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предприятията следва да прилагат предложените изменения за годишни периоди, започващи на или след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1 </w:t>
      </w:r>
      <w:r>
        <w:rPr>
          <w:rFonts w:eastAsia="Times New Roman" w:cs="Helvetica"/>
          <w:color w:val="575757"/>
          <w:sz w:val="24"/>
          <w:szCs w:val="24"/>
          <w:lang w:val="bg-BG"/>
        </w:rPr>
        <w:t>януари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2021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г</w:t>
      </w:r>
      <w:r w:rsidR="0070570A">
        <w:rPr>
          <w:rFonts w:eastAsia="Times New Roman" w:cs="Helvetica"/>
          <w:color w:val="575757"/>
          <w:sz w:val="24"/>
          <w:szCs w:val="24"/>
          <w:lang w:val="bg-BG"/>
        </w:rPr>
        <w:t>одина,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като по-ранното прилагане е разрешено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.</w:t>
      </w:r>
    </w:p>
    <w:p w:rsidR="00FA4EF3" w:rsidRPr="00623D8F" w:rsidRDefault="00A65A2B" w:rsidP="00FA4EF3">
      <w:pPr>
        <w:numPr>
          <w:ilvl w:val="0"/>
          <w:numId w:val="10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предложените изменения във Фаза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2 </w:t>
      </w:r>
      <w:r>
        <w:rPr>
          <w:rFonts w:eastAsia="Times New Roman" w:cs="Helvetica"/>
          <w:color w:val="575757"/>
          <w:sz w:val="24"/>
          <w:szCs w:val="24"/>
          <w:lang w:val="bg-BG"/>
        </w:rPr>
        <w:t>следва да бъдат прилагани ретроспективно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. </w:t>
      </w:r>
      <w:r>
        <w:rPr>
          <w:rFonts w:eastAsia="Times New Roman" w:cs="Helvetica"/>
          <w:color w:val="575757"/>
          <w:sz w:val="24"/>
          <w:szCs w:val="24"/>
          <w:lang w:val="bg-BG"/>
        </w:rPr>
        <w:t>Ретроспективното прилагане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:</w:t>
      </w:r>
    </w:p>
    <w:p w:rsidR="00FA4EF3" w:rsidRPr="00623D8F" w:rsidRDefault="00A65A2B" w:rsidP="00FA4EF3">
      <w:pPr>
        <w:numPr>
          <w:ilvl w:val="1"/>
          <w:numId w:val="10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се отнася до позиции, съществували към началото на отчетния период, през който предприятието за първи път прилага предложените изменения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включително сумите, натрупани в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резерва от хеджиране на парични потоци, свързани с хеджиращи взаимоотношения, които вече са преустановени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.</w:t>
      </w:r>
    </w:p>
    <w:p w:rsidR="00FA4EF3" w:rsidRPr="00623D8F" w:rsidRDefault="00A65A2B" w:rsidP="00FA4EF3">
      <w:pPr>
        <w:numPr>
          <w:ilvl w:val="1"/>
          <w:numId w:val="10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включва възстановяване на хеджиращи взаимоотношения, които са били преустановени преди предприятието да приложи за първи път предложените изменения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единствено поради промени в хеджиращите взаимоотношения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(</w:t>
      </w:r>
      <w:r>
        <w:rPr>
          <w:rFonts w:eastAsia="Times New Roman" w:cs="Helvetica"/>
          <w:color w:val="575757"/>
          <w:sz w:val="24"/>
          <w:szCs w:val="24"/>
          <w:lang w:val="bg-BG"/>
        </w:rPr>
        <w:t>и свързаната с това документация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)</w:t>
      </w:r>
      <w:r>
        <w:rPr>
          <w:rFonts w:eastAsia="Times New Roman" w:cs="Helvetica"/>
          <w:color w:val="575757"/>
          <w:sz w:val="24"/>
          <w:szCs w:val="24"/>
          <w:lang w:val="bg-BG"/>
        </w:rPr>
        <w:t>, необходими за отразяване на модификациите, изисквани като пряко следствие от реформата на базовия лихвен процент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. </w:t>
      </w:r>
      <w:r w:rsidR="003C1C63">
        <w:rPr>
          <w:rFonts w:eastAsia="Times New Roman" w:cs="Helvetica"/>
          <w:color w:val="575757"/>
          <w:sz w:val="24"/>
          <w:szCs w:val="24"/>
          <w:lang w:val="bg-BG"/>
        </w:rPr>
        <w:t>Тези хеджиращи взаимоотношения трябва да бъдат възстановени, ако предприятието може да демонстрира, че хеджиращото взаимоотношение не би било преустановено, ако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 w:rsidR="003C1C63">
        <w:rPr>
          <w:rFonts w:eastAsia="Times New Roman" w:cs="Helvetica"/>
          <w:color w:val="575757"/>
          <w:sz w:val="24"/>
          <w:szCs w:val="24"/>
          <w:lang w:val="bg-BG"/>
        </w:rPr>
        <w:t>предложените изменения са били на разположение към момента и това може да бъде направено без използването на получена впоследствие информация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.</w:t>
      </w:r>
    </w:p>
    <w:p w:rsidR="00FA4EF3" w:rsidRPr="00623D8F" w:rsidRDefault="003C1C63" w:rsidP="00FA4EF3">
      <w:pPr>
        <w:numPr>
          <w:ilvl w:val="0"/>
          <w:numId w:val="10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в отчетния период, през който предприятието за първи път прилага предложените изменения, от предприятието не се изисква да представя оповестяванията, изисквани от параграф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28(</w:t>
      </w:r>
      <w:r>
        <w:rPr>
          <w:rFonts w:eastAsia="Times New Roman" w:cs="Helvetica"/>
          <w:color w:val="575757"/>
          <w:sz w:val="24"/>
          <w:szCs w:val="24"/>
          <w:lang w:val="bg-BG"/>
        </w:rPr>
        <w:t>е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) </w:t>
      </w:r>
      <w:r>
        <w:rPr>
          <w:rFonts w:eastAsia="Times New Roman" w:cs="Helvetica"/>
          <w:color w:val="575757"/>
          <w:sz w:val="24"/>
          <w:szCs w:val="24"/>
          <w:lang w:val="bg-BG"/>
        </w:rPr>
        <w:t>от МСС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8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Счетоводна политика</w:t>
      </w:r>
      <w:r w:rsidR="00FA4EF3" w:rsidRPr="00623D8F">
        <w:rPr>
          <w:rFonts w:eastAsia="Times New Roman" w:cs="Helvetica"/>
          <w:i/>
          <w:iCs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промени в счетоводните приблизителни оценки и грешки</w:t>
      </w:r>
      <w:r w:rsidR="00FA4EF3" w:rsidRPr="00623D8F">
        <w:rPr>
          <w:rFonts w:eastAsia="Times New Roman" w:cs="Helvetica"/>
          <w:i/>
          <w:iCs/>
          <w:color w:val="575757"/>
          <w:sz w:val="24"/>
          <w:szCs w:val="24"/>
        </w:rPr>
        <w:t>.</w:t>
      </w:r>
    </w:p>
    <w:p w:rsidR="00FA4EF3" w:rsidRPr="00623D8F" w:rsidRDefault="002B72E6" w:rsidP="00FA4EF3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2B72E6">
        <w:rPr>
          <w:rFonts w:eastAsia="Times New Roman" w:cs="Helvetica"/>
          <w:color w:val="575757"/>
          <w:sz w:val="24"/>
          <w:szCs w:val="24"/>
          <w:lang w:val="bg-BG"/>
        </w:rPr>
        <w:t>Всичките присъстващи тринадесет членове на Съвета изразиха съгласие с тези решения</w:t>
      </w:r>
      <w:r w:rsidRPr="002B72E6">
        <w:rPr>
          <w:rFonts w:eastAsia="Times New Roman" w:cs="Helvetica"/>
          <w:color w:val="575757"/>
          <w:sz w:val="24"/>
          <w:szCs w:val="24"/>
        </w:rPr>
        <w:t xml:space="preserve">. </w:t>
      </w:r>
      <w:r w:rsidRPr="002B72E6">
        <w:rPr>
          <w:rFonts w:eastAsia="Times New Roman" w:cs="Helvetica"/>
          <w:color w:val="575757"/>
          <w:sz w:val="24"/>
          <w:szCs w:val="24"/>
          <w:lang w:val="bg-BG"/>
        </w:rPr>
        <w:t>Един от членовете на Съвета отсъстваше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.</w:t>
      </w:r>
    </w:p>
    <w:p w:rsidR="00FA4EF3" w:rsidRPr="00623D8F" w:rsidRDefault="000240B9" w:rsidP="00FA4EF3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lastRenderedPageBreak/>
        <w:t xml:space="preserve">Стъпки от регламентираната процедура </w:t>
      </w:r>
      <w:r w:rsidR="00FA4EF3" w:rsidRPr="00623D8F">
        <w:rPr>
          <w:rFonts w:eastAsia="Times New Roman" w:cs="Helvetica"/>
          <w:b/>
          <w:bCs/>
          <w:color w:val="333333"/>
          <w:sz w:val="24"/>
          <w:szCs w:val="24"/>
        </w:rPr>
        <w:t>(</w:t>
      </w:r>
      <w:r w:rsidR="005C6467">
        <w:rPr>
          <w:rFonts w:eastAsia="Times New Roman" w:cs="Helvetica"/>
          <w:b/>
          <w:bCs/>
          <w:color w:val="333333"/>
          <w:sz w:val="24"/>
          <w:szCs w:val="24"/>
        </w:rPr>
        <w:t>Документ по програмата</w:t>
      </w:r>
      <w:r w:rsidR="00FA4EF3" w:rsidRPr="00623D8F">
        <w:rPr>
          <w:rFonts w:eastAsia="Times New Roman" w:cs="Helvetica"/>
          <w:b/>
          <w:bCs/>
          <w:color w:val="333333"/>
          <w:sz w:val="24"/>
          <w:szCs w:val="24"/>
        </w:rPr>
        <w:t xml:space="preserve"> 14</w:t>
      </w:r>
      <w:r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</w:t>
      </w:r>
      <w:r w:rsidR="00FA4EF3" w:rsidRPr="00623D8F">
        <w:rPr>
          <w:rFonts w:eastAsia="Times New Roman" w:cs="Helvetica"/>
          <w:b/>
          <w:bCs/>
          <w:color w:val="333333"/>
          <w:sz w:val="24"/>
          <w:szCs w:val="24"/>
        </w:rPr>
        <w:t>)</w:t>
      </w:r>
    </w:p>
    <w:p w:rsidR="00FA4EF3" w:rsidRPr="00623D8F" w:rsidRDefault="001F3AF4" w:rsidP="00FA4EF3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1F3AF4"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реши в порядък на </w:t>
      </w:r>
      <w:r w:rsidR="002C29B1">
        <w:rPr>
          <w:rFonts w:eastAsia="Times New Roman" w:cs="Helvetica"/>
          <w:color w:val="575757"/>
          <w:sz w:val="24"/>
          <w:szCs w:val="24"/>
          <w:lang w:val="bg-BG"/>
        </w:rPr>
        <w:t>работна хипотеза</w:t>
      </w:r>
      <w:r w:rsidR="002A5758">
        <w:rPr>
          <w:rFonts w:eastAsia="Times New Roman" w:cs="Helvetica"/>
          <w:color w:val="575757"/>
          <w:sz w:val="24"/>
          <w:szCs w:val="24"/>
          <w:lang w:val="bg-BG"/>
        </w:rPr>
        <w:t>, че периодът за предоставяне на коментари във връзка с предложените изменения следва да бъде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45 </w:t>
      </w:r>
      <w:r w:rsidR="002A5758">
        <w:rPr>
          <w:rFonts w:eastAsia="Times New Roman" w:cs="Helvetica"/>
          <w:color w:val="575757"/>
          <w:sz w:val="24"/>
          <w:szCs w:val="24"/>
          <w:lang w:val="bg-BG"/>
        </w:rPr>
        <w:t>дни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. </w:t>
      </w:r>
      <w:r w:rsidR="002B72E6" w:rsidRPr="002B72E6">
        <w:rPr>
          <w:rFonts w:eastAsia="Times New Roman" w:cs="Helvetica"/>
          <w:color w:val="575757"/>
          <w:sz w:val="24"/>
          <w:szCs w:val="24"/>
          <w:lang w:val="bg-BG"/>
        </w:rPr>
        <w:t>Всичките присъстващи тринадесет членове на Съвета изразиха съгласие</w:t>
      </w:r>
      <w:r w:rsidR="002B72E6" w:rsidRPr="002B72E6">
        <w:rPr>
          <w:rFonts w:eastAsia="Times New Roman" w:cs="Helvetica"/>
          <w:color w:val="575757"/>
          <w:sz w:val="24"/>
          <w:szCs w:val="24"/>
        </w:rPr>
        <w:t xml:space="preserve">. </w:t>
      </w:r>
      <w:r w:rsidR="002B72E6" w:rsidRPr="002B72E6">
        <w:rPr>
          <w:rFonts w:eastAsia="Times New Roman" w:cs="Helvetica"/>
          <w:color w:val="575757"/>
          <w:sz w:val="24"/>
          <w:szCs w:val="24"/>
          <w:lang w:val="bg-BG"/>
        </w:rPr>
        <w:t>Един от членовете на Съвета отсъстваше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.</w:t>
      </w:r>
    </w:p>
    <w:p w:rsidR="00FA4EF3" w:rsidRPr="00623D8F" w:rsidRDefault="002A5758" w:rsidP="00FA4EF3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2A5758">
        <w:rPr>
          <w:rFonts w:eastAsia="Times New Roman" w:cs="Helvetica"/>
          <w:color w:val="575757"/>
          <w:sz w:val="24"/>
          <w:szCs w:val="24"/>
          <w:lang w:val="bg-BG"/>
        </w:rPr>
        <w:t>Всичките присъстващи тринадесет членове на Съвета</w:t>
      </w:r>
      <w:r w:rsidRPr="002A5758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потвърдиха, че са се уверили, че Съветът е изпълнил изискванията на приложимите стъпки от регламентираната процедура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и е осъществил достатъчно консултации и анализи, за да се пристъпи към процедурата по гласуване на проекта за обсъждане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. </w:t>
      </w:r>
      <w:r w:rsidRPr="002A5758">
        <w:rPr>
          <w:rFonts w:eastAsia="Times New Roman" w:cs="Helvetica"/>
          <w:color w:val="575757"/>
          <w:sz w:val="24"/>
          <w:szCs w:val="24"/>
          <w:lang w:val="bg-BG"/>
        </w:rPr>
        <w:t>Един от членовете на Съвета отсъстваше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.</w:t>
      </w:r>
    </w:p>
    <w:p w:rsidR="00FA4EF3" w:rsidRPr="00623D8F" w:rsidRDefault="002A5758" w:rsidP="00FA4EF3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Нито един от</w:t>
      </w:r>
      <w:r w:rsidRPr="002A5758">
        <w:rPr>
          <w:rFonts w:eastAsia="Times New Roman" w:cs="Helvetica"/>
          <w:color w:val="575757"/>
          <w:sz w:val="24"/>
          <w:szCs w:val="24"/>
          <w:lang w:val="bg-BG"/>
        </w:rPr>
        <w:t xml:space="preserve"> присъстващи тринадесет членове на Съвета</w:t>
      </w:r>
      <w:r w:rsidRPr="002A5758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не даде индикации за намерение да изрази несъгласие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с предложените изменения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. </w:t>
      </w:r>
      <w:r w:rsidRPr="002A5758">
        <w:rPr>
          <w:rFonts w:eastAsia="Times New Roman" w:cs="Helvetica"/>
          <w:color w:val="575757"/>
          <w:sz w:val="24"/>
          <w:szCs w:val="24"/>
          <w:lang w:val="bg-BG"/>
        </w:rPr>
        <w:t>Един от членовете на Съвета отсъстваше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.</w:t>
      </w:r>
    </w:p>
    <w:p w:rsidR="00FA4EF3" w:rsidRPr="00623D8F" w:rsidRDefault="005C6467" w:rsidP="00FA4EF3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575757"/>
          <w:sz w:val="24"/>
          <w:szCs w:val="24"/>
        </w:rPr>
        <w:t>Следващ етап</w:t>
      </w:r>
    </w:p>
    <w:p w:rsidR="00FA4EF3" w:rsidRPr="00623D8F" w:rsidRDefault="002A5758" w:rsidP="00FA4EF3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Съветът планира да издаде проект за обсъждане през април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2020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г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.</w:t>
      </w:r>
    </w:p>
    <w:p w:rsidR="00FA4EF3" w:rsidRPr="00623D8F" w:rsidRDefault="002A5758" w:rsidP="00FA4EF3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</w:rPr>
      </w:pPr>
      <w:bookmarkStart w:id="2" w:name="3"/>
      <w:r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Инициатива за оповестяване</w:t>
      </w:r>
      <w:r w:rsidR="00FA4EF3" w:rsidRPr="00623D8F">
        <w:rPr>
          <w:rFonts w:eastAsia="Times New Roman" w:cs="Helvetica"/>
          <w:b/>
          <w:bCs/>
          <w:color w:val="CD3333"/>
          <w:sz w:val="34"/>
          <w:szCs w:val="34"/>
        </w:rPr>
        <w:t>—</w:t>
      </w:r>
      <w:r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целеви преглед на оповестяванията на ниво стандарт</w:t>
      </w:r>
      <w:r w:rsidR="00FA4EF3" w:rsidRPr="00623D8F">
        <w:rPr>
          <w:rFonts w:eastAsia="Times New Roman" w:cs="Helvetica"/>
          <w:b/>
          <w:bCs/>
          <w:color w:val="CD3333"/>
          <w:sz w:val="34"/>
          <w:szCs w:val="34"/>
        </w:rPr>
        <w:t xml:space="preserve"> (</w:t>
      </w:r>
      <w:r w:rsidR="005C6467">
        <w:rPr>
          <w:rFonts w:eastAsia="Times New Roman" w:cs="Helvetica"/>
          <w:b/>
          <w:bCs/>
          <w:color w:val="CD3333"/>
          <w:sz w:val="34"/>
          <w:szCs w:val="34"/>
        </w:rPr>
        <w:t>Документ по програмата</w:t>
      </w:r>
      <w:r w:rsidR="00FA4EF3" w:rsidRPr="00623D8F">
        <w:rPr>
          <w:rFonts w:eastAsia="Times New Roman" w:cs="Helvetica"/>
          <w:b/>
          <w:bCs/>
          <w:color w:val="CD3333"/>
          <w:sz w:val="34"/>
          <w:szCs w:val="34"/>
        </w:rPr>
        <w:t xml:space="preserve"> 11)</w:t>
      </w:r>
      <w:bookmarkEnd w:id="2"/>
    </w:p>
    <w:p w:rsidR="00FA4EF3" w:rsidRPr="00623D8F" w:rsidRDefault="005C6467" w:rsidP="00FA4EF3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5C6467">
        <w:rPr>
          <w:rFonts w:eastAsia="Times New Roman" w:cs="Helvetica"/>
          <w:color w:val="575757"/>
          <w:sz w:val="24"/>
          <w:szCs w:val="24"/>
          <w:lang w:val="bg-BG"/>
        </w:rPr>
        <w:t>На 26 февруари 2020 г.</w:t>
      </w:r>
      <w:r w:rsidRPr="005C6467">
        <w:rPr>
          <w:rFonts w:eastAsia="Times New Roman" w:cs="Helvetica"/>
          <w:color w:val="575757"/>
          <w:sz w:val="24"/>
          <w:szCs w:val="24"/>
        </w:rPr>
        <w:t xml:space="preserve"> </w:t>
      </w:r>
      <w:r w:rsidRPr="005C6467">
        <w:rPr>
          <w:rFonts w:eastAsia="Times New Roman" w:cs="Helvetica"/>
          <w:color w:val="575757"/>
          <w:sz w:val="24"/>
          <w:szCs w:val="24"/>
          <w:lang w:val="bg-BG"/>
        </w:rPr>
        <w:t>Съветът проведе заседание</w:t>
      </w:r>
      <w:r w:rsidR="002A5758">
        <w:rPr>
          <w:rFonts w:eastAsia="Times New Roman" w:cs="Helvetica"/>
          <w:color w:val="575757"/>
          <w:sz w:val="24"/>
          <w:szCs w:val="24"/>
          <w:lang w:val="bg-BG"/>
        </w:rPr>
        <w:t>, за да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:</w:t>
      </w:r>
    </w:p>
    <w:p w:rsidR="00FA4EF3" w:rsidRPr="00623D8F" w:rsidRDefault="002A5758" w:rsidP="00FA4EF3">
      <w:pPr>
        <w:numPr>
          <w:ilvl w:val="0"/>
          <w:numId w:val="1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продължи обсъжданията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относно специфичната цел на оповестяванията във връзка с факторите за промяна в оценките по справедлива стойност, които да бъдат включени в </w:t>
      </w:r>
      <w:r w:rsidR="00623D8F">
        <w:rPr>
          <w:rFonts w:eastAsia="Times New Roman" w:cs="Helvetica"/>
          <w:color w:val="575757"/>
          <w:sz w:val="24"/>
          <w:szCs w:val="24"/>
        </w:rPr>
        <w:t>МСФО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13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Оценяване по справедлива стойност 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—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5C6467">
        <w:rPr>
          <w:rFonts w:eastAsia="Times New Roman" w:cs="Helvetica"/>
          <w:color w:val="575757"/>
          <w:sz w:val="24"/>
          <w:szCs w:val="24"/>
        </w:rPr>
        <w:t>Документ по програмата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11A; </w:t>
      </w:r>
      <w:r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FA4EF3" w:rsidRPr="00623D8F" w:rsidRDefault="002A5758" w:rsidP="00FA4EF3">
      <w:pPr>
        <w:numPr>
          <w:ilvl w:val="0"/>
          <w:numId w:val="1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да разгледа поуките, усвоени от тестването на проекто</w:t>
      </w:r>
      <w:r w:rsidR="00721BF9">
        <w:rPr>
          <w:rFonts w:eastAsia="Times New Roman" w:cs="Helvetica"/>
          <w:color w:val="575757"/>
          <w:sz w:val="24"/>
          <w:szCs w:val="24"/>
          <w:lang w:val="bg-BG"/>
        </w:rPr>
        <w:t>-</w:t>
      </w:r>
      <w:r>
        <w:rPr>
          <w:rFonts w:eastAsia="Times New Roman" w:cs="Helvetica"/>
          <w:color w:val="575757"/>
          <w:sz w:val="24"/>
          <w:szCs w:val="24"/>
          <w:lang w:val="bg-BG"/>
        </w:rPr>
        <w:t>насоките относно разработването и изготвянето на проект на разделите</w:t>
      </w:r>
      <w:r w:rsidR="00A84DE2">
        <w:rPr>
          <w:rFonts w:eastAsia="Times New Roman" w:cs="Helvetica"/>
          <w:color w:val="575757"/>
          <w:sz w:val="24"/>
          <w:szCs w:val="24"/>
          <w:lang w:val="bg-BG"/>
        </w:rPr>
        <w:t>, посветени на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оповестяванията в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 w:rsidR="00623D8F">
        <w:rPr>
          <w:rFonts w:eastAsia="Times New Roman" w:cs="Helvetica"/>
          <w:color w:val="575757"/>
          <w:sz w:val="24"/>
          <w:szCs w:val="24"/>
        </w:rPr>
        <w:t>МСФО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стандартите 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—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5C6467">
        <w:rPr>
          <w:rFonts w:eastAsia="Times New Roman" w:cs="Helvetica"/>
          <w:color w:val="575757"/>
          <w:sz w:val="24"/>
          <w:szCs w:val="24"/>
        </w:rPr>
        <w:t>Документ по програмата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11</w:t>
      </w:r>
      <w:r>
        <w:rPr>
          <w:rFonts w:eastAsia="Times New Roman" w:cs="Helvetica"/>
          <w:color w:val="575757"/>
          <w:sz w:val="24"/>
          <w:szCs w:val="24"/>
          <w:lang w:val="bg-BG"/>
        </w:rPr>
        <w:t>Б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.</w:t>
      </w:r>
    </w:p>
    <w:p w:rsidR="00FA4EF3" w:rsidRPr="00623D8F" w:rsidRDefault="002C29B1" w:rsidP="00FA4EF3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Ф</w:t>
      </w:r>
      <w:r w:rsidRPr="002C29B1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актори за промяна в оценките по справедлива стойност</w:t>
      </w:r>
      <w:r w:rsidRPr="002C29B1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 xml:space="preserve"> </w:t>
      </w:r>
      <w:r w:rsidR="00FA4EF3" w:rsidRPr="00623D8F">
        <w:rPr>
          <w:rFonts w:eastAsia="Times New Roman" w:cs="Helvetica"/>
          <w:b/>
          <w:bCs/>
          <w:color w:val="333333"/>
          <w:sz w:val="24"/>
          <w:szCs w:val="24"/>
        </w:rPr>
        <w:t>(</w:t>
      </w:r>
      <w:r w:rsidR="005C6467">
        <w:rPr>
          <w:rFonts w:eastAsia="Times New Roman" w:cs="Helvetica"/>
          <w:b/>
          <w:bCs/>
          <w:color w:val="333333"/>
          <w:sz w:val="24"/>
          <w:szCs w:val="24"/>
        </w:rPr>
        <w:t>Документ по програмата</w:t>
      </w:r>
      <w:r w:rsidR="00FA4EF3" w:rsidRPr="00623D8F">
        <w:rPr>
          <w:rFonts w:eastAsia="Times New Roman" w:cs="Helvetica"/>
          <w:b/>
          <w:bCs/>
          <w:color w:val="333333"/>
          <w:sz w:val="24"/>
          <w:szCs w:val="24"/>
        </w:rPr>
        <w:t xml:space="preserve"> 11A)</w:t>
      </w:r>
    </w:p>
    <w:p w:rsidR="00FA4EF3" w:rsidRPr="00623D8F" w:rsidRDefault="001F3AF4" w:rsidP="00FA4EF3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1F3AF4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</w:t>
      </w:r>
      <w:r w:rsidR="002C29B1">
        <w:rPr>
          <w:rFonts w:eastAsia="Times New Roman" w:cs="Helvetica"/>
          <w:color w:val="575757"/>
          <w:sz w:val="24"/>
          <w:szCs w:val="24"/>
          <w:lang w:val="bg-BG"/>
        </w:rPr>
        <w:t>а</w:t>
      </w:r>
      <w:r w:rsidRPr="001F3AF4">
        <w:rPr>
          <w:rFonts w:eastAsia="Times New Roman" w:cs="Helvetica"/>
          <w:color w:val="575757"/>
          <w:sz w:val="24"/>
          <w:szCs w:val="24"/>
          <w:lang w:val="bg-BG"/>
        </w:rPr>
        <w:t xml:space="preserve"> хипотеза</w:t>
      </w:r>
      <w:r w:rsidRPr="001F3AF4">
        <w:rPr>
          <w:rFonts w:eastAsia="Times New Roman" w:cs="Helvetica"/>
          <w:color w:val="575757"/>
          <w:sz w:val="24"/>
          <w:szCs w:val="24"/>
        </w:rPr>
        <w:t xml:space="preserve"> </w:t>
      </w:r>
      <w:r w:rsidR="002C29B1">
        <w:rPr>
          <w:rFonts w:eastAsia="Times New Roman" w:cs="Helvetica"/>
          <w:color w:val="575757"/>
          <w:sz w:val="24"/>
          <w:szCs w:val="24"/>
          <w:lang w:val="bg-BG"/>
        </w:rPr>
        <w:t>да преработи три предварителни решения, публикувани в Бюлетина с актуална информация от Съвета по международни счетоводни стандарти за м. септември и ноември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2019</w:t>
      </w:r>
      <w:r w:rsidR="002C29B1">
        <w:rPr>
          <w:rFonts w:eastAsia="Times New Roman" w:cs="Helvetica"/>
          <w:color w:val="575757"/>
          <w:sz w:val="24"/>
          <w:szCs w:val="24"/>
          <w:lang w:val="bg-BG"/>
        </w:rPr>
        <w:t xml:space="preserve"> г., отнасящи се до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 w:rsidR="002C29B1">
        <w:rPr>
          <w:rFonts w:eastAsia="Times New Roman" w:cs="Helvetica"/>
          <w:color w:val="575757"/>
          <w:sz w:val="24"/>
          <w:szCs w:val="24"/>
          <w:lang w:val="bg-BG"/>
        </w:rPr>
        <w:t>специфичната цел на оповестяванията относно факторите за промяна в оценките по справедлива стойност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. </w:t>
      </w:r>
      <w:r w:rsidR="002C29B1" w:rsidRPr="002C29B1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="002C29B1">
        <w:rPr>
          <w:rFonts w:eastAsia="Times New Roman" w:cs="Helvetica"/>
          <w:color w:val="575757"/>
          <w:sz w:val="24"/>
          <w:szCs w:val="24"/>
          <w:lang w:val="bg-BG"/>
        </w:rPr>
        <w:t>, че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:</w:t>
      </w:r>
    </w:p>
    <w:p w:rsidR="00FA4EF3" w:rsidRPr="00623D8F" w:rsidRDefault="008D0501" w:rsidP="00FA4EF3">
      <w:pPr>
        <w:numPr>
          <w:ilvl w:val="0"/>
          <w:numId w:val="12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от предприятието ще се изисква да изпълни специфична цел да оповести информация, която да позволи на потребителите да разберат </w:t>
      </w:r>
      <w:r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съществените </w:t>
      </w:r>
      <w:r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фактори за промяна в оценките по справедлива стойност в течение на отчетния период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.</w:t>
      </w:r>
    </w:p>
    <w:p w:rsidR="00FA4EF3" w:rsidRPr="00623D8F" w:rsidRDefault="008D0501" w:rsidP="00FA4EF3">
      <w:pPr>
        <w:numPr>
          <w:ilvl w:val="0"/>
          <w:numId w:val="12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за да изпълни целта, посочена в подточка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(a), </w:t>
      </w:r>
      <w:r w:rsidRPr="008D0501">
        <w:rPr>
          <w:rFonts w:eastAsia="Times New Roman" w:cs="Helvetica"/>
          <w:color w:val="575757"/>
          <w:sz w:val="24"/>
          <w:szCs w:val="24"/>
          <w:lang w:val="bg-BG"/>
        </w:rPr>
        <w:t xml:space="preserve">от предприятието ще се изисква </w:t>
      </w:r>
      <w:r>
        <w:rPr>
          <w:rFonts w:eastAsia="Times New Roman" w:cs="Helvetica"/>
          <w:color w:val="575757"/>
          <w:sz w:val="24"/>
          <w:szCs w:val="24"/>
          <w:lang w:val="bg-BG"/>
        </w:rPr>
        <w:t>да оповести равнение от началните до крайните салда на повтарящи се оценки по справедлива стойност, класифицирани на ниво 3 от йерархията на справедливите стойности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.</w:t>
      </w:r>
    </w:p>
    <w:p w:rsidR="00FA4EF3" w:rsidRPr="00623D8F" w:rsidRDefault="008D0501" w:rsidP="00FA4EF3">
      <w:pPr>
        <w:numPr>
          <w:ilvl w:val="0"/>
          <w:numId w:val="12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обяснение на съществените фактори за промяна в оценките по справедлива стойност 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—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с изключение на тези, класифицирани на ниво 3 от йерархията на справедливите стойности 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—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ще бъде идентифицирано като пример за информация, която предприятието може, без от него да се изисква, да оповести, за да изпълни целта</w:t>
      </w:r>
      <w:r w:rsidR="00721BF9">
        <w:rPr>
          <w:rFonts w:eastAsia="Times New Roman" w:cs="Helvetica"/>
          <w:color w:val="575757"/>
          <w:sz w:val="24"/>
          <w:szCs w:val="24"/>
          <w:lang w:val="bg-BG"/>
        </w:rPr>
        <w:t>, посочена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в подточка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(a).</w:t>
      </w:r>
    </w:p>
    <w:p w:rsidR="00FA4EF3" w:rsidRPr="00623D8F" w:rsidRDefault="002B72E6" w:rsidP="00FA4EF3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2B72E6">
        <w:rPr>
          <w:rFonts w:eastAsia="Times New Roman" w:cs="Helvetica"/>
          <w:color w:val="575757"/>
          <w:sz w:val="24"/>
          <w:szCs w:val="24"/>
          <w:lang w:val="bg-BG"/>
        </w:rPr>
        <w:t>Всичките присъстващи тринадесет членове на Съвета изразиха съгласие с тези решения</w:t>
      </w:r>
      <w:r w:rsidRPr="002B72E6">
        <w:rPr>
          <w:rFonts w:eastAsia="Times New Roman" w:cs="Helvetica"/>
          <w:color w:val="575757"/>
          <w:sz w:val="24"/>
          <w:szCs w:val="24"/>
        </w:rPr>
        <w:t xml:space="preserve">. </w:t>
      </w:r>
      <w:r w:rsidRPr="002B72E6">
        <w:rPr>
          <w:rFonts w:eastAsia="Times New Roman" w:cs="Helvetica"/>
          <w:color w:val="575757"/>
          <w:sz w:val="24"/>
          <w:szCs w:val="24"/>
          <w:lang w:val="bg-BG"/>
        </w:rPr>
        <w:t>Един от членовете на Съвета отсъстваше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.</w:t>
      </w:r>
    </w:p>
    <w:p w:rsidR="00FA4EF3" w:rsidRPr="00623D8F" w:rsidRDefault="008D0501" w:rsidP="00FA4EF3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П</w:t>
      </w:r>
      <w:r w:rsidRPr="008D0501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оуки, усвоени </w:t>
      </w: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до момента </w:t>
      </w:r>
      <w:r w:rsidRPr="008D0501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от тестването на проекто</w:t>
      </w:r>
      <w:r w:rsidR="00721BF9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-</w:t>
      </w:r>
      <w:r w:rsidRPr="008D0501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насоките </w:t>
      </w:r>
      <w:r w:rsidR="00FA4EF3" w:rsidRPr="00623D8F">
        <w:rPr>
          <w:rFonts w:eastAsia="Times New Roman" w:cs="Helvetica"/>
          <w:b/>
          <w:bCs/>
          <w:color w:val="333333"/>
          <w:sz w:val="24"/>
          <w:szCs w:val="24"/>
        </w:rPr>
        <w:t>(</w:t>
      </w:r>
      <w:r w:rsidR="005C6467">
        <w:rPr>
          <w:rFonts w:eastAsia="Times New Roman" w:cs="Helvetica"/>
          <w:b/>
          <w:bCs/>
          <w:color w:val="333333"/>
          <w:sz w:val="24"/>
          <w:szCs w:val="24"/>
        </w:rPr>
        <w:t>Документ по програмата</w:t>
      </w:r>
      <w:r w:rsidR="00FA4EF3" w:rsidRPr="00623D8F">
        <w:rPr>
          <w:rFonts w:eastAsia="Times New Roman" w:cs="Helvetica"/>
          <w:b/>
          <w:bCs/>
          <w:color w:val="333333"/>
          <w:sz w:val="24"/>
          <w:szCs w:val="24"/>
        </w:rPr>
        <w:t xml:space="preserve"> 11</w:t>
      </w:r>
      <w:r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Б</w:t>
      </w:r>
      <w:r w:rsidR="00FA4EF3" w:rsidRPr="00623D8F">
        <w:rPr>
          <w:rFonts w:eastAsia="Times New Roman" w:cs="Helvetica"/>
          <w:b/>
          <w:bCs/>
          <w:color w:val="333333"/>
          <w:sz w:val="24"/>
          <w:szCs w:val="24"/>
        </w:rPr>
        <w:t>)</w:t>
      </w:r>
    </w:p>
    <w:p w:rsidR="00FA4EF3" w:rsidRPr="00623D8F" w:rsidRDefault="008D0501" w:rsidP="00FA4EF3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След обсъждане на поуките, усвоени от тестване на проекто</w:t>
      </w:r>
      <w:r w:rsidR="00721BF9">
        <w:rPr>
          <w:rFonts w:eastAsia="Times New Roman" w:cs="Helvetica"/>
          <w:color w:val="575757"/>
          <w:sz w:val="24"/>
          <w:szCs w:val="24"/>
          <w:lang w:val="bg-BG"/>
        </w:rPr>
        <w:t>-</w:t>
      </w:r>
      <w:r>
        <w:rPr>
          <w:rFonts w:eastAsia="Times New Roman" w:cs="Helvetica"/>
          <w:color w:val="575757"/>
          <w:sz w:val="24"/>
          <w:szCs w:val="24"/>
          <w:lang w:val="bg-BG"/>
        </w:rPr>
        <w:t>насоките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, </w:t>
      </w:r>
      <w:r w:rsidR="001F3AF4" w:rsidRPr="001F3AF4"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реши в порядък на </w:t>
      </w:r>
      <w:r w:rsidR="002C29B1">
        <w:rPr>
          <w:rFonts w:eastAsia="Times New Roman" w:cs="Helvetica"/>
          <w:color w:val="575757"/>
          <w:sz w:val="24"/>
          <w:szCs w:val="24"/>
          <w:lang w:val="bg-BG"/>
        </w:rPr>
        <w:t>работна хипотеза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да актуализира проекто насоките си, за да посочи, че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:</w:t>
      </w:r>
    </w:p>
    <w:p w:rsidR="00FA4EF3" w:rsidRPr="00623D8F" w:rsidRDefault="008D0501" w:rsidP="00FA4EF3">
      <w:pPr>
        <w:numPr>
          <w:ilvl w:val="0"/>
          <w:numId w:val="13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ще използва предписващата изисквания дума „следва“, за да </w:t>
      </w:r>
      <w:r w:rsidR="00721BF9">
        <w:rPr>
          <w:rFonts w:eastAsia="Times New Roman" w:cs="Helvetica"/>
          <w:color w:val="575757"/>
          <w:sz w:val="24"/>
          <w:szCs w:val="24"/>
          <w:lang w:val="bg-BG"/>
        </w:rPr>
        <w:t>посочи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информация, която винаги е съществена за удовлетворяване на специфична цел на оповестяванията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. </w:t>
      </w:r>
      <w:r>
        <w:rPr>
          <w:rFonts w:eastAsia="Times New Roman" w:cs="Helvetica"/>
          <w:color w:val="575757"/>
          <w:sz w:val="24"/>
          <w:szCs w:val="24"/>
          <w:lang w:val="bg-BG"/>
        </w:rPr>
        <w:t>В останалите случаи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, </w:t>
      </w:r>
      <w:r w:rsidRPr="008D0501"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ще използва </w:t>
      </w:r>
      <w:r>
        <w:rPr>
          <w:rFonts w:eastAsia="Times New Roman" w:cs="Helvetica"/>
          <w:color w:val="575757"/>
          <w:sz w:val="24"/>
          <w:szCs w:val="24"/>
          <w:lang w:val="bg-BG"/>
        </w:rPr>
        <w:t>следната фраза с по-малко разпоредителен характер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: </w:t>
      </w:r>
      <w:r>
        <w:rPr>
          <w:rFonts w:eastAsia="Times New Roman" w:cs="Helvetica"/>
          <w:color w:val="575757"/>
          <w:sz w:val="24"/>
          <w:szCs w:val="24"/>
          <w:lang w:val="bg-BG"/>
        </w:rPr>
        <w:t>„макар да не е задължителна, следната информация би могла да даде възможност на предприятието да изпълни тази цел“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.</w:t>
      </w:r>
    </w:p>
    <w:p w:rsidR="00FA4EF3" w:rsidRPr="00623D8F" w:rsidRDefault="008D0501" w:rsidP="00FA4EF3">
      <w:pPr>
        <w:numPr>
          <w:ilvl w:val="0"/>
          <w:numId w:val="13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всеобхватните цели на оповестяването с висока степен на обобщеност</w:t>
      </w:r>
      <w:r w:rsidR="00D7069C">
        <w:rPr>
          <w:rFonts w:eastAsia="Times New Roman" w:cs="Helvetica"/>
          <w:color w:val="575757"/>
          <w:sz w:val="24"/>
          <w:szCs w:val="24"/>
          <w:lang w:val="bg-BG"/>
        </w:rPr>
        <w:t xml:space="preserve"> ще бъдат представяни в началото на съответния раздел, посветен на оповестяванията, в даден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 w:rsidR="00623D8F">
        <w:rPr>
          <w:rFonts w:eastAsia="Times New Roman" w:cs="Helvetica"/>
          <w:color w:val="575757"/>
          <w:sz w:val="24"/>
          <w:szCs w:val="24"/>
        </w:rPr>
        <w:t>МСФО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 w:rsidR="00D7069C">
        <w:rPr>
          <w:rFonts w:eastAsia="Times New Roman" w:cs="Helvetica"/>
          <w:color w:val="575757"/>
          <w:sz w:val="24"/>
          <w:szCs w:val="24"/>
          <w:lang w:val="bg-BG"/>
        </w:rPr>
        <w:t>стандарт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.</w:t>
      </w:r>
    </w:p>
    <w:p w:rsidR="00FA4EF3" w:rsidRPr="00623D8F" w:rsidRDefault="002B72E6" w:rsidP="00FA4EF3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Единадесет от присъстващите тринадесет членове на Съвета</w:t>
      </w:r>
      <w:r w:rsidRPr="002B72E6">
        <w:rPr>
          <w:rFonts w:eastAsia="Times New Roman" w:cs="Helvetica"/>
          <w:color w:val="575757"/>
          <w:sz w:val="24"/>
          <w:szCs w:val="24"/>
          <w:lang w:val="bg-BG"/>
        </w:rPr>
        <w:t xml:space="preserve"> изразиха съгласие с тези решения</w:t>
      </w:r>
      <w:r w:rsidRPr="002B72E6">
        <w:rPr>
          <w:rFonts w:eastAsia="Times New Roman" w:cs="Helvetica"/>
          <w:color w:val="575757"/>
          <w:sz w:val="24"/>
          <w:szCs w:val="24"/>
        </w:rPr>
        <w:t xml:space="preserve">. </w:t>
      </w:r>
      <w:r w:rsidRPr="002B72E6">
        <w:rPr>
          <w:rFonts w:eastAsia="Times New Roman" w:cs="Helvetica"/>
          <w:color w:val="575757"/>
          <w:sz w:val="24"/>
          <w:szCs w:val="24"/>
          <w:lang w:val="bg-BG"/>
        </w:rPr>
        <w:t>Един от членовете на Съвета отсъстваше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.</w:t>
      </w:r>
    </w:p>
    <w:p w:rsidR="00FA4EF3" w:rsidRPr="00623D8F" w:rsidRDefault="005C6467" w:rsidP="00FA4EF3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575757"/>
          <w:sz w:val="24"/>
          <w:szCs w:val="24"/>
        </w:rPr>
        <w:t>Следващ етап</w:t>
      </w:r>
    </w:p>
    <w:p w:rsidR="00FA4EF3" w:rsidRPr="00623D8F" w:rsidRDefault="00D7069C" w:rsidP="00FA4EF3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На бъдещо свое заседания Съветът ще обсъди стъпките от регламентираната процедура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във връзка с проекта за обсъждане на предложенията си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.</w:t>
      </w:r>
    </w:p>
    <w:p w:rsidR="00FA4EF3" w:rsidRPr="00623D8F" w:rsidRDefault="00D7069C" w:rsidP="00FA4EF3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</w:rPr>
      </w:pPr>
      <w:bookmarkStart w:id="3" w:name="4"/>
      <w:r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Инициатива </w:t>
      </w:r>
      <w:r w:rsidR="003B709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за</w:t>
      </w:r>
      <w:r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оповестяване </w:t>
      </w:r>
      <w:r w:rsidR="00FA4EF3" w:rsidRPr="00623D8F">
        <w:rPr>
          <w:rFonts w:eastAsia="Times New Roman" w:cs="Helvetica"/>
          <w:b/>
          <w:bCs/>
          <w:color w:val="CD3333"/>
          <w:sz w:val="34"/>
          <w:szCs w:val="34"/>
        </w:rPr>
        <w:t>—</w:t>
      </w:r>
      <w:r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счетоводни политики</w:t>
      </w:r>
      <w:r w:rsidR="00FA4EF3" w:rsidRPr="00623D8F">
        <w:rPr>
          <w:rFonts w:eastAsia="Times New Roman" w:cs="Helvetica"/>
          <w:b/>
          <w:bCs/>
          <w:color w:val="CD3333"/>
          <w:sz w:val="34"/>
          <w:szCs w:val="34"/>
        </w:rPr>
        <w:t xml:space="preserve"> (</w:t>
      </w:r>
      <w:r w:rsidR="005C6467">
        <w:rPr>
          <w:rFonts w:eastAsia="Times New Roman" w:cs="Helvetica"/>
          <w:b/>
          <w:bCs/>
          <w:color w:val="CD3333"/>
          <w:sz w:val="34"/>
          <w:szCs w:val="34"/>
        </w:rPr>
        <w:t>Документ по програмата</w:t>
      </w:r>
      <w:r w:rsidR="00FA4EF3" w:rsidRPr="00623D8F">
        <w:rPr>
          <w:rFonts w:eastAsia="Times New Roman" w:cs="Helvetica"/>
          <w:b/>
          <w:bCs/>
          <w:color w:val="CD3333"/>
          <w:sz w:val="34"/>
          <w:szCs w:val="34"/>
        </w:rPr>
        <w:t xml:space="preserve"> 20)</w:t>
      </w:r>
      <w:bookmarkEnd w:id="3"/>
    </w:p>
    <w:p w:rsidR="00FA4EF3" w:rsidRPr="00623D8F" w:rsidRDefault="005C6467" w:rsidP="00FA4EF3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5C6467">
        <w:rPr>
          <w:rFonts w:eastAsia="Times New Roman" w:cs="Helvetica"/>
          <w:color w:val="575757"/>
          <w:sz w:val="24"/>
          <w:szCs w:val="24"/>
          <w:lang w:val="bg-BG"/>
        </w:rPr>
        <w:t>На 26 февруари 2020 г.</w:t>
      </w:r>
      <w:r w:rsidRPr="005C6467">
        <w:rPr>
          <w:rFonts w:eastAsia="Times New Roman" w:cs="Helvetica"/>
          <w:color w:val="575757"/>
          <w:sz w:val="24"/>
          <w:szCs w:val="24"/>
        </w:rPr>
        <w:t xml:space="preserve"> </w:t>
      </w:r>
      <w:r w:rsidRPr="005C6467"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проведе заседание, за да обсъди </w:t>
      </w:r>
      <w:r w:rsidR="00D7069C">
        <w:rPr>
          <w:rFonts w:eastAsia="Times New Roman" w:cs="Helvetica"/>
          <w:color w:val="575757"/>
          <w:sz w:val="24"/>
          <w:szCs w:val="24"/>
          <w:lang w:val="bg-BG"/>
        </w:rPr>
        <w:t xml:space="preserve">коментарите, получени във връзка с Проекта за обсъждане на Съвета </w:t>
      </w:r>
      <w:r w:rsidR="00D7069C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Оповестяване на счетоводните политики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. (</w:t>
      </w:r>
      <w:r w:rsidR="00D7069C">
        <w:rPr>
          <w:rFonts w:eastAsia="Times New Roman" w:cs="Helvetica"/>
          <w:color w:val="575757"/>
          <w:sz w:val="24"/>
          <w:szCs w:val="24"/>
          <w:lang w:val="bg-BG"/>
        </w:rPr>
        <w:t>Проектът за обсъждане излага предложените от Съвета изменения в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 w:rsidR="00D7069C">
        <w:rPr>
          <w:rFonts w:eastAsia="Times New Roman" w:cs="Helvetica"/>
          <w:color w:val="575757"/>
          <w:sz w:val="24"/>
          <w:szCs w:val="24"/>
          <w:lang w:val="bg-BG"/>
        </w:rPr>
        <w:t>МСС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1</w:t>
      </w:r>
      <w:r w:rsidR="00D7069C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D7069C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Представяне </w:t>
      </w:r>
      <w:r w:rsidR="00D7069C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lastRenderedPageBreak/>
        <w:t xml:space="preserve">на финансови отчети </w:t>
      </w:r>
      <w:r w:rsidR="00D7069C">
        <w:rPr>
          <w:rFonts w:eastAsia="Times New Roman" w:cs="Helvetica"/>
          <w:color w:val="575757"/>
          <w:sz w:val="24"/>
          <w:szCs w:val="24"/>
          <w:lang w:val="bg-BG"/>
        </w:rPr>
        <w:t>и Изложение за практика по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 w:rsidR="00623D8F">
        <w:rPr>
          <w:rFonts w:eastAsia="Times New Roman" w:cs="Helvetica"/>
          <w:color w:val="575757"/>
          <w:sz w:val="24"/>
          <w:szCs w:val="24"/>
        </w:rPr>
        <w:t>МСФО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2</w:t>
      </w:r>
      <w:r w:rsidR="00D7069C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D7069C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Извършване на преценки относно нивото на същественост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.)</w:t>
      </w:r>
    </w:p>
    <w:p w:rsidR="00FA4EF3" w:rsidRPr="00623D8F" w:rsidRDefault="001F3AF4" w:rsidP="00D7069C">
      <w:pPr>
        <w:shd w:val="clear" w:color="auto" w:fill="FFFFFF"/>
        <w:tabs>
          <w:tab w:val="left" w:pos="7069"/>
        </w:tabs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От Съвета не бе поискано да взема каквито и да е решения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.</w:t>
      </w:r>
    </w:p>
    <w:p w:rsidR="00FA4EF3" w:rsidRPr="00623D8F" w:rsidRDefault="005C6467" w:rsidP="00FA4EF3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575757"/>
          <w:sz w:val="24"/>
          <w:szCs w:val="24"/>
        </w:rPr>
        <w:t>Следващ етап</w:t>
      </w:r>
    </w:p>
    <w:p w:rsidR="00FA4EF3" w:rsidRPr="00623D8F" w:rsidRDefault="00D7069C" w:rsidP="00FA4EF3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D7069C">
        <w:rPr>
          <w:rFonts w:eastAsia="Times New Roman" w:cs="Helvetica"/>
          <w:color w:val="575757"/>
          <w:sz w:val="24"/>
          <w:szCs w:val="24"/>
          <w:lang w:val="bg-BG"/>
        </w:rPr>
        <w:t xml:space="preserve">На бъдещо свое заседания Съветът ще </w:t>
      </w:r>
      <w:r>
        <w:rPr>
          <w:rFonts w:eastAsia="Times New Roman" w:cs="Helvetica"/>
          <w:color w:val="575757"/>
          <w:sz w:val="24"/>
          <w:szCs w:val="24"/>
          <w:lang w:val="bg-BG"/>
        </w:rPr>
        <w:t>разисква повторно предложенията, изложени в Проекта за обсъждане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.</w:t>
      </w:r>
    </w:p>
    <w:p w:rsidR="00FA4EF3" w:rsidRPr="00623D8F" w:rsidRDefault="00D7069C" w:rsidP="00FA4EF3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</w:rPr>
      </w:pPr>
      <w:bookmarkStart w:id="4" w:name="5"/>
      <w:r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Поддържане и последователно прилагане</w:t>
      </w:r>
      <w:r w:rsidR="00FA4EF3" w:rsidRPr="00623D8F">
        <w:rPr>
          <w:rFonts w:eastAsia="Times New Roman" w:cs="Helvetica"/>
          <w:b/>
          <w:bCs/>
          <w:color w:val="CD3333"/>
          <w:sz w:val="34"/>
          <w:szCs w:val="34"/>
        </w:rPr>
        <w:t xml:space="preserve"> (</w:t>
      </w:r>
      <w:r w:rsidR="005C6467">
        <w:rPr>
          <w:rFonts w:eastAsia="Times New Roman" w:cs="Helvetica"/>
          <w:b/>
          <w:bCs/>
          <w:color w:val="CD3333"/>
          <w:sz w:val="34"/>
          <w:szCs w:val="34"/>
        </w:rPr>
        <w:t>Документ по програмата</w:t>
      </w:r>
      <w:r w:rsidR="00FA4EF3" w:rsidRPr="00623D8F">
        <w:rPr>
          <w:rFonts w:eastAsia="Times New Roman" w:cs="Helvetica"/>
          <w:b/>
          <w:bCs/>
          <w:color w:val="CD3333"/>
          <w:sz w:val="34"/>
          <w:szCs w:val="34"/>
        </w:rPr>
        <w:t xml:space="preserve"> 12)</w:t>
      </w:r>
      <w:bookmarkEnd w:id="4"/>
    </w:p>
    <w:p w:rsidR="00FA4EF3" w:rsidRPr="00623D8F" w:rsidRDefault="005C6467" w:rsidP="00FA4EF3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5C6467">
        <w:rPr>
          <w:rFonts w:eastAsia="Times New Roman" w:cs="Helvetica"/>
          <w:color w:val="575757"/>
          <w:sz w:val="24"/>
          <w:szCs w:val="24"/>
          <w:lang w:val="bg-BG"/>
        </w:rPr>
        <w:t>На 26 февруари 2020 г.</w:t>
      </w:r>
      <w:r w:rsidRPr="005C6467">
        <w:rPr>
          <w:rFonts w:eastAsia="Times New Roman" w:cs="Helvetica"/>
          <w:color w:val="575757"/>
          <w:sz w:val="24"/>
          <w:szCs w:val="24"/>
        </w:rPr>
        <w:t xml:space="preserve"> </w:t>
      </w:r>
      <w:r w:rsidRPr="005C6467"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проведе заседание, за да обсъди </w:t>
      </w:r>
      <w:r w:rsidR="00D7069C">
        <w:rPr>
          <w:rFonts w:eastAsia="Times New Roman" w:cs="Helvetica"/>
          <w:color w:val="575757"/>
          <w:sz w:val="24"/>
          <w:szCs w:val="24"/>
          <w:lang w:val="bg-BG"/>
        </w:rPr>
        <w:t>следните теми във връзка с поддържането и последователното прилагане на стандартите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.</w:t>
      </w:r>
    </w:p>
    <w:p w:rsidR="00FA4EF3" w:rsidRPr="00623D8F" w:rsidRDefault="00D7069C" w:rsidP="00FA4EF3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Наличие на възможност за възстановяване на средства</w:t>
      </w:r>
      <w:r w:rsidR="00FA4EF3" w:rsidRPr="00623D8F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 xml:space="preserve"> (</w:t>
      </w: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Изменения в КРМСФО </w:t>
      </w:r>
      <w:r w:rsidR="00FA4EF3" w:rsidRPr="00623D8F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>14) </w:t>
      </w:r>
      <w:r w:rsidR="00FA4EF3" w:rsidRPr="00623D8F">
        <w:rPr>
          <w:rFonts w:eastAsia="Times New Roman" w:cs="Helvetica"/>
          <w:b/>
          <w:bCs/>
          <w:color w:val="333333"/>
          <w:sz w:val="24"/>
          <w:szCs w:val="24"/>
        </w:rPr>
        <w:t>(</w:t>
      </w:r>
      <w:r w:rsidR="005C6467">
        <w:rPr>
          <w:rFonts w:eastAsia="Times New Roman" w:cs="Helvetica"/>
          <w:b/>
          <w:bCs/>
          <w:color w:val="333333"/>
          <w:sz w:val="24"/>
          <w:szCs w:val="24"/>
        </w:rPr>
        <w:t>Документ по програмата</w:t>
      </w:r>
      <w:r w:rsidR="00FA4EF3" w:rsidRPr="00623D8F">
        <w:rPr>
          <w:rFonts w:eastAsia="Times New Roman" w:cs="Helvetica"/>
          <w:b/>
          <w:bCs/>
          <w:color w:val="333333"/>
          <w:sz w:val="24"/>
          <w:szCs w:val="24"/>
        </w:rPr>
        <w:t xml:space="preserve"> 12A)</w:t>
      </w:r>
    </w:p>
    <w:p w:rsidR="00FA4EF3" w:rsidRPr="00623D8F" w:rsidRDefault="00DD3A05" w:rsidP="00FA4EF3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Съветът бе запознат с актуална информация относно работата по предложените изменения в КРМСФО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14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МСС</w:t>
      </w:r>
      <w:r w:rsidR="00FA4EF3" w:rsidRPr="00623D8F">
        <w:rPr>
          <w:rFonts w:eastAsia="Times New Roman" w:cs="Helvetica"/>
          <w:i/>
          <w:iCs/>
          <w:color w:val="575757"/>
          <w:sz w:val="24"/>
          <w:szCs w:val="24"/>
        </w:rPr>
        <w:t xml:space="preserve"> 19—</w:t>
      </w:r>
      <w:r w:rsidRPr="00DD3A05">
        <w:t xml:space="preserve"> </w:t>
      </w:r>
      <w:r w:rsidRPr="00DD3A05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Ограничението на актив по дефинирани доходи, минимални изисквания за финансиране и тяхното взаимодействие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. </w:t>
      </w:r>
      <w:r>
        <w:rPr>
          <w:rFonts w:eastAsia="Times New Roman" w:cs="Helvetica"/>
          <w:color w:val="575757"/>
          <w:sz w:val="24"/>
          <w:szCs w:val="24"/>
          <w:lang w:val="bg-BG"/>
        </w:rPr>
        <w:t>Съветът обсъди също така и следващите етапи по проекта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.</w:t>
      </w:r>
    </w:p>
    <w:p w:rsidR="00FA4EF3" w:rsidRPr="00623D8F" w:rsidRDefault="00DD3A05" w:rsidP="00FA4EF3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Съветът реши да не финализира предложените изменения в КРМСФО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14.</w:t>
      </w:r>
    </w:p>
    <w:p w:rsidR="00FA4EF3" w:rsidRPr="00623D8F" w:rsidRDefault="002B72E6" w:rsidP="00FA4EF3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2B72E6">
        <w:rPr>
          <w:rFonts w:eastAsia="Times New Roman" w:cs="Helvetica"/>
          <w:color w:val="575757"/>
          <w:sz w:val="24"/>
          <w:szCs w:val="24"/>
          <w:lang w:val="bg-BG"/>
        </w:rPr>
        <w:t xml:space="preserve">Всичките присъстващи тринадесет членове на Съвета изразиха съгласие с </w:t>
      </w:r>
      <w:r>
        <w:rPr>
          <w:rFonts w:eastAsia="Times New Roman" w:cs="Helvetica"/>
          <w:color w:val="575757"/>
          <w:sz w:val="24"/>
          <w:szCs w:val="24"/>
          <w:lang w:val="bg-BG"/>
        </w:rPr>
        <w:t>това решение</w:t>
      </w:r>
      <w:r w:rsidRPr="002B72E6">
        <w:rPr>
          <w:rFonts w:eastAsia="Times New Roman" w:cs="Helvetica"/>
          <w:color w:val="575757"/>
          <w:sz w:val="24"/>
          <w:szCs w:val="24"/>
        </w:rPr>
        <w:t xml:space="preserve">. </w:t>
      </w:r>
      <w:r w:rsidRPr="002B72E6">
        <w:rPr>
          <w:rFonts w:eastAsia="Times New Roman" w:cs="Helvetica"/>
          <w:color w:val="575757"/>
          <w:sz w:val="24"/>
          <w:szCs w:val="24"/>
          <w:lang w:val="bg-BG"/>
        </w:rPr>
        <w:t>Един от членовете на Съвета отсъстваше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.</w:t>
      </w:r>
    </w:p>
    <w:p w:rsidR="00FA4EF3" w:rsidRPr="00623D8F" w:rsidRDefault="005C6467" w:rsidP="002B72E6">
      <w:pPr>
        <w:shd w:val="clear" w:color="auto" w:fill="FFFFFF"/>
        <w:tabs>
          <w:tab w:val="left" w:pos="6781"/>
        </w:tabs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575757"/>
          <w:sz w:val="24"/>
          <w:szCs w:val="24"/>
        </w:rPr>
        <w:t>Следващ етап</w:t>
      </w:r>
      <w:r w:rsidR="002B72E6">
        <w:rPr>
          <w:rFonts w:eastAsia="Times New Roman" w:cs="Helvetica"/>
          <w:b/>
          <w:bCs/>
          <w:i/>
          <w:iCs/>
          <w:color w:val="575757"/>
          <w:sz w:val="24"/>
          <w:szCs w:val="24"/>
        </w:rPr>
        <w:tab/>
      </w:r>
    </w:p>
    <w:p w:rsidR="00FA4EF3" w:rsidRPr="00623D8F" w:rsidRDefault="00DD3A05" w:rsidP="00FA4EF3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DD3A05">
        <w:rPr>
          <w:rFonts w:eastAsia="Times New Roman" w:cs="Helvetica"/>
          <w:color w:val="575757"/>
          <w:sz w:val="24"/>
          <w:szCs w:val="24"/>
          <w:lang w:val="bg-BG"/>
        </w:rPr>
        <w:t xml:space="preserve">На бъдещо свое заседания Съветът 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ще обсъди </w:t>
      </w:r>
      <w:r w:rsidR="00B407E9">
        <w:rPr>
          <w:rFonts w:eastAsia="Times New Roman" w:cs="Helvetica"/>
          <w:color w:val="575757"/>
          <w:sz w:val="24"/>
          <w:szCs w:val="24"/>
          <w:lang w:val="bg-BG"/>
        </w:rPr>
        <w:t>направлението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на развитие на този проект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.</w:t>
      </w:r>
    </w:p>
    <w:p w:rsidR="00FA4EF3" w:rsidRPr="00623D8F" w:rsidRDefault="00DD3A05" w:rsidP="00FA4EF3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Актуална информация от КРМСФО</w:t>
      </w:r>
      <w:r w:rsidR="00FA4EF3" w:rsidRPr="00623D8F">
        <w:rPr>
          <w:rFonts w:eastAsia="Times New Roman" w:cs="Helvetica"/>
          <w:b/>
          <w:bCs/>
          <w:color w:val="333333"/>
          <w:sz w:val="24"/>
          <w:szCs w:val="24"/>
        </w:rPr>
        <w:t xml:space="preserve"> (</w:t>
      </w:r>
      <w:r w:rsidR="005C6467">
        <w:rPr>
          <w:rFonts w:eastAsia="Times New Roman" w:cs="Helvetica"/>
          <w:b/>
          <w:bCs/>
          <w:color w:val="333333"/>
          <w:sz w:val="24"/>
          <w:szCs w:val="24"/>
        </w:rPr>
        <w:t>Документ по програмата</w:t>
      </w:r>
      <w:r w:rsidR="00FA4EF3" w:rsidRPr="00623D8F">
        <w:rPr>
          <w:rFonts w:eastAsia="Times New Roman" w:cs="Helvetica"/>
          <w:b/>
          <w:bCs/>
          <w:color w:val="333333"/>
          <w:sz w:val="24"/>
          <w:szCs w:val="24"/>
        </w:rPr>
        <w:t xml:space="preserve"> 12</w:t>
      </w:r>
      <w:r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Б</w:t>
      </w:r>
      <w:r w:rsidR="00FA4EF3" w:rsidRPr="00623D8F">
        <w:rPr>
          <w:rFonts w:eastAsia="Times New Roman" w:cs="Helvetica"/>
          <w:b/>
          <w:bCs/>
          <w:color w:val="333333"/>
          <w:sz w:val="24"/>
          <w:szCs w:val="24"/>
        </w:rPr>
        <w:t>)</w:t>
      </w:r>
    </w:p>
    <w:p w:rsidR="00FA4EF3" w:rsidRPr="00623D8F" w:rsidRDefault="00DD3A05" w:rsidP="00FA4EF3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Съветът бе запознат с актуална информация от проведеното през януари 2020 г. заседание на Комитета по разясненията на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 w:rsidR="00623D8F">
        <w:rPr>
          <w:rFonts w:eastAsia="Times New Roman" w:cs="Helvetica"/>
          <w:color w:val="575757"/>
          <w:sz w:val="24"/>
          <w:szCs w:val="24"/>
        </w:rPr>
        <w:t>МСФО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. </w:t>
      </w:r>
      <w:r>
        <w:rPr>
          <w:rFonts w:eastAsia="Times New Roman" w:cs="Helvetica"/>
          <w:color w:val="575757"/>
          <w:sz w:val="24"/>
          <w:szCs w:val="24"/>
          <w:lang w:val="bg-BG"/>
        </w:rPr>
        <w:t>Подробности за това заседание са публикувани в Бюлетина с актуална информация от Комитета по разясненията за януари 2020 г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. </w:t>
      </w:r>
      <w:r>
        <w:rPr>
          <w:rFonts w:eastAsia="Times New Roman" w:cs="Helvetica"/>
          <w:color w:val="575757"/>
          <w:sz w:val="24"/>
          <w:szCs w:val="24"/>
          <w:lang w:val="bg-BG"/>
        </w:rPr>
        <w:t>От Съвета не по поискано да взема каквито и да е решения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.</w:t>
      </w:r>
    </w:p>
    <w:p w:rsidR="00FA4EF3" w:rsidRPr="00623D8F" w:rsidRDefault="00DD3A05" w:rsidP="00FA4EF3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</w:rPr>
      </w:pPr>
      <w:bookmarkStart w:id="5" w:name="6"/>
      <w:r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Бизнес комбинации под общ контрол </w:t>
      </w:r>
      <w:r w:rsidR="00FA4EF3" w:rsidRPr="00623D8F">
        <w:rPr>
          <w:rFonts w:eastAsia="Times New Roman" w:cs="Helvetica"/>
          <w:b/>
          <w:bCs/>
          <w:color w:val="CD3333"/>
          <w:sz w:val="34"/>
          <w:szCs w:val="34"/>
        </w:rPr>
        <w:t>(</w:t>
      </w:r>
      <w:r w:rsidR="005C6467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Документи</w:t>
      </w:r>
      <w:r w:rsidR="005C6467">
        <w:rPr>
          <w:rFonts w:eastAsia="Times New Roman" w:cs="Helvetica"/>
          <w:b/>
          <w:bCs/>
          <w:color w:val="CD3333"/>
          <w:sz w:val="34"/>
          <w:szCs w:val="34"/>
        </w:rPr>
        <w:t xml:space="preserve"> по програмата</w:t>
      </w:r>
      <w:r w:rsidR="00FA4EF3" w:rsidRPr="00623D8F">
        <w:rPr>
          <w:rFonts w:eastAsia="Times New Roman" w:cs="Helvetica"/>
          <w:b/>
          <w:bCs/>
          <w:color w:val="CD3333"/>
          <w:sz w:val="34"/>
          <w:szCs w:val="34"/>
        </w:rPr>
        <w:t xml:space="preserve"> 23A </w:t>
      </w:r>
      <w:r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и</w:t>
      </w:r>
      <w:r w:rsidR="00FA4EF3" w:rsidRPr="00623D8F">
        <w:rPr>
          <w:rFonts w:eastAsia="Times New Roman" w:cs="Helvetica"/>
          <w:b/>
          <w:bCs/>
          <w:color w:val="CD3333"/>
          <w:sz w:val="34"/>
          <w:szCs w:val="34"/>
        </w:rPr>
        <w:t xml:space="preserve"> 23</w:t>
      </w:r>
      <w:r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Б</w:t>
      </w:r>
      <w:r w:rsidR="00FA4EF3" w:rsidRPr="00623D8F">
        <w:rPr>
          <w:rFonts w:eastAsia="Times New Roman" w:cs="Helvetica"/>
          <w:b/>
          <w:bCs/>
          <w:color w:val="CD3333"/>
          <w:sz w:val="34"/>
          <w:szCs w:val="34"/>
        </w:rPr>
        <w:t>)</w:t>
      </w:r>
      <w:bookmarkEnd w:id="5"/>
    </w:p>
    <w:p w:rsidR="00FA4EF3" w:rsidRPr="00623D8F" w:rsidRDefault="005C6467" w:rsidP="00FA4EF3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5C6467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На 2</w:t>
      </w:r>
      <w:r>
        <w:rPr>
          <w:rFonts w:eastAsia="Times New Roman" w:cs="Helvetica"/>
          <w:color w:val="575757"/>
          <w:sz w:val="24"/>
          <w:szCs w:val="24"/>
          <w:lang w:val="bg-BG"/>
        </w:rPr>
        <w:t>7</w:t>
      </w:r>
      <w:r w:rsidRPr="005C6467">
        <w:rPr>
          <w:rFonts w:eastAsia="Times New Roman" w:cs="Helvetica"/>
          <w:color w:val="575757"/>
          <w:sz w:val="24"/>
          <w:szCs w:val="24"/>
          <w:lang w:val="bg-BG"/>
        </w:rPr>
        <w:t xml:space="preserve"> февруари 2020 г.</w:t>
      </w:r>
      <w:r w:rsidRPr="005C6467">
        <w:rPr>
          <w:rFonts w:eastAsia="Times New Roman" w:cs="Helvetica"/>
          <w:color w:val="575757"/>
          <w:sz w:val="24"/>
          <w:szCs w:val="24"/>
        </w:rPr>
        <w:t xml:space="preserve"> </w:t>
      </w:r>
      <w:r w:rsidRPr="005C6467"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проведе заседание, за да обсъди </w:t>
      </w:r>
      <w:r w:rsidR="00A57A5A">
        <w:rPr>
          <w:rFonts w:eastAsia="Times New Roman" w:cs="Helvetica"/>
          <w:color w:val="575757"/>
          <w:sz w:val="24"/>
          <w:szCs w:val="24"/>
          <w:lang w:val="bg-BG"/>
        </w:rPr>
        <w:t>изследователския си проект, посветен на бизнес комбинациите под общ контрол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.</w:t>
      </w:r>
    </w:p>
    <w:p w:rsidR="00FA4EF3" w:rsidRPr="00623D8F" w:rsidRDefault="00A57A5A" w:rsidP="00FA4EF3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Оповестяване </w:t>
      </w:r>
      <w:r w:rsidR="00FA4EF3" w:rsidRPr="00623D8F">
        <w:rPr>
          <w:rFonts w:eastAsia="Times New Roman" w:cs="Helvetica"/>
          <w:b/>
          <w:bCs/>
          <w:color w:val="333333"/>
          <w:sz w:val="24"/>
          <w:szCs w:val="24"/>
        </w:rPr>
        <w:t>(</w:t>
      </w:r>
      <w:r w:rsidR="005C6467">
        <w:rPr>
          <w:rFonts w:eastAsia="Times New Roman" w:cs="Helvetica"/>
          <w:b/>
          <w:bCs/>
          <w:color w:val="333333"/>
          <w:sz w:val="24"/>
          <w:szCs w:val="24"/>
        </w:rPr>
        <w:t>Документ по програмата</w:t>
      </w:r>
      <w:r>
        <w:rPr>
          <w:rFonts w:eastAsia="Times New Roman" w:cs="Helvetica"/>
          <w:b/>
          <w:bCs/>
          <w:color w:val="333333"/>
          <w:sz w:val="24"/>
          <w:szCs w:val="24"/>
        </w:rPr>
        <w:t xml:space="preserve"> 23A)</w:t>
      </w:r>
    </w:p>
    <w:p w:rsidR="00FA4EF3" w:rsidRPr="00623D8F" w:rsidRDefault="00A57A5A" w:rsidP="00FA4EF3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Съветът обсъди въпроса каква информация относно бизнес комбинациите под общ контрол следва да оповести получаващото предприятие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.</w:t>
      </w:r>
    </w:p>
    <w:p w:rsidR="00FA4EF3" w:rsidRPr="00623D8F" w:rsidRDefault="001F3AF4" w:rsidP="00FA4EF3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1F3AF4"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реши в порядък на </w:t>
      </w:r>
      <w:r w:rsidR="002C29B1">
        <w:rPr>
          <w:rFonts w:eastAsia="Times New Roman" w:cs="Helvetica"/>
          <w:color w:val="575757"/>
          <w:sz w:val="24"/>
          <w:szCs w:val="24"/>
          <w:lang w:val="bg-BG"/>
        </w:rPr>
        <w:t>работна хипотеза</w:t>
      </w:r>
      <w:r w:rsidR="00822F84">
        <w:rPr>
          <w:rFonts w:eastAsia="Times New Roman" w:cs="Helvetica"/>
          <w:color w:val="575757"/>
          <w:sz w:val="24"/>
          <w:szCs w:val="24"/>
          <w:lang w:val="bg-BG"/>
        </w:rPr>
        <w:t>, че когато за счетоводното отчитане на комбинацията се използва методът на придобиването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, </w:t>
      </w:r>
      <w:r w:rsidR="00822F84">
        <w:rPr>
          <w:rFonts w:eastAsia="Times New Roman" w:cs="Helvetica"/>
          <w:color w:val="575757"/>
          <w:sz w:val="24"/>
          <w:szCs w:val="24"/>
          <w:lang w:val="bg-BG"/>
        </w:rPr>
        <w:t>получаващото предприятие ще приложи всички изисквания за оповестяване в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 w:rsidR="00623D8F">
        <w:rPr>
          <w:rFonts w:eastAsia="Times New Roman" w:cs="Helvetica"/>
          <w:color w:val="575757"/>
          <w:sz w:val="24"/>
          <w:szCs w:val="24"/>
        </w:rPr>
        <w:t>МСФО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3</w:t>
      </w:r>
      <w:r w:rsidR="00822F84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822F84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Бизнес комбинации </w:t>
      </w:r>
      <w:r w:rsidR="00822F84">
        <w:rPr>
          <w:rFonts w:eastAsia="Times New Roman" w:cs="Helvetica"/>
          <w:color w:val="575757"/>
          <w:sz w:val="24"/>
          <w:szCs w:val="24"/>
          <w:lang w:val="bg-BG"/>
        </w:rPr>
        <w:t>и всички предварителни виждания относно оповестяванията, които ще бъдат публикувани в предстоящия да бъде издаден документ за обсъждане в рамките на проекта, посветен на репутацията и обезценката.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 w:rsidR="002B72E6" w:rsidRPr="002B72E6">
        <w:rPr>
          <w:rFonts w:eastAsia="Times New Roman" w:cs="Helvetica"/>
          <w:color w:val="575757"/>
          <w:sz w:val="24"/>
          <w:szCs w:val="24"/>
          <w:lang w:val="bg-BG"/>
        </w:rPr>
        <w:t xml:space="preserve">Единадесет от присъстващите тринадесет членове на Съвета изразиха съгласие с </w:t>
      </w:r>
      <w:r w:rsidR="002B72E6">
        <w:rPr>
          <w:rFonts w:eastAsia="Times New Roman" w:cs="Helvetica"/>
          <w:color w:val="575757"/>
          <w:sz w:val="24"/>
          <w:szCs w:val="24"/>
          <w:lang w:val="bg-BG"/>
        </w:rPr>
        <w:t>това решение</w:t>
      </w:r>
      <w:r w:rsidR="002B72E6" w:rsidRPr="002B72E6">
        <w:rPr>
          <w:rFonts w:eastAsia="Times New Roman" w:cs="Helvetica"/>
          <w:color w:val="575757"/>
          <w:sz w:val="24"/>
          <w:szCs w:val="24"/>
        </w:rPr>
        <w:t xml:space="preserve">. </w:t>
      </w:r>
      <w:r w:rsidR="002B72E6" w:rsidRPr="002B72E6">
        <w:rPr>
          <w:rFonts w:eastAsia="Times New Roman" w:cs="Helvetica"/>
          <w:color w:val="575757"/>
          <w:sz w:val="24"/>
          <w:szCs w:val="24"/>
          <w:lang w:val="bg-BG"/>
        </w:rPr>
        <w:t>Един от членовете на Съвета отсъстваше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.</w:t>
      </w:r>
    </w:p>
    <w:p w:rsidR="00FA4EF3" w:rsidRPr="00623D8F" w:rsidRDefault="001F3AF4" w:rsidP="00FA4EF3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1F3AF4"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реши в порядък на </w:t>
      </w:r>
      <w:r w:rsidR="002C29B1">
        <w:rPr>
          <w:rFonts w:eastAsia="Times New Roman" w:cs="Helvetica"/>
          <w:color w:val="575757"/>
          <w:sz w:val="24"/>
          <w:szCs w:val="24"/>
          <w:lang w:val="bg-BG"/>
        </w:rPr>
        <w:t>работна хипотеза</w:t>
      </w:r>
      <w:r w:rsidR="00822F84">
        <w:rPr>
          <w:rFonts w:eastAsia="Times New Roman" w:cs="Helvetica"/>
          <w:color w:val="575757"/>
          <w:sz w:val="24"/>
          <w:szCs w:val="24"/>
          <w:lang w:val="bg-BG"/>
        </w:rPr>
        <w:t>, че следва да предостави насоки</w:t>
      </w:r>
      <w:r w:rsidRPr="001F3AF4">
        <w:rPr>
          <w:rFonts w:eastAsia="Times New Roman" w:cs="Helvetica"/>
          <w:color w:val="575757"/>
          <w:sz w:val="24"/>
          <w:szCs w:val="24"/>
        </w:rPr>
        <w:t xml:space="preserve"> </w:t>
      </w:r>
      <w:r w:rsidR="00822F84">
        <w:rPr>
          <w:rFonts w:eastAsia="Times New Roman" w:cs="Helvetica"/>
          <w:color w:val="575757"/>
          <w:sz w:val="24"/>
          <w:szCs w:val="24"/>
          <w:lang w:val="bg-BG"/>
        </w:rPr>
        <w:t xml:space="preserve">относно прилагането на изискванията за оповестяване </w:t>
      </w:r>
      <w:r w:rsidR="00B407E9">
        <w:rPr>
          <w:rFonts w:eastAsia="Times New Roman" w:cs="Helvetica"/>
          <w:color w:val="575757"/>
          <w:sz w:val="24"/>
          <w:szCs w:val="24"/>
          <w:lang w:val="bg-BG"/>
        </w:rPr>
        <w:t>в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 w:rsidR="00623D8F">
        <w:rPr>
          <w:rFonts w:eastAsia="Times New Roman" w:cs="Helvetica"/>
          <w:color w:val="575757"/>
          <w:sz w:val="24"/>
          <w:szCs w:val="24"/>
        </w:rPr>
        <w:t>МСФО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3 </w:t>
      </w:r>
      <w:r w:rsidR="00822F84">
        <w:rPr>
          <w:rFonts w:eastAsia="Times New Roman" w:cs="Helvetica"/>
          <w:color w:val="575757"/>
          <w:sz w:val="24"/>
          <w:szCs w:val="24"/>
          <w:lang w:val="bg-BG"/>
        </w:rPr>
        <w:t>и МСС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24</w:t>
      </w:r>
      <w:r w:rsidR="00822F84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822F84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Оповестяване на свързани лица </w:t>
      </w:r>
      <w:r w:rsidR="00822F84">
        <w:rPr>
          <w:rFonts w:eastAsia="Times New Roman" w:cs="Helvetica"/>
          <w:color w:val="575757"/>
          <w:sz w:val="24"/>
          <w:szCs w:val="24"/>
          <w:lang w:val="bg-BG"/>
        </w:rPr>
        <w:t>по отношение на бизнес комбинациите под общ контрол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. </w:t>
      </w:r>
      <w:r w:rsidR="00822F84">
        <w:rPr>
          <w:rFonts w:eastAsia="Times New Roman" w:cs="Helvetica"/>
          <w:color w:val="575757"/>
          <w:sz w:val="24"/>
          <w:szCs w:val="24"/>
          <w:lang w:val="bg-BG"/>
        </w:rPr>
        <w:t>Насоките биха могли например да поясняват, че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 w:rsidR="00822F84">
        <w:rPr>
          <w:rFonts w:eastAsia="Times New Roman" w:cs="Helvetica"/>
          <w:color w:val="575757"/>
          <w:sz w:val="24"/>
          <w:szCs w:val="24"/>
          <w:lang w:val="bg-BG"/>
        </w:rPr>
        <w:t>предприятието трябва да оповестява информация относно процеса на общо управление над финансовите условия на комбинацията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. </w:t>
      </w:r>
      <w:r w:rsidR="00822F84">
        <w:rPr>
          <w:rFonts w:eastAsia="Times New Roman" w:cs="Helvetica"/>
          <w:color w:val="575757"/>
          <w:sz w:val="24"/>
          <w:szCs w:val="24"/>
          <w:lang w:val="bg-BG"/>
        </w:rPr>
        <w:t>Предстоящият да бъде публикуван консултационен документ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 w:rsidR="00822F84">
        <w:rPr>
          <w:rFonts w:eastAsia="Times New Roman" w:cs="Helvetica"/>
          <w:color w:val="575757"/>
          <w:sz w:val="24"/>
          <w:szCs w:val="24"/>
          <w:lang w:val="bg-BG"/>
        </w:rPr>
        <w:t xml:space="preserve">във връзка с този проект би могъл да потърси мнения относно това кой </w:t>
      </w:r>
      <w:r w:rsidR="00623D8F">
        <w:rPr>
          <w:rFonts w:eastAsia="Times New Roman" w:cs="Helvetica"/>
          <w:color w:val="575757"/>
          <w:sz w:val="24"/>
          <w:szCs w:val="24"/>
        </w:rPr>
        <w:t>МСФО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 w:rsidR="00822F84">
        <w:rPr>
          <w:rFonts w:eastAsia="Times New Roman" w:cs="Helvetica"/>
          <w:color w:val="575757"/>
          <w:sz w:val="24"/>
          <w:szCs w:val="24"/>
          <w:lang w:val="bg-BG"/>
        </w:rPr>
        <w:t>стандарт следва да предостави такива насоки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. </w:t>
      </w:r>
      <w:r w:rsidR="002B72E6" w:rsidRPr="002B72E6">
        <w:rPr>
          <w:rFonts w:eastAsia="Times New Roman" w:cs="Helvetica"/>
          <w:color w:val="575757"/>
          <w:sz w:val="24"/>
          <w:szCs w:val="24"/>
          <w:lang w:val="bg-BG"/>
        </w:rPr>
        <w:t>Всичките присъстващи тринадесет членове на Съвета изразиха съгласие с това решение</w:t>
      </w:r>
      <w:r w:rsidR="002B72E6" w:rsidRPr="002B72E6">
        <w:rPr>
          <w:rFonts w:eastAsia="Times New Roman" w:cs="Helvetica"/>
          <w:color w:val="575757"/>
          <w:sz w:val="24"/>
          <w:szCs w:val="24"/>
        </w:rPr>
        <w:t xml:space="preserve">. </w:t>
      </w:r>
      <w:r w:rsidR="002B72E6" w:rsidRPr="002B72E6">
        <w:rPr>
          <w:rFonts w:eastAsia="Times New Roman" w:cs="Helvetica"/>
          <w:color w:val="575757"/>
          <w:sz w:val="24"/>
          <w:szCs w:val="24"/>
          <w:lang w:val="bg-BG"/>
        </w:rPr>
        <w:t>Един от членовете на Съвета отсъстваше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.</w:t>
      </w:r>
    </w:p>
    <w:p w:rsidR="00FA4EF3" w:rsidRPr="00623D8F" w:rsidRDefault="00822F84" w:rsidP="00FA4EF3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Наред с това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, </w:t>
      </w:r>
      <w:r w:rsidR="001F3AF4" w:rsidRPr="001F3AF4"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реши в порядък на </w:t>
      </w:r>
      <w:r w:rsidR="002C29B1">
        <w:rPr>
          <w:rFonts w:eastAsia="Times New Roman" w:cs="Helvetica"/>
          <w:color w:val="575757"/>
          <w:sz w:val="24"/>
          <w:szCs w:val="24"/>
          <w:lang w:val="bg-BG"/>
        </w:rPr>
        <w:t>работна хипотеза</w:t>
      </w:r>
      <w:r>
        <w:rPr>
          <w:rFonts w:eastAsia="Times New Roman" w:cs="Helvetica"/>
          <w:color w:val="575757"/>
          <w:sz w:val="24"/>
          <w:szCs w:val="24"/>
          <w:lang w:val="bg-BG"/>
        </w:rPr>
        <w:t>, че когато за счетоводно отчитане на комбинацията се използва подходът на съществуващите балансови стойности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получаващото предприятие ще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:</w:t>
      </w:r>
    </w:p>
    <w:p w:rsidR="00FA4EF3" w:rsidRPr="00623D8F" w:rsidRDefault="00822F84" w:rsidP="00FA4EF3">
      <w:pPr>
        <w:numPr>
          <w:ilvl w:val="0"/>
          <w:numId w:val="14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приложи следните изисквания за оповестяване в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 w:rsidR="00623D8F">
        <w:rPr>
          <w:rFonts w:eastAsia="Times New Roman" w:cs="Helvetica"/>
          <w:color w:val="575757"/>
          <w:sz w:val="24"/>
          <w:szCs w:val="24"/>
        </w:rPr>
        <w:t>МСФО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3 </w:t>
      </w:r>
      <w:r>
        <w:rPr>
          <w:rFonts w:eastAsia="Times New Roman" w:cs="Helvetica"/>
          <w:color w:val="575757"/>
          <w:sz w:val="24"/>
          <w:szCs w:val="24"/>
          <w:lang w:val="bg-BG"/>
        </w:rPr>
        <w:t>и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 w:rsidRPr="00822F84">
        <w:rPr>
          <w:rFonts w:eastAsia="Times New Roman" w:cs="Helvetica"/>
          <w:color w:val="575757"/>
          <w:sz w:val="24"/>
          <w:szCs w:val="24"/>
          <w:lang w:val="bg-BG"/>
        </w:rPr>
        <w:t>предварителни</w:t>
      </w:r>
      <w:r>
        <w:rPr>
          <w:rFonts w:eastAsia="Times New Roman" w:cs="Helvetica"/>
          <w:color w:val="575757"/>
          <w:sz w:val="24"/>
          <w:szCs w:val="24"/>
          <w:lang w:val="bg-BG"/>
        </w:rPr>
        <w:t>те</w:t>
      </w:r>
      <w:r w:rsidRPr="00822F84">
        <w:rPr>
          <w:rFonts w:eastAsia="Times New Roman" w:cs="Helvetica"/>
          <w:color w:val="575757"/>
          <w:sz w:val="24"/>
          <w:szCs w:val="24"/>
          <w:lang w:val="bg-BG"/>
        </w:rPr>
        <w:t xml:space="preserve"> виждания относно оповестяванията, които ще бъдат публикувани в предстоящия да бъде издаден документ за обсъждане в рамките на проекта, посветен на репутацията и обезценката</w:t>
      </w:r>
      <w:r w:rsidRPr="00822F84">
        <w:rPr>
          <w:rFonts w:eastAsia="Times New Roman" w:cs="Helvetica"/>
          <w:color w:val="575757"/>
          <w:sz w:val="24"/>
          <w:szCs w:val="24"/>
        </w:rPr>
        <w:t xml:space="preserve"> 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(</w:t>
      </w:r>
      <w:r>
        <w:rPr>
          <w:rFonts w:eastAsia="Times New Roman" w:cs="Helvetica"/>
          <w:color w:val="575757"/>
          <w:sz w:val="24"/>
          <w:szCs w:val="24"/>
          <w:lang w:val="bg-BG"/>
        </w:rPr>
        <w:t>след извършване на необходимите редакционни промени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):</w:t>
      </w:r>
    </w:p>
    <w:p w:rsidR="00FA4EF3" w:rsidRPr="00623D8F" w:rsidRDefault="009974E5" w:rsidP="00FA4EF3">
      <w:pPr>
        <w:numPr>
          <w:ilvl w:val="1"/>
          <w:numId w:val="14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целта на оповестяването за предоставяне на информация, която да помогне на потребителите на финансовите отчети да оценят естеството, финансовия ефект и очакваните ползи от комбинацията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(</w:t>
      </w:r>
      <w:r>
        <w:rPr>
          <w:rFonts w:eastAsia="Times New Roman" w:cs="Helvetica"/>
          <w:color w:val="575757"/>
          <w:sz w:val="24"/>
          <w:szCs w:val="24"/>
          <w:lang w:val="bg-BG"/>
        </w:rPr>
        <w:t>параграф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59 </w:t>
      </w:r>
      <w:r>
        <w:rPr>
          <w:rFonts w:eastAsia="Times New Roman" w:cs="Helvetica"/>
          <w:color w:val="575757"/>
          <w:sz w:val="24"/>
          <w:szCs w:val="24"/>
          <w:lang w:val="bg-BG"/>
        </w:rPr>
        <w:t>от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 w:rsidR="00623D8F">
        <w:rPr>
          <w:rFonts w:eastAsia="Times New Roman" w:cs="Helvetica"/>
          <w:color w:val="575757"/>
          <w:sz w:val="24"/>
          <w:szCs w:val="24"/>
        </w:rPr>
        <w:t>МСФО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3);</w:t>
      </w:r>
    </w:p>
    <w:p w:rsidR="00FA4EF3" w:rsidRPr="00623D8F" w:rsidRDefault="009974E5" w:rsidP="00FA4EF3">
      <w:pPr>
        <w:numPr>
          <w:ilvl w:val="1"/>
          <w:numId w:val="14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наименованието и описанието на прехвърленото предприятие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датата на комбинацията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процента на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инструментите на собствения капитал с право на глас, прехвърлени на получаващото предприятие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основните причини за комбинацията и описание на начина, по който получаващото предприятие е придобило контрол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(</w:t>
      </w:r>
      <w:r>
        <w:rPr>
          <w:rFonts w:eastAsia="Times New Roman" w:cs="Helvetica"/>
          <w:color w:val="575757"/>
          <w:sz w:val="24"/>
          <w:szCs w:val="24"/>
          <w:lang w:val="bg-BG"/>
        </w:rPr>
        <w:t>параграфи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Б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64(a)-(</w:t>
      </w:r>
      <w:r>
        <w:rPr>
          <w:rFonts w:eastAsia="Times New Roman" w:cs="Helvetica"/>
          <w:color w:val="575757"/>
          <w:sz w:val="24"/>
          <w:szCs w:val="24"/>
          <w:lang w:val="bg-BG"/>
        </w:rPr>
        <w:t>г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) </w:t>
      </w:r>
      <w:r>
        <w:rPr>
          <w:rFonts w:eastAsia="Times New Roman" w:cs="Helvetica"/>
          <w:color w:val="575757"/>
          <w:sz w:val="24"/>
          <w:szCs w:val="24"/>
          <w:lang w:val="bg-BG"/>
        </w:rPr>
        <w:t>от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 w:rsidR="00623D8F">
        <w:rPr>
          <w:rFonts w:eastAsia="Times New Roman" w:cs="Helvetica"/>
          <w:color w:val="575757"/>
          <w:sz w:val="24"/>
          <w:szCs w:val="24"/>
        </w:rPr>
        <w:t>МСФО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3);</w:t>
      </w:r>
    </w:p>
    <w:p w:rsidR="00FA4EF3" w:rsidRPr="00623D8F" w:rsidRDefault="002C3CB0" w:rsidP="00FA4EF3">
      <w:pPr>
        <w:numPr>
          <w:ilvl w:val="1"/>
          <w:numId w:val="14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 xml:space="preserve">признатите суми </w:t>
      </w:r>
      <w:r w:rsidR="00B407E9">
        <w:rPr>
          <w:rFonts w:eastAsia="Times New Roman" w:cs="Helvetica"/>
          <w:color w:val="575757"/>
          <w:sz w:val="24"/>
          <w:szCs w:val="24"/>
          <w:lang w:val="bg-BG"/>
        </w:rPr>
        <w:t>във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всеки основен клас активи и поети пасиви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включително информация относно признатите суми на пасивите, произтичащи от дейностите по финансиране и пенсионни задължения за дефинирани доходи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(</w:t>
      </w:r>
      <w:r>
        <w:rPr>
          <w:rFonts w:eastAsia="Times New Roman" w:cs="Helvetica"/>
          <w:color w:val="575757"/>
          <w:sz w:val="24"/>
          <w:szCs w:val="24"/>
          <w:lang w:val="bg-BG"/>
        </w:rPr>
        <w:t>параграф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Б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64(</w:t>
      </w:r>
      <w:r>
        <w:rPr>
          <w:rFonts w:eastAsia="Times New Roman" w:cs="Helvetica"/>
          <w:color w:val="575757"/>
          <w:sz w:val="24"/>
          <w:szCs w:val="24"/>
          <w:lang w:val="bg-BG"/>
        </w:rPr>
        <w:t>и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) </w:t>
      </w:r>
      <w:r>
        <w:rPr>
          <w:rFonts w:eastAsia="Times New Roman" w:cs="Helvetica"/>
          <w:color w:val="575757"/>
          <w:sz w:val="24"/>
          <w:szCs w:val="24"/>
          <w:lang w:val="bg-BG"/>
        </w:rPr>
        <w:t>от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 w:rsidR="00623D8F">
        <w:rPr>
          <w:rFonts w:eastAsia="Times New Roman" w:cs="Helvetica"/>
          <w:color w:val="575757"/>
          <w:sz w:val="24"/>
          <w:szCs w:val="24"/>
        </w:rPr>
        <w:t>МСФО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3 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и съответното предварително виждане, което ще бъде публикувано </w:t>
      </w:r>
      <w:r w:rsidRPr="002C3CB0">
        <w:rPr>
          <w:rFonts w:eastAsia="Times New Roman" w:cs="Helvetica"/>
          <w:color w:val="575757"/>
          <w:sz w:val="24"/>
          <w:szCs w:val="24"/>
          <w:lang w:val="bg-BG"/>
        </w:rPr>
        <w:t>в предстоящия да бъде издаден документ за обсъждане в рамките на проекта, посветен на репутацията и обезценката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);</w:t>
      </w:r>
    </w:p>
    <w:p w:rsidR="00FA4EF3" w:rsidRPr="00623D8F" w:rsidRDefault="00EF0D3C" w:rsidP="00FA4EF3">
      <w:pPr>
        <w:numPr>
          <w:ilvl w:val="1"/>
          <w:numId w:val="14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балансовата стойност на неконтролиращото участие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(</w:t>
      </w:r>
      <w:r>
        <w:rPr>
          <w:rFonts w:eastAsia="Times New Roman" w:cs="Helvetica"/>
          <w:color w:val="575757"/>
          <w:sz w:val="24"/>
          <w:szCs w:val="24"/>
          <w:lang w:val="bg-BG"/>
        </w:rPr>
        <w:t>параграф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Б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64(o) </w:t>
      </w:r>
      <w:r>
        <w:rPr>
          <w:rFonts w:eastAsia="Times New Roman" w:cs="Helvetica"/>
          <w:color w:val="575757"/>
          <w:sz w:val="24"/>
          <w:szCs w:val="24"/>
          <w:lang w:val="bg-BG"/>
        </w:rPr>
        <w:t>от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 w:rsidR="00623D8F">
        <w:rPr>
          <w:rFonts w:eastAsia="Times New Roman" w:cs="Helvetica"/>
          <w:color w:val="575757"/>
          <w:sz w:val="24"/>
          <w:szCs w:val="24"/>
        </w:rPr>
        <w:t>МСФО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3);</w:t>
      </w:r>
    </w:p>
    <w:p w:rsidR="00FA4EF3" w:rsidRPr="00623D8F" w:rsidRDefault="00EF0D3C" w:rsidP="00FA4EF3">
      <w:pPr>
        <w:numPr>
          <w:ilvl w:val="1"/>
          <w:numId w:val="14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изискването за предоставяне на обобщена информация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 w:rsidR="00B407E9">
        <w:rPr>
          <w:rFonts w:eastAsia="Times New Roman" w:cs="Helvetica"/>
          <w:color w:val="575757"/>
          <w:sz w:val="24"/>
          <w:szCs w:val="24"/>
          <w:lang w:val="bg-BG"/>
        </w:rPr>
        <w:t>относно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комбинации, които взети поотделно са несъществени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(</w:t>
      </w:r>
      <w:r>
        <w:rPr>
          <w:rFonts w:eastAsia="Times New Roman" w:cs="Helvetica"/>
          <w:color w:val="575757"/>
          <w:sz w:val="24"/>
          <w:szCs w:val="24"/>
          <w:lang w:val="bg-BG"/>
        </w:rPr>
        <w:t>параграф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Б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65 </w:t>
      </w:r>
      <w:r>
        <w:rPr>
          <w:rFonts w:eastAsia="Times New Roman" w:cs="Helvetica"/>
          <w:color w:val="575757"/>
          <w:sz w:val="24"/>
          <w:szCs w:val="24"/>
          <w:lang w:val="bg-BG"/>
        </w:rPr>
        <w:t>от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 w:rsidR="00623D8F">
        <w:rPr>
          <w:rFonts w:eastAsia="Times New Roman" w:cs="Helvetica"/>
          <w:color w:val="575757"/>
          <w:sz w:val="24"/>
          <w:szCs w:val="24"/>
        </w:rPr>
        <w:t>МСФО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3);</w:t>
      </w:r>
    </w:p>
    <w:p w:rsidR="00FA4EF3" w:rsidRPr="00623D8F" w:rsidRDefault="00EF0D3C" w:rsidP="00FA4EF3">
      <w:pPr>
        <w:numPr>
          <w:ilvl w:val="1"/>
          <w:numId w:val="14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изискванията за оповестяване по отношение на комбинации, които се осъществяват след края на отчетния период, но преди финансовият отчет да бъде одобрен за издаване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(</w:t>
      </w:r>
      <w:r w:rsidRPr="00EF0D3C">
        <w:rPr>
          <w:rFonts w:eastAsia="Times New Roman" w:cs="Helvetica"/>
          <w:color w:val="575757"/>
          <w:sz w:val="24"/>
          <w:szCs w:val="24"/>
          <w:lang w:val="bg-BG"/>
        </w:rPr>
        <w:t>параграф</w:t>
      </w:r>
      <w:r w:rsidRPr="00EF0D3C">
        <w:rPr>
          <w:rFonts w:eastAsia="Times New Roman" w:cs="Helvetica"/>
          <w:color w:val="575757"/>
          <w:sz w:val="24"/>
          <w:szCs w:val="24"/>
        </w:rPr>
        <w:t xml:space="preserve"> </w:t>
      </w:r>
      <w:r w:rsidRPr="00EF0D3C">
        <w:rPr>
          <w:rFonts w:eastAsia="Times New Roman" w:cs="Helvetica"/>
          <w:color w:val="575757"/>
          <w:sz w:val="24"/>
          <w:szCs w:val="24"/>
          <w:lang w:val="bg-BG"/>
        </w:rPr>
        <w:t>Б</w:t>
      </w:r>
      <w:r w:rsidRPr="00EF0D3C">
        <w:rPr>
          <w:rFonts w:eastAsia="Times New Roman" w:cs="Helvetica"/>
          <w:color w:val="575757"/>
          <w:sz w:val="24"/>
          <w:szCs w:val="24"/>
        </w:rPr>
        <w:t>6</w:t>
      </w:r>
      <w:r>
        <w:rPr>
          <w:rFonts w:eastAsia="Times New Roman" w:cs="Helvetica"/>
          <w:color w:val="575757"/>
          <w:sz w:val="24"/>
          <w:szCs w:val="24"/>
          <w:lang w:val="bg-BG"/>
        </w:rPr>
        <w:t>6</w:t>
      </w:r>
      <w:r w:rsidRPr="00EF0D3C">
        <w:rPr>
          <w:rFonts w:eastAsia="Times New Roman" w:cs="Helvetica"/>
          <w:color w:val="575757"/>
          <w:sz w:val="24"/>
          <w:szCs w:val="24"/>
        </w:rPr>
        <w:t xml:space="preserve"> </w:t>
      </w:r>
      <w:r w:rsidRPr="00EF0D3C">
        <w:rPr>
          <w:rFonts w:eastAsia="Times New Roman" w:cs="Helvetica"/>
          <w:color w:val="575757"/>
          <w:sz w:val="24"/>
          <w:szCs w:val="24"/>
          <w:lang w:val="bg-BG"/>
        </w:rPr>
        <w:t>от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 w:rsidR="00623D8F">
        <w:rPr>
          <w:rFonts w:eastAsia="Times New Roman" w:cs="Helvetica"/>
          <w:color w:val="575757"/>
          <w:sz w:val="24"/>
          <w:szCs w:val="24"/>
        </w:rPr>
        <w:t>МСФО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3);</w:t>
      </w:r>
    </w:p>
    <w:p w:rsidR="00FA4EF3" w:rsidRPr="00623D8F" w:rsidRDefault="00EF0D3C" w:rsidP="00FA4EF3">
      <w:pPr>
        <w:numPr>
          <w:ilvl w:val="1"/>
          <w:numId w:val="14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сумата и обяснение за всяка печалба или загуба, която се отнася до получени активи и пасиви, ако това оповестяване е уместно за разбирането на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финансовите отчети на комбинираното предприятие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(</w:t>
      </w:r>
      <w:r>
        <w:rPr>
          <w:rFonts w:eastAsia="Times New Roman" w:cs="Helvetica"/>
          <w:color w:val="575757"/>
          <w:sz w:val="24"/>
          <w:szCs w:val="24"/>
          <w:lang w:val="bg-BG"/>
        </w:rPr>
        <w:t>параграф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Б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67(</w:t>
      </w:r>
      <w:r>
        <w:rPr>
          <w:rFonts w:eastAsia="Times New Roman" w:cs="Helvetica"/>
          <w:color w:val="575757"/>
          <w:sz w:val="24"/>
          <w:szCs w:val="24"/>
          <w:lang w:val="bg-BG"/>
        </w:rPr>
        <w:t>д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) </w:t>
      </w:r>
      <w:r>
        <w:rPr>
          <w:rFonts w:eastAsia="Times New Roman" w:cs="Helvetica"/>
          <w:color w:val="575757"/>
          <w:sz w:val="24"/>
          <w:szCs w:val="24"/>
          <w:lang w:val="bg-BG"/>
        </w:rPr>
        <w:t>от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 w:rsidR="00623D8F">
        <w:rPr>
          <w:rFonts w:eastAsia="Times New Roman" w:cs="Helvetica"/>
          <w:color w:val="575757"/>
          <w:sz w:val="24"/>
          <w:szCs w:val="24"/>
        </w:rPr>
        <w:t>МСФО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3); </w:t>
      </w:r>
      <w:r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FA4EF3" w:rsidRPr="00623D8F" w:rsidRDefault="00EF0D3C" w:rsidP="00FA4EF3">
      <w:pPr>
        <w:numPr>
          <w:ilvl w:val="1"/>
          <w:numId w:val="14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изискването за оповестяване на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допълнителна информация, която е необходима за изпълнение на приложимите цели на оповестяванията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(</w:t>
      </w:r>
      <w:r>
        <w:rPr>
          <w:rFonts w:eastAsia="Times New Roman" w:cs="Helvetica"/>
          <w:color w:val="575757"/>
          <w:sz w:val="24"/>
          <w:szCs w:val="24"/>
          <w:lang w:val="bg-BG"/>
        </w:rPr>
        <w:t>параграф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63 </w:t>
      </w:r>
      <w:r>
        <w:rPr>
          <w:rFonts w:eastAsia="Times New Roman" w:cs="Helvetica"/>
          <w:color w:val="575757"/>
          <w:sz w:val="24"/>
          <w:szCs w:val="24"/>
          <w:lang w:val="bg-BG"/>
        </w:rPr>
        <w:t>от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 w:rsidR="00623D8F">
        <w:rPr>
          <w:rFonts w:eastAsia="Times New Roman" w:cs="Helvetica"/>
          <w:color w:val="575757"/>
          <w:sz w:val="24"/>
          <w:szCs w:val="24"/>
        </w:rPr>
        <w:t>МСФО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3).</w:t>
      </w:r>
    </w:p>
    <w:p w:rsidR="00FA4EF3" w:rsidRPr="00623D8F" w:rsidRDefault="002B72E6" w:rsidP="00FA4EF3">
      <w:pPr>
        <w:shd w:val="clear" w:color="auto" w:fill="FFFFFF"/>
        <w:spacing w:after="300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Девет</w:t>
      </w:r>
      <w:r w:rsidRPr="002B72E6">
        <w:rPr>
          <w:rFonts w:eastAsia="Times New Roman" w:cs="Helvetica"/>
          <w:color w:val="575757"/>
          <w:sz w:val="24"/>
          <w:szCs w:val="24"/>
          <w:lang w:val="bg-BG"/>
        </w:rPr>
        <w:t xml:space="preserve"> от присъстващите тринадесет членове на Съвета изразиха съгласие с това решение</w:t>
      </w:r>
      <w:r w:rsidRPr="002B72E6">
        <w:rPr>
          <w:rFonts w:eastAsia="Times New Roman" w:cs="Helvetica"/>
          <w:color w:val="575757"/>
          <w:sz w:val="24"/>
          <w:szCs w:val="24"/>
        </w:rPr>
        <w:t xml:space="preserve">. </w:t>
      </w:r>
      <w:r w:rsidRPr="002B72E6">
        <w:rPr>
          <w:rFonts w:eastAsia="Times New Roman" w:cs="Helvetica"/>
          <w:color w:val="575757"/>
          <w:sz w:val="24"/>
          <w:szCs w:val="24"/>
          <w:lang w:val="bg-BG"/>
        </w:rPr>
        <w:t>Един от членовете на Съвета отсъстваше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.</w:t>
      </w:r>
    </w:p>
    <w:p w:rsidR="00FA4EF3" w:rsidRPr="00623D8F" w:rsidRDefault="00526206" w:rsidP="00FA4EF3">
      <w:pPr>
        <w:numPr>
          <w:ilvl w:val="0"/>
          <w:numId w:val="14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оповести сумата, призната в собствен капитал, за разликата между платеното възнаграждение и балансовите стойности на получените активи и пасиви и компонента от собствения капитал, в който е призната тази разлика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. </w:t>
      </w:r>
      <w:r w:rsidR="002B72E6">
        <w:rPr>
          <w:rFonts w:eastAsia="Times New Roman" w:cs="Helvetica"/>
          <w:color w:val="575757"/>
          <w:sz w:val="24"/>
          <w:szCs w:val="24"/>
          <w:lang w:val="bg-BG"/>
        </w:rPr>
        <w:t>Десет</w:t>
      </w:r>
      <w:r w:rsidR="002B72E6" w:rsidRPr="002B72E6">
        <w:rPr>
          <w:rFonts w:eastAsia="Times New Roman" w:cs="Helvetica"/>
          <w:color w:val="575757"/>
          <w:sz w:val="24"/>
          <w:szCs w:val="24"/>
          <w:lang w:val="bg-BG"/>
        </w:rPr>
        <w:t xml:space="preserve"> от присъстващите тринадесет членове на Съвета изразиха съгласие с това решение</w:t>
      </w:r>
      <w:r w:rsidR="002B72E6" w:rsidRPr="002B72E6">
        <w:rPr>
          <w:rFonts w:eastAsia="Times New Roman" w:cs="Helvetica"/>
          <w:color w:val="575757"/>
          <w:sz w:val="24"/>
          <w:szCs w:val="24"/>
        </w:rPr>
        <w:t xml:space="preserve">. </w:t>
      </w:r>
      <w:r w:rsidR="002B72E6" w:rsidRPr="002B72E6">
        <w:rPr>
          <w:rFonts w:eastAsia="Times New Roman" w:cs="Helvetica"/>
          <w:color w:val="575757"/>
          <w:sz w:val="24"/>
          <w:szCs w:val="24"/>
          <w:lang w:val="bg-BG"/>
        </w:rPr>
        <w:t>Един от членовете на Съвета отсъстваше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.</w:t>
      </w:r>
    </w:p>
    <w:p w:rsidR="00FA4EF3" w:rsidRPr="00623D8F" w:rsidRDefault="00526206" w:rsidP="00FA4EF3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И накрая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, </w:t>
      </w:r>
      <w:r w:rsidR="001F3AF4" w:rsidRPr="001F3AF4"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реши в порядък на </w:t>
      </w:r>
      <w:r w:rsidR="002C29B1">
        <w:rPr>
          <w:rFonts w:eastAsia="Times New Roman" w:cs="Helvetica"/>
          <w:color w:val="575757"/>
          <w:sz w:val="24"/>
          <w:szCs w:val="24"/>
          <w:lang w:val="bg-BG"/>
        </w:rPr>
        <w:t>работна хипотеза</w:t>
      </w:r>
      <w:r w:rsidR="001F3AF4" w:rsidRPr="001F3AF4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да не разработва предложения във връзка с изискванията за оповестяване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относно информацията преди комбинацията</w:t>
      </w:r>
      <w:r w:rsidR="003D0FED">
        <w:rPr>
          <w:rFonts w:eastAsia="Times New Roman" w:cs="Helvetica"/>
          <w:color w:val="575757"/>
          <w:sz w:val="24"/>
          <w:szCs w:val="24"/>
          <w:lang w:val="bg-BG"/>
        </w:rPr>
        <w:t xml:space="preserve"> по отношение на бизнес комбинациите под общ контрол, които се отчитат, прилагайки подхода на </w:t>
      </w:r>
      <w:r w:rsidR="00B407E9">
        <w:rPr>
          <w:rFonts w:eastAsia="Times New Roman" w:cs="Helvetica"/>
          <w:color w:val="575757"/>
          <w:sz w:val="24"/>
          <w:szCs w:val="24"/>
          <w:lang w:val="bg-BG"/>
        </w:rPr>
        <w:t xml:space="preserve">счетоводно отчитане на базата на </w:t>
      </w:r>
      <w:r w:rsidR="003D0FED">
        <w:rPr>
          <w:rFonts w:eastAsia="Times New Roman" w:cs="Helvetica"/>
          <w:color w:val="575757"/>
          <w:sz w:val="24"/>
          <w:szCs w:val="24"/>
          <w:lang w:val="bg-BG"/>
        </w:rPr>
        <w:t>съществуващите балансови стойности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. </w:t>
      </w:r>
      <w:r w:rsidR="002B72E6">
        <w:rPr>
          <w:rFonts w:eastAsia="Times New Roman" w:cs="Helvetica"/>
          <w:color w:val="575757"/>
          <w:sz w:val="24"/>
          <w:szCs w:val="24"/>
          <w:lang w:val="bg-BG"/>
        </w:rPr>
        <w:t>Единадесет</w:t>
      </w:r>
      <w:r w:rsidR="002B72E6" w:rsidRPr="002B72E6">
        <w:rPr>
          <w:rFonts w:eastAsia="Times New Roman" w:cs="Helvetica"/>
          <w:color w:val="575757"/>
          <w:sz w:val="24"/>
          <w:szCs w:val="24"/>
          <w:lang w:val="bg-BG"/>
        </w:rPr>
        <w:t xml:space="preserve"> от присъстващите тринадесет членове на Съвета изразиха съгласие с това решение</w:t>
      </w:r>
      <w:r w:rsidR="002B72E6" w:rsidRPr="002B72E6">
        <w:rPr>
          <w:rFonts w:eastAsia="Times New Roman" w:cs="Helvetica"/>
          <w:color w:val="575757"/>
          <w:sz w:val="24"/>
          <w:szCs w:val="24"/>
        </w:rPr>
        <w:t xml:space="preserve">. </w:t>
      </w:r>
      <w:r w:rsidR="002B72E6" w:rsidRPr="002B72E6">
        <w:rPr>
          <w:rFonts w:eastAsia="Times New Roman" w:cs="Helvetica"/>
          <w:color w:val="575757"/>
          <w:sz w:val="24"/>
          <w:szCs w:val="24"/>
          <w:lang w:val="bg-BG"/>
        </w:rPr>
        <w:t>Един от членовете на Съвета отсъстваше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.</w:t>
      </w:r>
    </w:p>
    <w:p w:rsidR="00FA4EF3" w:rsidRPr="00623D8F" w:rsidRDefault="003D0FED" w:rsidP="00FA4EF3">
      <w:pPr>
        <w:shd w:val="clear" w:color="auto" w:fill="FFFFFF"/>
        <w:spacing w:after="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Тези взети в порядък на работна хипотеза решения приключват обсъжданията на Съвета относно отчитането на бизнес комбинациите под общ контрол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.</w:t>
      </w:r>
    </w:p>
    <w:p w:rsidR="00FA4EF3" w:rsidRPr="00623D8F" w:rsidRDefault="00A57A5A" w:rsidP="00FA4EF3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Регламентирана процедура </w:t>
      </w:r>
      <w:r w:rsidR="00FA4EF3" w:rsidRPr="00623D8F">
        <w:rPr>
          <w:rFonts w:eastAsia="Times New Roman" w:cs="Helvetica"/>
          <w:b/>
          <w:bCs/>
          <w:color w:val="333333"/>
          <w:sz w:val="24"/>
          <w:szCs w:val="24"/>
        </w:rPr>
        <w:t>(</w:t>
      </w:r>
      <w:r w:rsidR="005C6467">
        <w:rPr>
          <w:rFonts w:eastAsia="Times New Roman" w:cs="Helvetica"/>
          <w:b/>
          <w:bCs/>
          <w:color w:val="333333"/>
          <w:sz w:val="24"/>
          <w:szCs w:val="24"/>
        </w:rPr>
        <w:t>Документ по програмата</w:t>
      </w:r>
      <w:r w:rsidR="00FA4EF3" w:rsidRPr="00623D8F">
        <w:rPr>
          <w:rFonts w:eastAsia="Times New Roman" w:cs="Helvetica"/>
          <w:b/>
          <w:bCs/>
          <w:color w:val="333333"/>
          <w:sz w:val="24"/>
          <w:szCs w:val="24"/>
        </w:rPr>
        <w:t xml:space="preserve"> 23</w:t>
      </w:r>
      <w:r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Б</w:t>
      </w:r>
      <w:r w:rsidR="00FA4EF3" w:rsidRPr="00623D8F">
        <w:rPr>
          <w:rFonts w:eastAsia="Times New Roman" w:cs="Helvetica"/>
          <w:b/>
          <w:bCs/>
          <w:color w:val="333333"/>
          <w:sz w:val="24"/>
          <w:szCs w:val="24"/>
        </w:rPr>
        <w:t>)</w:t>
      </w:r>
    </w:p>
    <w:p w:rsidR="00FA4EF3" w:rsidRPr="00623D8F" w:rsidRDefault="001F3AF4" w:rsidP="00FA4EF3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1F3AF4">
        <w:rPr>
          <w:rFonts w:eastAsia="Times New Roman" w:cs="Helvetica"/>
          <w:color w:val="575757"/>
          <w:sz w:val="24"/>
          <w:szCs w:val="24"/>
          <w:lang w:val="bg-BG"/>
        </w:rPr>
        <w:t>Съветът реши</w:t>
      </w:r>
      <w:r>
        <w:rPr>
          <w:rFonts w:eastAsia="Times New Roman" w:cs="Helvetica"/>
          <w:color w:val="575757"/>
          <w:sz w:val="24"/>
          <w:szCs w:val="24"/>
          <w:lang w:val="bg-BG"/>
        </w:rPr>
        <w:t>, че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:</w:t>
      </w:r>
    </w:p>
    <w:p w:rsidR="00FA4EF3" w:rsidRPr="00623D8F" w:rsidRDefault="00A57A5A" w:rsidP="00FA4EF3">
      <w:pPr>
        <w:numPr>
          <w:ilvl w:val="0"/>
          <w:numId w:val="15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консултационният документ във връзка с този проект следва да бъде документ за обсъждане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.</w:t>
      </w:r>
    </w:p>
    <w:p w:rsidR="00FA4EF3" w:rsidRPr="00623D8F" w:rsidRDefault="00A57A5A" w:rsidP="00FA4EF3">
      <w:pPr>
        <w:numPr>
          <w:ilvl w:val="0"/>
          <w:numId w:val="15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е изпълнил изискванията на приложимите стъпки от регламентираната процедура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и е осъществил достатъчно консултации и анализи, за да се пристъпи към процедурата по гласуване на документа за обсъждане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.</w:t>
      </w:r>
    </w:p>
    <w:p w:rsidR="00FA4EF3" w:rsidRPr="00623D8F" w:rsidRDefault="002B72E6" w:rsidP="00FA4EF3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Всичките присъстващи</w:t>
      </w:r>
      <w:r w:rsidRPr="002B72E6">
        <w:rPr>
          <w:rFonts w:eastAsia="Times New Roman" w:cs="Helvetica"/>
          <w:color w:val="575757"/>
          <w:sz w:val="24"/>
          <w:szCs w:val="24"/>
          <w:lang w:val="bg-BG"/>
        </w:rPr>
        <w:t xml:space="preserve"> тринадесет членове на Съвета изразиха съгласие с </w:t>
      </w:r>
      <w:r>
        <w:rPr>
          <w:rFonts w:eastAsia="Times New Roman" w:cs="Helvetica"/>
          <w:color w:val="575757"/>
          <w:sz w:val="24"/>
          <w:szCs w:val="24"/>
          <w:lang w:val="bg-BG"/>
        </w:rPr>
        <w:t>тези решения</w:t>
      </w:r>
      <w:r w:rsidRPr="002B72E6">
        <w:rPr>
          <w:rFonts w:eastAsia="Times New Roman" w:cs="Helvetica"/>
          <w:color w:val="575757"/>
          <w:sz w:val="24"/>
          <w:szCs w:val="24"/>
        </w:rPr>
        <w:t xml:space="preserve">. </w:t>
      </w:r>
      <w:r w:rsidRPr="002B72E6">
        <w:rPr>
          <w:rFonts w:eastAsia="Times New Roman" w:cs="Helvetica"/>
          <w:color w:val="575757"/>
          <w:sz w:val="24"/>
          <w:szCs w:val="24"/>
          <w:lang w:val="bg-BG"/>
        </w:rPr>
        <w:t>Един от членовете на Съвета отсъстваше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.</w:t>
      </w:r>
    </w:p>
    <w:p w:rsidR="00FA4EF3" w:rsidRPr="00623D8F" w:rsidRDefault="005C6467" w:rsidP="00FA4EF3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575757"/>
          <w:sz w:val="24"/>
          <w:szCs w:val="24"/>
        </w:rPr>
        <w:t>Следващ етап</w:t>
      </w:r>
      <w:bookmarkStart w:id="6" w:name="_GoBack"/>
      <w:bookmarkEnd w:id="6"/>
    </w:p>
    <w:p w:rsidR="00FA4EF3" w:rsidRPr="00623D8F" w:rsidRDefault="00A57A5A" w:rsidP="00FA4EF3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Екипът ще изготви документ за обсъждане, който да бъде подложен на гласуване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.</w:t>
      </w:r>
    </w:p>
    <w:p w:rsidR="00FA4EF3" w:rsidRPr="00623D8F" w:rsidRDefault="00BD1A16" w:rsidP="00FA4EF3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Екипът планира да поиска от Съвета да определи на бъдещо свое заседания периода за предоставяне на коментари във връзка с документа за обсъждане</w:t>
      </w:r>
      <w:r w:rsidR="00FA4EF3" w:rsidRPr="00623D8F">
        <w:rPr>
          <w:rFonts w:eastAsia="Times New Roman" w:cs="Helvetica"/>
          <w:color w:val="575757"/>
          <w:sz w:val="24"/>
          <w:szCs w:val="24"/>
        </w:rPr>
        <w:t>.</w:t>
      </w:r>
    </w:p>
    <w:p w:rsidR="000E3F8A" w:rsidRPr="00623D8F" w:rsidRDefault="000E3F8A"/>
    <w:sectPr w:rsidR="000E3F8A" w:rsidRPr="00623D8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1E30"/>
    <w:multiLevelType w:val="multilevel"/>
    <w:tmpl w:val="9E583782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A18B9"/>
    <w:multiLevelType w:val="multilevel"/>
    <w:tmpl w:val="3BE05D00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6D291E"/>
    <w:multiLevelType w:val="multilevel"/>
    <w:tmpl w:val="55DE9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327463"/>
    <w:multiLevelType w:val="multilevel"/>
    <w:tmpl w:val="E26C0194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E82E39"/>
    <w:multiLevelType w:val="multilevel"/>
    <w:tmpl w:val="23DACBE2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9D236C"/>
    <w:multiLevelType w:val="multilevel"/>
    <w:tmpl w:val="5896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8509BC"/>
    <w:multiLevelType w:val="multilevel"/>
    <w:tmpl w:val="958C8538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756823"/>
    <w:multiLevelType w:val="multilevel"/>
    <w:tmpl w:val="EDF46366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19691D"/>
    <w:multiLevelType w:val="multilevel"/>
    <w:tmpl w:val="CA968FEA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3B5DBB"/>
    <w:multiLevelType w:val="multilevel"/>
    <w:tmpl w:val="B6BA8EAE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6B2401"/>
    <w:multiLevelType w:val="multilevel"/>
    <w:tmpl w:val="EBAEFC3C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4F7E31"/>
    <w:multiLevelType w:val="multilevel"/>
    <w:tmpl w:val="FF3E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026960"/>
    <w:multiLevelType w:val="multilevel"/>
    <w:tmpl w:val="479A70A2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E67954"/>
    <w:multiLevelType w:val="multilevel"/>
    <w:tmpl w:val="CC84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FC5D39"/>
    <w:multiLevelType w:val="multilevel"/>
    <w:tmpl w:val="9F02BDBE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3"/>
  </w:num>
  <w:num w:numId="5">
    <w:abstractNumId w:val="10"/>
  </w:num>
  <w:num w:numId="6">
    <w:abstractNumId w:val="0"/>
  </w:num>
  <w:num w:numId="7">
    <w:abstractNumId w:val="8"/>
  </w:num>
  <w:num w:numId="8">
    <w:abstractNumId w:val="1"/>
  </w:num>
  <w:num w:numId="9">
    <w:abstractNumId w:val="14"/>
  </w:num>
  <w:num w:numId="10">
    <w:abstractNumId w:val="9"/>
  </w:num>
  <w:num w:numId="11">
    <w:abstractNumId w:val="11"/>
  </w:num>
  <w:num w:numId="12">
    <w:abstractNumId w:val="6"/>
  </w:num>
  <w:num w:numId="13">
    <w:abstractNumId w:val="7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F3"/>
    <w:rsid w:val="000240B9"/>
    <w:rsid w:val="000A0096"/>
    <w:rsid w:val="000E3F8A"/>
    <w:rsid w:val="001D1D57"/>
    <w:rsid w:val="001F3AF4"/>
    <w:rsid w:val="0020405D"/>
    <w:rsid w:val="002A5758"/>
    <w:rsid w:val="002B72E6"/>
    <w:rsid w:val="002C29B1"/>
    <w:rsid w:val="002C3CB0"/>
    <w:rsid w:val="003265E2"/>
    <w:rsid w:val="0039147A"/>
    <w:rsid w:val="003B709D"/>
    <w:rsid w:val="003C1C63"/>
    <w:rsid w:val="003D0FED"/>
    <w:rsid w:val="00444404"/>
    <w:rsid w:val="00526206"/>
    <w:rsid w:val="005337C1"/>
    <w:rsid w:val="005C6467"/>
    <w:rsid w:val="00623D8F"/>
    <w:rsid w:val="006E2824"/>
    <w:rsid w:val="0070570A"/>
    <w:rsid w:val="00721BF9"/>
    <w:rsid w:val="00731B4C"/>
    <w:rsid w:val="007545FE"/>
    <w:rsid w:val="0075467F"/>
    <w:rsid w:val="007D0A2C"/>
    <w:rsid w:val="00822F84"/>
    <w:rsid w:val="008827A3"/>
    <w:rsid w:val="008D0501"/>
    <w:rsid w:val="0093493C"/>
    <w:rsid w:val="009645D1"/>
    <w:rsid w:val="009974E5"/>
    <w:rsid w:val="009A6C36"/>
    <w:rsid w:val="009F0D55"/>
    <w:rsid w:val="00A41FE1"/>
    <w:rsid w:val="00A57A5A"/>
    <w:rsid w:val="00A65A2B"/>
    <w:rsid w:val="00A84DE2"/>
    <w:rsid w:val="00AD179A"/>
    <w:rsid w:val="00B407E9"/>
    <w:rsid w:val="00BB0D52"/>
    <w:rsid w:val="00BC23D4"/>
    <w:rsid w:val="00BD1A16"/>
    <w:rsid w:val="00C001ED"/>
    <w:rsid w:val="00C27BAF"/>
    <w:rsid w:val="00CE476A"/>
    <w:rsid w:val="00D3780B"/>
    <w:rsid w:val="00D7069C"/>
    <w:rsid w:val="00D927F3"/>
    <w:rsid w:val="00DD3A05"/>
    <w:rsid w:val="00E2412E"/>
    <w:rsid w:val="00EE5A91"/>
    <w:rsid w:val="00EF0D3C"/>
    <w:rsid w:val="00EF5D5D"/>
    <w:rsid w:val="00FA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97A32-ABD0-4241-AFB5-15E47DB8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4E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4E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099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2778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28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05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9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46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97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8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15" w:color="C6C6C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9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rs.org/news-and-events/updates/iasb-updates/february-20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frs.org/news-and-events/updates/iasb-updates/february-202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frs.org/news-and-events/updates/iasb-updates/february-202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ifrs.org/news-and-events/updates/iasb-updates/february-2020/" TargetMode="External"/><Relationship Id="rId10" Type="http://schemas.openxmlformats.org/officeDocument/2006/relationships/hyperlink" Target="https://www.ifrs.org/news-and-events/updates/iasb-updates/february-20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frs.org/news-and-events/updates/iasb-updates/february-20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14</Pages>
  <Words>4262</Words>
  <Characters>25665</Characters>
  <Application>Microsoft Office Word</Application>
  <DocSecurity>0</DocSecurity>
  <Lines>469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Svetoslava Velinova</dc:creator>
  <cp:keywords/>
  <dc:description/>
  <cp:lastModifiedBy>VS</cp:lastModifiedBy>
  <cp:revision>38</cp:revision>
  <dcterms:created xsi:type="dcterms:W3CDTF">2020-03-02T14:59:00Z</dcterms:created>
  <dcterms:modified xsi:type="dcterms:W3CDTF">2020-03-03T13:15:00Z</dcterms:modified>
</cp:coreProperties>
</file>