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B31" w:rsidRDefault="00295B31" w:rsidP="0089468B">
      <w:pPr>
        <w:shd w:val="clear" w:color="auto" w:fill="FFFFFF"/>
        <w:spacing w:after="0" w:line="240" w:lineRule="auto"/>
        <w:outlineLvl w:val="0"/>
        <w:rPr>
          <w:rFonts w:eastAsia="Times New Roman" w:cs="Helvetica"/>
          <w:b/>
          <w:bCs/>
          <w:color w:val="FFFFFF"/>
          <w:kern w:val="36"/>
          <w:sz w:val="58"/>
          <w:szCs w:val="58"/>
        </w:rPr>
      </w:pPr>
    </w:p>
    <w:p w:rsidR="0089468B" w:rsidRPr="00DE6769" w:rsidRDefault="0089468B" w:rsidP="0089468B">
      <w:pPr>
        <w:shd w:val="clear" w:color="auto" w:fill="FFFFFF"/>
        <w:spacing w:after="0" w:line="240" w:lineRule="auto"/>
        <w:outlineLvl w:val="0"/>
        <w:rPr>
          <w:rFonts w:eastAsia="Times New Roman" w:cs="Helvetica"/>
          <w:b/>
          <w:bCs/>
          <w:color w:val="FFFFFF"/>
          <w:kern w:val="36"/>
          <w:sz w:val="58"/>
          <w:szCs w:val="58"/>
        </w:rPr>
      </w:pPr>
      <w:r w:rsidRPr="00DE6769">
        <w:rPr>
          <w:rFonts w:eastAsia="Times New Roman" w:cs="Helvetica"/>
          <w:b/>
          <w:bCs/>
          <w:color w:val="FFFFFF"/>
          <w:kern w:val="36"/>
          <w:sz w:val="58"/>
          <w:szCs w:val="58"/>
        </w:rPr>
        <w:t>IASB Update January 2020</w:t>
      </w:r>
    </w:p>
    <w:p w:rsidR="0089468B" w:rsidRPr="00DE6769" w:rsidRDefault="00DE6769" w:rsidP="0089468B">
      <w:pPr>
        <w:shd w:val="clear" w:color="auto" w:fill="A41F35"/>
        <w:spacing w:after="0" w:line="240" w:lineRule="auto"/>
        <w:outlineLvl w:val="0"/>
        <w:rPr>
          <w:rFonts w:eastAsia="Times New Roman" w:cs="Helvetica"/>
          <w:b/>
          <w:bCs/>
          <w:color w:val="FFFFFF"/>
          <w:kern w:val="36"/>
          <w:sz w:val="58"/>
          <w:szCs w:val="58"/>
        </w:rPr>
      </w:pPr>
      <w:r w:rsidRPr="00DE6769">
        <w:rPr>
          <w:rFonts w:eastAsia="Times New Roman" w:cs="Helvetica"/>
          <w:b/>
          <w:bCs/>
          <w:color w:val="FFFFFF"/>
          <w:kern w:val="36"/>
          <w:sz w:val="58"/>
          <w:szCs w:val="58"/>
          <w:lang w:val="bg-BG"/>
        </w:rPr>
        <w:t>Информационен бюлетин на Съвета по международни счетоводни стандарти (IASB) – януари 2020 г.</w:t>
      </w:r>
    </w:p>
    <w:p w:rsidR="0089468B" w:rsidRPr="00DE6769" w:rsidRDefault="0089468B" w:rsidP="0089468B">
      <w:pPr>
        <w:shd w:val="clear" w:color="auto" w:fill="FFFFFF"/>
        <w:spacing w:after="300" w:line="240" w:lineRule="auto"/>
        <w:rPr>
          <w:rFonts w:eastAsia="Times New Roman" w:cs="Helvetica"/>
          <w:color w:val="575757"/>
          <w:sz w:val="24"/>
          <w:szCs w:val="24"/>
        </w:rPr>
      </w:pPr>
    </w:p>
    <w:p w:rsidR="0089468B" w:rsidRPr="0072166F" w:rsidRDefault="0089468B" w:rsidP="0089468B">
      <w:pPr>
        <w:shd w:val="clear" w:color="auto" w:fill="FFFFFF"/>
        <w:spacing w:after="300" w:line="240" w:lineRule="auto"/>
        <w:rPr>
          <w:rFonts w:eastAsia="Times New Roman" w:cs="Helvetica"/>
          <w:color w:val="575757"/>
          <w:sz w:val="24"/>
          <w:szCs w:val="24"/>
          <w:lang w:val="bg-BG"/>
        </w:rPr>
      </w:pPr>
    </w:p>
    <w:p w:rsidR="0089468B" w:rsidRPr="00DE6769" w:rsidRDefault="00DE6769" w:rsidP="0089468B">
      <w:pPr>
        <w:shd w:val="clear" w:color="auto" w:fill="FFFFFF"/>
        <w:spacing w:after="300" w:line="240" w:lineRule="auto"/>
        <w:rPr>
          <w:rFonts w:eastAsia="Times New Roman" w:cs="Helvetica"/>
          <w:color w:val="575757"/>
          <w:sz w:val="24"/>
          <w:szCs w:val="24"/>
        </w:rPr>
      </w:pPr>
      <w:r w:rsidRPr="007268F9">
        <w:rPr>
          <w:rFonts w:ascii="Calibri" w:eastAsia="Times New Roman" w:hAnsi="Calibri" w:cs="Helvetica"/>
          <w:color w:val="575757"/>
          <w:sz w:val="24"/>
          <w:szCs w:val="24"/>
          <w:lang w:val="bg-BG"/>
        </w:rPr>
        <w:t xml:space="preserve">Настоящият бюлетин на </w:t>
      </w:r>
      <w:proofErr w:type="gramStart"/>
      <w:r w:rsidRPr="007268F9">
        <w:rPr>
          <w:rFonts w:ascii="Calibri" w:eastAsia="Times New Roman" w:hAnsi="Calibri" w:cs="Helvetica"/>
          <w:color w:val="575757"/>
          <w:sz w:val="24"/>
          <w:szCs w:val="24"/>
          <w:lang w:val="bg-BG"/>
        </w:rPr>
        <w:t>Съвета по международни счетоводни стандарти (IASB) (”Съветът”) представя предварителните решения на Съвета</w:t>
      </w:r>
      <w:proofErr w:type="gramEnd"/>
      <w:r w:rsidRPr="007268F9">
        <w:rPr>
          <w:rFonts w:ascii="Calibri" w:eastAsia="Times New Roman" w:hAnsi="Calibri" w:cs="Helvetica"/>
          <w:color w:val="575757"/>
          <w:sz w:val="24"/>
          <w:szCs w:val="24"/>
          <w:lang w:val="bg-BG"/>
        </w:rPr>
        <w:t>. Окончателните решения на Съвета по международни счетоводни стандарти относно: МСФО стандарти (IFRS</w:t>
      </w:r>
      <w:r w:rsidRPr="007268F9">
        <w:rPr>
          <w:rFonts w:ascii="Calibri" w:eastAsia="Times New Roman" w:hAnsi="Calibri" w:cs="Helvetica"/>
          <w:color w:val="575757"/>
          <w:sz w:val="24"/>
          <w:szCs w:val="24"/>
          <w:vertAlign w:val="superscript"/>
          <w:lang w:val="bg-BG"/>
        </w:rPr>
        <w:t>®</w:t>
      </w:r>
      <w:r w:rsidRPr="007268F9">
        <w:rPr>
          <w:rFonts w:ascii="Calibri" w:eastAsia="Times New Roman" w:hAnsi="Calibri" w:cs="Helvetica"/>
          <w:color w:val="575757"/>
          <w:sz w:val="24"/>
          <w:szCs w:val="24"/>
          <w:lang w:val="bg-BG"/>
        </w:rPr>
        <w:t> Standards), Изменения и Разяснения (IFRIC</w:t>
      </w:r>
      <w:r w:rsidRPr="007268F9">
        <w:rPr>
          <w:rFonts w:ascii="Calibri" w:eastAsia="Times New Roman" w:hAnsi="Calibri" w:cs="Helvetica"/>
          <w:color w:val="575757"/>
          <w:sz w:val="24"/>
          <w:szCs w:val="24"/>
          <w:vertAlign w:val="superscript"/>
          <w:lang w:val="bg-BG"/>
        </w:rPr>
        <w:t>®</w:t>
      </w:r>
      <w:r w:rsidRPr="007268F9">
        <w:rPr>
          <w:rFonts w:ascii="Calibri" w:eastAsia="Times New Roman" w:hAnsi="Calibri" w:cs="Helvetica"/>
          <w:color w:val="575757"/>
          <w:sz w:val="24"/>
          <w:szCs w:val="24"/>
          <w:lang w:val="bg-BG"/>
        </w:rPr>
        <w:t xml:space="preserve"> Interpretations) се подлагат на официално гласуване, съгласно предвиденото в </w:t>
      </w:r>
      <w:r w:rsidRPr="007268F9">
        <w:rPr>
          <w:rFonts w:ascii="Calibri" w:eastAsia="Times New Roman" w:hAnsi="Calibri" w:cs="Helvetica"/>
          <w:i/>
          <w:color w:val="575757"/>
          <w:sz w:val="24"/>
          <w:szCs w:val="24"/>
          <w:lang w:val="bg-BG"/>
        </w:rPr>
        <w:t>Ръководството по регламентираната процедура</w:t>
      </w:r>
      <w:r w:rsidRPr="007268F9">
        <w:rPr>
          <w:rFonts w:ascii="Calibri" w:eastAsia="Times New Roman" w:hAnsi="Calibri" w:cs="Helvetica"/>
          <w:color w:val="575757"/>
          <w:sz w:val="24"/>
          <w:szCs w:val="24"/>
          <w:lang w:val="bg-BG"/>
        </w:rPr>
        <w:t xml:space="preserve"> на Фондация МСФО (IFRS</w:t>
      </w:r>
      <w:r w:rsidRPr="007268F9">
        <w:rPr>
          <w:rFonts w:ascii="Calibri" w:eastAsia="Times New Roman" w:hAnsi="Calibri" w:cs="Helvetica"/>
          <w:color w:val="575757"/>
          <w:sz w:val="24"/>
          <w:szCs w:val="24"/>
          <w:vertAlign w:val="superscript"/>
          <w:lang w:val="bg-BG"/>
        </w:rPr>
        <w:t>®</w:t>
      </w:r>
      <w:r w:rsidRPr="007268F9">
        <w:rPr>
          <w:rFonts w:ascii="Calibri" w:eastAsia="Times New Roman" w:hAnsi="Calibri" w:cs="Helvetica"/>
          <w:color w:val="575757"/>
          <w:sz w:val="24"/>
          <w:szCs w:val="24"/>
          <w:lang w:val="bg-BG"/>
        </w:rPr>
        <w:t xml:space="preserve"> Foundation) и Комитета по разясненията на МСФО (IFRS Interpretation Committee)</w:t>
      </w:r>
      <w:r w:rsidR="0089468B" w:rsidRPr="00DE6769">
        <w:rPr>
          <w:rFonts w:eastAsia="Times New Roman" w:cs="Helvetica"/>
          <w:color w:val="575757"/>
          <w:sz w:val="24"/>
          <w:szCs w:val="24"/>
        </w:rPr>
        <w:t>.</w:t>
      </w:r>
      <w:r w:rsidR="0089468B" w:rsidRPr="00DE6769">
        <w:rPr>
          <w:rFonts w:eastAsia="Times New Roman" w:cs="Helvetica"/>
          <w:color w:val="575757"/>
          <w:sz w:val="24"/>
          <w:szCs w:val="24"/>
        </w:rPr>
        <w:br/>
      </w:r>
      <w:r w:rsidR="0089468B" w:rsidRPr="00DE6769">
        <w:rPr>
          <w:rFonts w:eastAsia="Times New Roman" w:cs="Helvetica"/>
          <w:color w:val="575757"/>
          <w:sz w:val="24"/>
          <w:szCs w:val="24"/>
        </w:rPr>
        <w:br/>
      </w:r>
      <w:r w:rsidRPr="007268F9">
        <w:rPr>
          <w:rFonts w:ascii="Calibri" w:eastAsia="Times New Roman" w:hAnsi="Calibri" w:cs="Helvetica"/>
          <w:color w:val="575757"/>
          <w:sz w:val="24"/>
          <w:szCs w:val="24"/>
          <w:lang w:val="bg-BG"/>
        </w:rPr>
        <w:t xml:space="preserve">Съветът проведе заседания на </w:t>
      </w:r>
      <w:r>
        <w:rPr>
          <w:rFonts w:ascii="Calibri" w:eastAsia="Times New Roman" w:hAnsi="Calibri" w:cs="Helvetica"/>
          <w:color w:val="575757"/>
          <w:sz w:val="24"/>
          <w:szCs w:val="24"/>
          <w:lang w:val="bg-BG"/>
        </w:rPr>
        <w:t>28 – 30 януари 2020 г.</w:t>
      </w:r>
      <w:r w:rsidRPr="007268F9">
        <w:rPr>
          <w:rFonts w:ascii="Calibri" w:eastAsia="Times New Roman" w:hAnsi="Calibri" w:cs="Helvetica"/>
          <w:color w:val="575757"/>
          <w:sz w:val="24"/>
          <w:szCs w:val="24"/>
          <w:lang w:val="bg-BG"/>
        </w:rPr>
        <w:t xml:space="preserve"> в офисите на Фондация МСФО в Лондон</w:t>
      </w:r>
      <w:r w:rsidR="0089468B" w:rsidRPr="00DE6769">
        <w:rPr>
          <w:rFonts w:eastAsia="Times New Roman" w:cs="Helvetica"/>
          <w:color w:val="575757"/>
          <w:sz w:val="24"/>
          <w:szCs w:val="24"/>
        </w:rPr>
        <w:t>.</w:t>
      </w:r>
    </w:p>
    <w:p w:rsidR="0089468B" w:rsidRPr="00DE6769" w:rsidRDefault="00DE6769" w:rsidP="0089468B">
      <w:pPr>
        <w:shd w:val="clear" w:color="auto" w:fill="FFFFFF"/>
        <w:spacing w:after="300" w:line="240" w:lineRule="auto"/>
        <w:rPr>
          <w:rFonts w:eastAsia="Times New Roman" w:cs="Helvetica"/>
          <w:color w:val="575757"/>
          <w:sz w:val="24"/>
          <w:szCs w:val="24"/>
        </w:rPr>
      </w:pPr>
      <w:r w:rsidRPr="007268F9">
        <w:rPr>
          <w:rFonts w:ascii="Calibri" w:eastAsia="Times New Roman" w:hAnsi="Calibri" w:cs="Helvetica"/>
          <w:color w:val="575757"/>
          <w:sz w:val="24"/>
          <w:szCs w:val="24"/>
          <w:lang w:val="bg-BG"/>
        </w:rPr>
        <w:t>Темите, по реда на обсъждането им, включваха</w:t>
      </w:r>
      <w:r w:rsidR="0089468B" w:rsidRPr="00DE6769">
        <w:rPr>
          <w:rFonts w:eastAsia="Times New Roman" w:cs="Helvetica"/>
          <w:color w:val="575757"/>
          <w:sz w:val="24"/>
          <w:szCs w:val="24"/>
        </w:rPr>
        <w:t>:</w:t>
      </w:r>
    </w:p>
    <w:p w:rsidR="0089468B" w:rsidRPr="00DE6769" w:rsidRDefault="00581855" w:rsidP="0089468B">
      <w:pPr>
        <w:numPr>
          <w:ilvl w:val="0"/>
          <w:numId w:val="1"/>
        </w:numPr>
        <w:shd w:val="clear" w:color="auto" w:fill="FFFFFF"/>
        <w:spacing w:before="75" w:after="75" w:line="240" w:lineRule="auto"/>
        <w:ind w:left="495"/>
        <w:rPr>
          <w:rFonts w:eastAsia="Times New Roman" w:cs="Helvetica"/>
          <w:color w:val="575757"/>
          <w:sz w:val="24"/>
          <w:szCs w:val="24"/>
        </w:rPr>
      </w:pPr>
      <w:hyperlink r:id="rId6" w:anchor="8" w:history="1">
        <w:hyperlink r:id="rId7" w:anchor="2" w:history="1">
          <w:r w:rsidR="00D657AA" w:rsidRPr="007268F9">
            <w:rPr>
              <w:rFonts w:ascii="Calibri" w:eastAsia="Times New Roman" w:hAnsi="Calibri" w:cs="Helvetica"/>
              <w:color w:val="CD3333"/>
              <w:sz w:val="24"/>
              <w:szCs w:val="24"/>
              <w:u w:val="single"/>
              <w:lang w:val="bg-BG"/>
            </w:rPr>
            <w:t>Дъщерни предприятия, които са МСП</w:t>
          </w:r>
        </w:hyperlink>
      </w:hyperlink>
    </w:p>
    <w:p w:rsidR="0089468B" w:rsidRPr="00DE6769" w:rsidRDefault="00581855" w:rsidP="0089468B">
      <w:pPr>
        <w:numPr>
          <w:ilvl w:val="0"/>
          <w:numId w:val="1"/>
        </w:numPr>
        <w:shd w:val="clear" w:color="auto" w:fill="FFFFFF"/>
        <w:spacing w:before="75" w:after="75" w:line="240" w:lineRule="auto"/>
        <w:ind w:left="495"/>
        <w:rPr>
          <w:rFonts w:eastAsia="Times New Roman" w:cs="Helvetica"/>
          <w:color w:val="575757"/>
          <w:sz w:val="24"/>
          <w:szCs w:val="24"/>
        </w:rPr>
      </w:pPr>
      <w:hyperlink r:id="rId8" w:anchor="9" w:history="1">
        <w:r w:rsidR="00D657AA" w:rsidRPr="007268F9">
          <w:rPr>
            <w:rFonts w:eastAsia="Times New Roman" w:cs="Helvetica"/>
            <w:color w:val="CD3333"/>
            <w:sz w:val="24"/>
            <w:szCs w:val="24"/>
            <w:u w:val="single"/>
            <w:lang w:val="bg-BG"/>
          </w:rPr>
          <w:t>Бизнес комбинации под общ контрол</w:t>
        </w:r>
      </w:hyperlink>
    </w:p>
    <w:p w:rsidR="0089468B" w:rsidRPr="00DE6769" w:rsidRDefault="00581855" w:rsidP="0089468B">
      <w:pPr>
        <w:numPr>
          <w:ilvl w:val="0"/>
          <w:numId w:val="1"/>
        </w:numPr>
        <w:shd w:val="clear" w:color="auto" w:fill="FFFFFF"/>
        <w:spacing w:before="75" w:after="75" w:line="240" w:lineRule="auto"/>
        <w:ind w:left="495"/>
        <w:rPr>
          <w:rFonts w:eastAsia="Times New Roman" w:cs="Helvetica"/>
          <w:color w:val="575757"/>
          <w:sz w:val="24"/>
          <w:szCs w:val="24"/>
        </w:rPr>
      </w:pPr>
      <w:hyperlink r:id="rId9" w:anchor="3" w:history="1">
        <w:r w:rsidR="00E66DC2">
          <w:rPr>
            <w:rFonts w:eastAsia="Times New Roman" w:cs="Helvetica"/>
            <w:color w:val="CD3333"/>
            <w:sz w:val="24"/>
            <w:szCs w:val="24"/>
            <w:u w:val="single"/>
            <w:lang w:val="bg-BG"/>
          </w:rPr>
          <w:t>Пенсионни доходи, които зависят от възвръщаемостта на активите</w:t>
        </w:r>
      </w:hyperlink>
    </w:p>
    <w:p w:rsidR="0089468B" w:rsidRPr="00DE6769" w:rsidRDefault="00581855" w:rsidP="0089468B">
      <w:pPr>
        <w:numPr>
          <w:ilvl w:val="0"/>
          <w:numId w:val="1"/>
        </w:numPr>
        <w:shd w:val="clear" w:color="auto" w:fill="FFFFFF"/>
        <w:spacing w:before="75" w:after="75" w:line="240" w:lineRule="auto"/>
        <w:ind w:left="495"/>
        <w:rPr>
          <w:rFonts w:eastAsia="Times New Roman" w:cs="Helvetica"/>
          <w:color w:val="575757"/>
          <w:sz w:val="24"/>
          <w:szCs w:val="24"/>
        </w:rPr>
      </w:pPr>
      <w:hyperlink r:id="rId10" w:anchor="1" w:history="1">
        <w:hyperlink r:id="rId11" w:anchor="7" w:history="1">
          <w:r w:rsidR="00D657AA" w:rsidRPr="007268F9">
            <w:rPr>
              <w:rFonts w:ascii="Calibri" w:eastAsia="Times New Roman" w:hAnsi="Calibri" w:cs="Helvetica"/>
              <w:color w:val="CD3333"/>
              <w:sz w:val="24"/>
              <w:szCs w:val="24"/>
              <w:u w:val="single"/>
              <w:lang w:val="bg-BG"/>
            </w:rPr>
            <w:t>Въпроси, свързани с въвеждането и прилагането на стандартите</w:t>
          </w:r>
        </w:hyperlink>
      </w:hyperlink>
    </w:p>
    <w:p w:rsidR="0089468B" w:rsidRPr="00DE6769" w:rsidRDefault="00581855" w:rsidP="0089468B">
      <w:pPr>
        <w:numPr>
          <w:ilvl w:val="0"/>
          <w:numId w:val="1"/>
        </w:numPr>
        <w:shd w:val="clear" w:color="auto" w:fill="FFFFFF"/>
        <w:spacing w:before="75" w:after="75" w:line="240" w:lineRule="auto"/>
        <w:ind w:left="495"/>
        <w:rPr>
          <w:rFonts w:eastAsia="Times New Roman" w:cs="Helvetica"/>
          <w:color w:val="575757"/>
          <w:sz w:val="24"/>
          <w:szCs w:val="24"/>
        </w:rPr>
      </w:pPr>
      <w:hyperlink r:id="rId12" w:anchor="5" w:history="1">
        <w:r w:rsidR="00E66DC2">
          <w:rPr>
            <w:rFonts w:eastAsia="Times New Roman" w:cs="Helvetica"/>
            <w:color w:val="CD3333"/>
            <w:sz w:val="24"/>
            <w:szCs w:val="24"/>
            <w:u w:val="single"/>
            <w:lang w:val="bg-BG"/>
          </w:rPr>
          <w:t>Инициатива за оповестяване</w:t>
        </w:r>
        <w:r w:rsidR="0089468B" w:rsidRPr="00DE6769">
          <w:rPr>
            <w:rFonts w:eastAsia="Times New Roman" w:cs="Helvetica"/>
            <w:color w:val="CD3333"/>
            <w:sz w:val="24"/>
            <w:szCs w:val="24"/>
            <w:u w:val="single"/>
          </w:rPr>
          <w:t>—</w:t>
        </w:r>
        <w:r w:rsidR="0072166F">
          <w:rPr>
            <w:rFonts w:eastAsia="Times New Roman" w:cs="Helvetica"/>
            <w:color w:val="CD3333"/>
            <w:sz w:val="24"/>
            <w:szCs w:val="24"/>
            <w:u w:val="single"/>
            <w:lang w:val="bg-BG"/>
          </w:rPr>
          <w:t>ц</w:t>
        </w:r>
        <w:r w:rsidR="00E66DC2">
          <w:rPr>
            <w:rFonts w:eastAsia="Times New Roman" w:cs="Helvetica"/>
            <w:color w:val="CD3333"/>
            <w:sz w:val="24"/>
            <w:szCs w:val="24"/>
            <w:u w:val="single"/>
            <w:lang w:val="bg-BG"/>
          </w:rPr>
          <w:t>елеви преглед на оповестяванията на ниво стандарти</w:t>
        </w:r>
      </w:hyperlink>
    </w:p>
    <w:p w:rsidR="0089468B" w:rsidRPr="00DE6769" w:rsidRDefault="00581855" w:rsidP="0089468B">
      <w:pPr>
        <w:numPr>
          <w:ilvl w:val="0"/>
          <w:numId w:val="1"/>
        </w:numPr>
        <w:shd w:val="clear" w:color="auto" w:fill="FFFFFF"/>
        <w:spacing w:before="75" w:after="75" w:line="240" w:lineRule="auto"/>
        <w:ind w:left="495"/>
        <w:rPr>
          <w:rFonts w:eastAsia="Times New Roman" w:cs="Helvetica"/>
          <w:color w:val="575757"/>
          <w:sz w:val="24"/>
          <w:szCs w:val="24"/>
        </w:rPr>
      </w:pPr>
      <w:hyperlink r:id="rId13" w:anchor="6" w:history="1">
        <w:r w:rsidR="00E66DC2">
          <w:rPr>
            <w:rFonts w:eastAsia="Times New Roman" w:cs="Helvetica"/>
            <w:color w:val="CD3333"/>
            <w:sz w:val="24"/>
            <w:szCs w:val="24"/>
            <w:u w:val="single"/>
            <w:lang w:val="bg-BG"/>
          </w:rPr>
          <w:t>Актуализация на препратка към Концептуалната рамка</w:t>
        </w:r>
        <w:r w:rsidR="0089468B" w:rsidRPr="00DE6769">
          <w:rPr>
            <w:rFonts w:eastAsia="Times New Roman" w:cs="Helvetica"/>
            <w:color w:val="CD3333"/>
            <w:sz w:val="24"/>
            <w:szCs w:val="24"/>
            <w:u w:val="single"/>
          </w:rPr>
          <w:t xml:space="preserve"> (</w:t>
        </w:r>
        <w:r w:rsidR="00E66DC2">
          <w:rPr>
            <w:rFonts w:eastAsia="Times New Roman" w:cs="Helvetica"/>
            <w:color w:val="CD3333"/>
            <w:sz w:val="24"/>
            <w:szCs w:val="24"/>
            <w:u w:val="single"/>
            <w:lang w:val="bg-BG"/>
          </w:rPr>
          <w:t>изменения в</w:t>
        </w:r>
        <w:r w:rsidR="0089468B" w:rsidRPr="00DE6769">
          <w:rPr>
            <w:rFonts w:eastAsia="Times New Roman" w:cs="Helvetica"/>
            <w:color w:val="CD3333"/>
            <w:sz w:val="24"/>
            <w:szCs w:val="24"/>
            <w:u w:val="single"/>
          </w:rPr>
          <w:t xml:space="preserve"> </w:t>
        </w:r>
        <w:r w:rsidR="00DE6769">
          <w:rPr>
            <w:rFonts w:eastAsia="Times New Roman" w:cs="Helvetica"/>
            <w:color w:val="CD3333"/>
            <w:sz w:val="24"/>
            <w:szCs w:val="24"/>
            <w:u w:val="single"/>
          </w:rPr>
          <w:t>МСФО</w:t>
        </w:r>
        <w:r w:rsidR="0089468B" w:rsidRPr="00DE6769">
          <w:rPr>
            <w:rFonts w:eastAsia="Times New Roman" w:cs="Helvetica"/>
            <w:color w:val="CD3333"/>
            <w:sz w:val="24"/>
            <w:szCs w:val="24"/>
            <w:u w:val="single"/>
          </w:rPr>
          <w:t xml:space="preserve"> 3)</w:t>
        </w:r>
      </w:hyperlink>
    </w:p>
    <w:p w:rsidR="0089468B" w:rsidRPr="00DE6769" w:rsidRDefault="00581855" w:rsidP="0089468B">
      <w:pPr>
        <w:numPr>
          <w:ilvl w:val="0"/>
          <w:numId w:val="1"/>
        </w:numPr>
        <w:shd w:val="clear" w:color="auto" w:fill="FFFFFF"/>
        <w:spacing w:before="75" w:after="75" w:line="240" w:lineRule="auto"/>
        <w:ind w:left="495"/>
        <w:rPr>
          <w:rFonts w:eastAsia="Times New Roman" w:cs="Helvetica"/>
          <w:color w:val="575757"/>
          <w:sz w:val="24"/>
          <w:szCs w:val="24"/>
        </w:rPr>
      </w:pPr>
      <w:hyperlink r:id="rId14" w:anchor="7" w:history="1">
        <w:r w:rsidR="00E66DC2">
          <w:rPr>
            <w:rFonts w:eastAsia="Times New Roman" w:cs="Helvetica"/>
            <w:color w:val="CD3333"/>
            <w:sz w:val="24"/>
            <w:szCs w:val="24"/>
            <w:u w:val="single"/>
            <w:lang w:val="bg-BG"/>
          </w:rPr>
          <w:t>Провизии</w:t>
        </w:r>
      </w:hyperlink>
    </w:p>
    <w:p w:rsidR="0089468B" w:rsidRPr="00DE6769" w:rsidRDefault="00581855" w:rsidP="0089468B">
      <w:pPr>
        <w:numPr>
          <w:ilvl w:val="0"/>
          <w:numId w:val="1"/>
        </w:numPr>
        <w:shd w:val="clear" w:color="auto" w:fill="FFFFFF"/>
        <w:spacing w:before="75" w:after="75" w:line="240" w:lineRule="auto"/>
        <w:ind w:left="495"/>
        <w:rPr>
          <w:rFonts w:eastAsia="Times New Roman" w:cs="Helvetica"/>
          <w:color w:val="575757"/>
          <w:sz w:val="24"/>
          <w:szCs w:val="24"/>
        </w:rPr>
      </w:pPr>
      <w:hyperlink r:id="rId15" w:anchor="8" w:history="1">
        <w:r w:rsidR="00E66DC2">
          <w:rPr>
            <w:rFonts w:eastAsia="Times New Roman" w:cs="Helvetica"/>
            <w:color w:val="CD3333"/>
            <w:sz w:val="24"/>
            <w:szCs w:val="24"/>
            <w:u w:val="single"/>
            <w:lang w:val="bg-BG"/>
          </w:rPr>
          <w:t>Актуална информация относно изследователската програма</w:t>
        </w:r>
      </w:hyperlink>
    </w:p>
    <w:p w:rsidR="0089468B" w:rsidRPr="00E66DC2" w:rsidRDefault="00581855" w:rsidP="0089468B">
      <w:pPr>
        <w:numPr>
          <w:ilvl w:val="0"/>
          <w:numId w:val="1"/>
        </w:numPr>
        <w:shd w:val="clear" w:color="auto" w:fill="FFFFFF"/>
        <w:spacing w:before="75" w:after="75" w:line="240" w:lineRule="auto"/>
        <w:ind w:left="495"/>
        <w:rPr>
          <w:rFonts w:eastAsia="Times New Roman" w:cs="Helvetica"/>
          <w:color w:val="CD3333"/>
          <w:sz w:val="24"/>
          <w:szCs w:val="24"/>
          <w:u w:val="single"/>
          <w:lang w:val="bg-BG"/>
        </w:rPr>
      </w:pPr>
      <w:hyperlink r:id="rId16" w:anchor="9" w:history="1">
        <w:r w:rsidR="00E66DC2">
          <w:rPr>
            <w:rFonts w:eastAsia="Times New Roman" w:cs="Helvetica"/>
            <w:color w:val="CD3333"/>
            <w:sz w:val="24"/>
            <w:szCs w:val="24"/>
            <w:u w:val="single"/>
            <w:lang w:val="bg-BG"/>
          </w:rPr>
          <w:t>Дейности</w:t>
        </w:r>
      </w:hyperlink>
      <w:r w:rsidR="00E66DC2" w:rsidRPr="00E66DC2">
        <w:rPr>
          <w:rFonts w:eastAsia="Times New Roman" w:cs="Helvetica"/>
          <w:color w:val="CD3333"/>
          <w:sz w:val="24"/>
          <w:szCs w:val="24"/>
          <w:u w:val="single"/>
          <w:lang w:val="bg-BG"/>
        </w:rPr>
        <w:t xml:space="preserve"> с регулирани цени</w:t>
      </w:r>
    </w:p>
    <w:p w:rsidR="0089468B" w:rsidRPr="00DE6769" w:rsidRDefault="00581855" w:rsidP="0089468B">
      <w:pPr>
        <w:numPr>
          <w:ilvl w:val="0"/>
          <w:numId w:val="1"/>
        </w:numPr>
        <w:shd w:val="clear" w:color="auto" w:fill="FFFFFF"/>
        <w:spacing w:before="75" w:after="75" w:line="240" w:lineRule="auto"/>
        <w:ind w:left="495"/>
        <w:rPr>
          <w:rFonts w:eastAsia="Times New Roman" w:cs="Helvetica"/>
          <w:color w:val="575757"/>
          <w:sz w:val="24"/>
          <w:szCs w:val="24"/>
        </w:rPr>
      </w:pPr>
      <w:hyperlink r:id="rId17" w:anchor="10" w:history="1">
        <w:hyperlink r:id="rId18" w:anchor="7" w:history="1">
          <w:r w:rsidR="00E66DC2" w:rsidRPr="007268F9">
            <w:rPr>
              <w:rFonts w:eastAsia="Times New Roman" w:cs="Helvetica"/>
              <w:color w:val="CD3333"/>
              <w:sz w:val="24"/>
              <w:szCs w:val="24"/>
              <w:u w:val="single"/>
              <w:lang w:val="bg-BG"/>
            </w:rPr>
            <w:t>Реформата на референтните лихвени проценти и ефектът й върху финансовото отчитане</w:t>
          </w:r>
        </w:hyperlink>
        <w:r w:rsidR="0089468B" w:rsidRPr="00DE6769">
          <w:rPr>
            <w:rFonts w:eastAsia="Times New Roman" w:cs="Helvetica"/>
            <w:color w:val="CD3333"/>
            <w:sz w:val="24"/>
            <w:szCs w:val="24"/>
            <w:u w:val="single"/>
          </w:rPr>
          <w:t>—</w:t>
        </w:r>
        <w:r w:rsidR="00E66DC2">
          <w:rPr>
            <w:rFonts w:eastAsia="Times New Roman" w:cs="Helvetica"/>
            <w:color w:val="CD3333"/>
            <w:sz w:val="24"/>
            <w:szCs w:val="24"/>
            <w:u w:val="single"/>
            <w:lang w:val="bg-BG"/>
          </w:rPr>
          <w:t>Фаза</w:t>
        </w:r>
        <w:r w:rsidR="0089468B" w:rsidRPr="00DE6769">
          <w:rPr>
            <w:rFonts w:eastAsia="Times New Roman" w:cs="Helvetica"/>
            <w:color w:val="CD3333"/>
            <w:sz w:val="24"/>
            <w:szCs w:val="24"/>
            <w:u w:val="single"/>
          </w:rPr>
          <w:t xml:space="preserve"> 2</w:t>
        </w:r>
      </w:hyperlink>
    </w:p>
    <w:p w:rsidR="0089468B" w:rsidRPr="00DE6769" w:rsidRDefault="00581855" w:rsidP="0089468B">
      <w:pPr>
        <w:numPr>
          <w:ilvl w:val="0"/>
          <w:numId w:val="1"/>
        </w:numPr>
        <w:shd w:val="clear" w:color="auto" w:fill="FFFFFF"/>
        <w:spacing w:before="75" w:after="75" w:line="240" w:lineRule="auto"/>
        <w:ind w:left="495"/>
        <w:rPr>
          <w:rFonts w:eastAsia="Times New Roman" w:cs="Helvetica"/>
          <w:color w:val="575757"/>
          <w:sz w:val="24"/>
          <w:szCs w:val="24"/>
        </w:rPr>
      </w:pPr>
      <w:hyperlink r:id="rId19" w:anchor="11" w:history="1">
        <w:r w:rsidR="00E66DC2">
          <w:rPr>
            <w:rFonts w:eastAsia="Times New Roman" w:cs="Helvetica"/>
            <w:color w:val="CD3333"/>
            <w:sz w:val="24"/>
            <w:szCs w:val="24"/>
            <w:u w:val="single"/>
            <w:lang w:val="bg-BG"/>
          </w:rPr>
          <w:t>Изменения в</w:t>
        </w:r>
        <w:r w:rsidR="0089468B" w:rsidRPr="00DE6769">
          <w:rPr>
            <w:rFonts w:eastAsia="Times New Roman" w:cs="Helvetica"/>
            <w:color w:val="CD3333"/>
            <w:sz w:val="24"/>
            <w:szCs w:val="24"/>
            <w:u w:val="single"/>
          </w:rPr>
          <w:t xml:space="preserve"> </w:t>
        </w:r>
        <w:r w:rsidR="00DE6769">
          <w:rPr>
            <w:rFonts w:eastAsia="Times New Roman" w:cs="Helvetica"/>
            <w:color w:val="CD3333"/>
            <w:sz w:val="24"/>
            <w:szCs w:val="24"/>
            <w:u w:val="single"/>
          </w:rPr>
          <w:t>МСФО</w:t>
        </w:r>
        <w:r w:rsidR="0089468B" w:rsidRPr="00DE6769">
          <w:rPr>
            <w:rFonts w:eastAsia="Times New Roman" w:cs="Helvetica"/>
            <w:color w:val="CD3333"/>
            <w:sz w:val="24"/>
            <w:szCs w:val="24"/>
            <w:u w:val="single"/>
          </w:rPr>
          <w:t xml:space="preserve"> 17 </w:t>
        </w:r>
        <w:r w:rsidR="00E66DC2">
          <w:rPr>
            <w:rFonts w:eastAsia="Times New Roman" w:cs="Helvetica"/>
            <w:i/>
            <w:iCs/>
            <w:color w:val="CD3333"/>
            <w:sz w:val="24"/>
            <w:szCs w:val="24"/>
            <w:lang w:val="bg-BG"/>
          </w:rPr>
          <w:t>Застрахователни договори</w:t>
        </w:r>
      </w:hyperlink>
    </w:p>
    <w:p w:rsidR="0089468B" w:rsidRPr="00DE6769" w:rsidRDefault="00581855" w:rsidP="0089468B">
      <w:pPr>
        <w:numPr>
          <w:ilvl w:val="0"/>
          <w:numId w:val="1"/>
        </w:numPr>
        <w:shd w:val="clear" w:color="auto" w:fill="FFFFFF"/>
        <w:spacing w:before="75" w:after="75" w:line="240" w:lineRule="auto"/>
        <w:ind w:left="495"/>
        <w:rPr>
          <w:rFonts w:eastAsia="Times New Roman" w:cs="Helvetica"/>
          <w:color w:val="575757"/>
          <w:sz w:val="24"/>
          <w:szCs w:val="24"/>
        </w:rPr>
      </w:pPr>
      <w:hyperlink r:id="rId20" w:anchor="12" w:history="1">
        <w:r w:rsidR="00E66DC2">
          <w:rPr>
            <w:rFonts w:eastAsia="Times New Roman" w:cs="Helvetica"/>
            <w:color w:val="CD3333"/>
            <w:sz w:val="24"/>
            <w:szCs w:val="24"/>
            <w:u w:val="single"/>
            <w:lang w:val="bg-BG"/>
          </w:rPr>
          <w:t xml:space="preserve">Актуализация на МСФО таксономията </w:t>
        </w:r>
        <w:r w:rsidR="0089468B" w:rsidRPr="00DE6769">
          <w:rPr>
            <w:rFonts w:eastAsia="Times New Roman" w:cs="Helvetica"/>
            <w:color w:val="CD3333"/>
            <w:sz w:val="24"/>
            <w:szCs w:val="24"/>
            <w:u w:val="single"/>
          </w:rPr>
          <w:t>—</w:t>
        </w:r>
        <w:r w:rsidR="00E66DC2" w:rsidRPr="00E66DC2">
          <w:t xml:space="preserve"> </w:t>
        </w:r>
        <w:proofErr w:type="spellStart"/>
        <w:r w:rsidR="00E66DC2" w:rsidRPr="00E66DC2">
          <w:rPr>
            <w:rFonts w:eastAsia="Times New Roman" w:cs="Helvetica"/>
            <w:color w:val="CD3333"/>
            <w:sz w:val="24"/>
            <w:szCs w:val="24"/>
            <w:u w:val="single"/>
          </w:rPr>
          <w:t>Реформата</w:t>
        </w:r>
        <w:proofErr w:type="spellEnd"/>
        <w:r w:rsidR="00E66DC2" w:rsidRPr="00E66DC2">
          <w:rPr>
            <w:rFonts w:eastAsia="Times New Roman" w:cs="Helvetica"/>
            <w:color w:val="CD3333"/>
            <w:sz w:val="24"/>
            <w:szCs w:val="24"/>
            <w:u w:val="single"/>
          </w:rPr>
          <w:t xml:space="preserve"> </w:t>
        </w:r>
        <w:proofErr w:type="spellStart"/>
        <w:r w:rsidR="00E66DC2" w:rsidRPr="00E66DC2">
          <w:rPr>
            <w:rFonts w:eastAsia="Times New Roman" w:cs="Helvetica"/>
            <w:color w:val="CD3333"/>
            <w:sz w:val="24"/>
            <w:szCs w:val="24"/>
            <w:u w:val="single"/>
          </w:rPr>
          <w:t>на</w:t>
        </w:r>
        <w:proofErr w:type="spellEnd"/>
        <w:r w:rsidR="00E66DC2" w:rsidRPr="00E66DC2">
          <w:rPr>
            <w:rFonts w:eastAsia="Times New Roman" w:cs="Helvetica"/>
            <w:color w:val="CD3333"/>
            <w:sz w:val="24"/>
            <w:szCs w:val="24"/>
            <w:u w:val="single"/>
          </w:rPr>
          <w:t xml:space="preserve"> </w:t>
        </w:r>
        <w:proofErr w:type="spellStart"/>
        <w:r w:rsidR="00E66DC2" w:rsidRPr="00E66DC2">
          <w:rPr>
            <w:rFonts w:eastAsia="Times New Roman" w:cs="Helvetica"/>
            <w:color w:val="CD3333"/>
            <w:sz w:val="24"/>
            <w:szCs w:val="24"/>
            <w:u w:val="single"/>
          </w:rPr>
          <w:t>референтните</w:t>
        </w:r>
        <w:proofErr w:type="spellEnd"/>
        <w:r w:rsidR="00E66DC2" w:rsidRPr="00E66DC2">
          <w:rPr>
            <w:rFonts w:eastAsia="Times New Roman" w:cs="Helvetica"/>
            <w:color w:val="CD3333"/>
            <w:sz w:val="24"/>
            <w:szCs w:val="24"/>
            <w:u w:val="single"/>
          </w:rPr>
          <w:t xml:space="preserve"> </w:t>
        </w:r>
        <w:proofErr w:type="spellStart"/>
        <w:r w:rsidR="00E66DC2" w:rsidRPr="00E66DC2">
          <w:rPr>
            <w:rFonts w:eastAsia="Times New Roman" w:cs="Helvetica"/>
            <w:color w:val="CD3333"/>
            <w:sz w:val="24"/>
            <w:szCs w:val="24"/>
            <w:u w:val="single"/>
          </w:rPr>
          <w:t>лихвени</w:t>
        </w:r>
        <w:proofErr w:type="spellEnd"/>
        <w:r w:rsidR="00E66DC2" w:rsidRPr="00E66DC2">
          <w:rPr>
            <w:rFonts w:eastAsia="Times New Roman" w:cs="Helvetica"/>
            <w:color w:val="CD3333"/>
            <w:sz w:val="24"/>
            <w:szCs w:val="24"/>
            <w:u w:val="single"/>
          </w:rPr>
          <w:t xml:space="preserve"> проценти</w:t>
        </w:r>
        <w:r w:rsidR="0089468B" w:rsidRPr="00DE6769">
          <w:rPr>
            <w:rFonts w:eastAsia="Times New Roman" w:cs="Helvetica"/>
            <w:color w:val="CD3333"/>
            <w:sz w:val="24"/>
            <w:szCs w:val="24"/>
            <w:u w:val="single"/>
          </w:rPr>
          <w:t xml:space="preserve"> (</w:t>
        </w:r>
        <w:r w:rsidR="00E66DC2">
          <w:rPr>
            <w:rFonts w:eastAsia="Times New Roman" w:cs="Helvetica"/>
            <w:color w:val="CD3333"/>
            <w:sz w:val="24"/>
            <w:szCs w:val="24"/>
            <w:u w:val="single"/>
            <w:lang w:val="bg-BG"/>
          </w:rPr>
          <w:t>изменения в</w:t>
        </w:r>
        <w:r w:rsidR="0089468B" w:rsidRPr="00DE6769">
          <w:rPr>
            <w:rFonts w:eastAsia="Times New Roman" w:cs="Helvetica"/>
            <w:color w:val="CD3333"/>
            <w:sz w:val="24"/>
            <w:szCs w:val="24"/>
            <w:u w:val="single"/>
          </w:rPr>
          <w:t xml:space="preserve"> </w:t>
        </w:r>
        <w:r w:rsidR="00DE6769">
          <w:rPr>
            <w:rFonts w:eastAsia="Times New Roman" w:cs="Helvetica"/>
            <w:color w:val="CD3333"/>
            <w:sz w:val="24"/>
            <w:szCs w:val="24"/>
            <w:u w:val="single"/>
          </w:rPr>
          <w:t>МСФО</w:t>
        </w:r>
        <w:r w:rsidR="0089468B" w:rsidRPr="00DE6769">
          <w:rPr>
            <w:rFonts w:eastAsia="Times New Roman" w:cs="Helvetica"/>
            <w:color w:val="CD3333"/>
            <w:sz w:val="24"/>
            <w:szCs w:val="24"/>
            <w:u w:val="single"/>
          </w:rPr>
          <w:t xml:space="preserve"> 9, </w:t>
        </w:r>
        <w:r w:rsidR="003D0750">
          <w:rPr>
            <w:rFonts w:eastAsia="Times New Roman" w:cs="Helvetica"/>
            <w:color w:val="CD3333"/>
            <w:sz w:val="24"/>
            <w:szCs w:val="24"/>
            <w:u w:val="single"/>
          </w:rPr>
          <w:t>МСС</w:t>
        </w:r>
        <w:r w:rsidR="0089468B" w:rsidRPr="00DE6769">
          <w:rPr>
            <w:rFonts w:eastAsia="Times New Roman" w:cs="Helvetica"/>
            <w:color w:val="CD3333"/>
            <w:sz w:val="24"/>
            <w:szCs w:val="24"/>
            <w:u w:val="single"/>
          </w:rPr>
          <w:t xml:space="preserve"> 39 </w:t>
        </w:r>
        <w:r w:rsidR="00E66DC2">
          <w:rPr>
            <w:rFonts w:eastAsia="Times New Roman" w:cs="Helvetica"/>
            <w:color w:val="CD3333"/>
            <w:sz w:val="24"/>
            <w:szCs w:val="24"/>
            <w:u w:val="single"/>
            <w:lang w:val="bg-BG"/>
          </w:rPr>
          <w:t>и</w:t>
        </w:r>
        <w:r w:rsidR="0089468B" w:rsidRPr="00DE6769">
          <w:rPr>
            <w:rFonts w:eastAsia="Times New Roman" w:cs="Helvetica"/>
            <w:color w:val="CD3333"/>
            <w:sz w:val="24"/>
            <w:szCs w:val="24"/>
            <w:u w:val="single"/>
          </w:rPr>
          <w:t xml:space="preserve"> </w:t>
        </w:r>
        <w:r w:rsidR="00DE6769">
          <w:rPr>
            <w:rFonts w:eastAsia="Times New Roman" w:cs="Helvetica"/>
            <w:color w:val="CD3333"/>
            <w:sz w:val="24"/>
            <w:szCs w:val="24"/>
            <w:u w:val="single"/>
          </w:rPr>
          <w:t>МСФО</w:t>
        </w:r>
        <w:r w:rsidR="0089468B" w:rsidRPr="00DE6769">
          <w:rPr>
            <w:rFonts w:eastAsia="Times New Roman" w:cs="Helvetica"/>
            <w:color w:val="CD3333"/>
            <w:sz w:val="24"/>
            <w:szCs w:val="24"/>
            <w:u w:val="single"/>
          </w:rPr>
          <w:t xml:space="preserve"> 7)</w:t>
        </w:r>
      </w:hyperlink>
    </w:p>
    <w:p w:rsidR="0089468B" w:rsidRPr="00DE6769" w:rsidRDefault="00DE6769" w:rsidP="0089468B">
      <w:pPr>
        <w:shd w:val="clear" w:color="auto" w:fill="F6F6F6"/>
        <w:spacing w:before="225" w:after="150" w:line="240" w:lineRule="auto"/>
        <w:outlineLvl w:val="2"/>
        <w:rPr>
          <w:rFonts w:eastAsia="Times New Roman" w:cs="Helvetica"/>
          <w:b/>
          <w:bCs/>
          <w:color w:val="333333"/>
          <w:sz w:val="24"/>
          <w:szCs w:val="24"/>
        </w:rPr>
      </w:pPr>
      <w:r>
        <w:rPr>
          <w:rFonts w:eastAsia="Times New Roman" w:cs="Helvetica"/>
          <w:b/>
          <w:bCs/>
          <w:color w:val="333333"/>
          <w:sz w:val="24"/>
          <w:szCs w:val="24"/>
          <w:lang w:val="bg-BG"/>
        </w:rPr>
        <w:t>Допълнителна информация</w:t>
      </w:r>
    </w:p>
    <w:p w:rsidR="0089468B" w:rsidRPr="00DE6769" w:rsidRDefault="00DE6769" w:rsidP="0089468B">
      <w:pPr>
        <w:shd w:val="clear" w:color="auto" w:fill="F6F6F6"/>
        <w:spacing w:after="300" w:line="240" w:lineRule="auto"/>
        <w:rPr>
          <w:rFonts w:eastAsia="Times New Roman" w:cs="Helvetica"/>
          <w:color w:val="575757"/>
          <w:sz w:val="24"/>
          <w:szCs w:val="24"/>
        </w:rPr>
      </w:pPr>
      <w:r w:rsidRPr="007268F9">
        <w:rPr>
          <w:rFonts w:ascii="Calibri" w:eastAsia="Times New Roman" w:hAnsi="Calibri" w:cs="Helvetica"/>
          <w:color w:val="575757"/>
          <w:sz w:val="24"/>
          <w:szCs w:val="24"/>
          <w:lang w:val="bg-BG"/>
        </w:rPr>
        <w:t>Предстоящи заседания на Съвета</w:t>
      </w:r>
      <w:r w:rsidR="0089468B" w:rsidRPr="00DE6769">
        <w:rPr>
          <w:rFonts w:eastAsia="Times New Roman" w:cs="Helvetica"/>
          <w:color w:val="575757"/>
          <w:sz w:val="24"/>
          <w:szCs w:val="24"/>
        </w:rPr>
        <w:t>:</w:t>
      </w:r>
    </w:p>
    <w:p w:rsidR="0089468B" w:rsidRPr="00DE6769" w:rsidRDefault="0089468B" w:rsidP="0089468B">
      <w:pPr>
        <w:numPr>
          <w:ilvl w:val="0"/>
          <w:numId w:val="2"/>
        </w:numPr>
        <w:shd w:val="clear" w:color="auto" w:fill="F6F6F6"/>
        <w:spacing w:before="75" w:after="75" w:line="240" w:lineRule="auto"/>
        <w:ind w:left="495"/>
        <w:rPr>
          <w:rFonts w:eastAsia="Times New Roman" w:cs="Helvetica"/>
          <w:color w:val="575757"/>
          <w:sz w:val="24"/>
          <w:szCs w:val="24"/>
        </w:rPr>
      </w:pPr>
      <w:r w:rsidRPr="00DE6769">
        <w:rPr>
          <w:rFonts w:eastAsia="Times New Roman" w:cs="Helvetica"/>
          <w:color w:val="575757"/>
          <w:sz w:val="24"/>
          <w:szCs w:val="24"/>
        </w:rPr>
        <w:t xml:space="preserve">24–28 </w:t>
      </w:r>
      <w:r w:rsidR="00DE6769">
        <w:rPr>
          <w:rFonts w:eastAsia="Times New Roman" w:cs="Helvetica"/>
          <w:color w:val="575757"/>
          <w:sz w:val="24"/>
          <w:szCs w:val="24"/>
          <w:lang w:val="bg-BG"/>
        </w:rPr>
        <w:t>февруари</w:t>
      </w:r>
      <w:r w:rsidRPr="00DE6769">
        <w:rPr>
          <w:rFonts w:eastAsia="Times New Roman" w:cs="Helvetica"/>
          <w:color w:val="575757"/>
          <w:sz w:val="24"/>
          <w:szCs w:val="24"/>
        </w:rPr>
        <w:t xml:space="preserve"> 2020</w:t>
      </w:r>
      <w:r w:rsidR="00DE6769">
        <w:rPr>
          <w:rFonts w:eastAsia="Times New Roman" w:cs="Helvetica"/>
          <w:color w:val="575757"/>
          <w:sz w:val="24"/>
          <w:szCs w:val="24"/>
          <w:lang w:val="bg-BG"/>
        </w:rPr>
        <w:t xml:space="preserve"> г.</w:t>
      </w:r>
    </w:p>
    <w:p w:rsidR="0089468B" w:rsidRPr="00DE6769" w:rsidRDefault="0089468B" w:rsidP="0089468B">
      <w:pPr>
        <w:numPr>
          <w:ilvl w:val="0"/>
          <w:numId w:val="2"/>
        </w:numPr>
        <w:shd w:val="clear" w:color="auto" w:fill="F6F6F6"/>
        <w:spacing w:before="75" w:after="75" w:line="240" w:lineRule="auto"/>
        <w:ind w:left="495"/>
        <w:rPr>
          <w:rFonts w:eastAsia="Times New Roman" w:cs="Helvetica"/>
          <w:color w:val="575757"/>
          <w:sz w:val="24"/>
          <w:szCs w:val="24"/>
        </w:rPr>
      </w:pPr>
      <w:r w:rsidRPr="00DE6769">
        <w:rPr>
          <w:rFonts w:eastAsia="Times New Roman" w:cs="Helvetica"/>
          <w:color w:val="575757"/>
          <w:sz w:val="24"/>
          <w:szCs w:val="24"/>
        </w:rPr>
        <w:t xml:space="preserve">16–20 </w:t>
      </w:r>
      <w:r w:rsidR="00DE6769">
        <w:rPr>
          <w:rFonts w:eastAsia="Times New Roman" w:cs="Helvetica"/>
          <w:color w:val="575757"/>
          <w:sz w:val="24"/>
          <w:szCs w:val="24"/>
          <w:lang w:val="bg-BG"/>
        </w:rPr>
        <w:t>март</w:t>
      </w:r>
      <w:r w:rsidRPr="00DE6769">
        <w:rPr>
          <w:rFonts w:eastAsia="Times New Roman" w:cs="Helvetica"/>
          <w:color w:val="575757"/>
          <w:sz w:val="24"/>
          <w:szCs w:val="24"/>
        </w:rPr>
        <w:t xml:space="preserve"> 2020</w:t>
      </w:r>
      <w:r w:rsidR="00DE6769">
        <w:rPr>
          <w:rFonts w:eastAsia="Times New Roman" w:cs="Helvetica"/>
          <w:color w:val="575757"/>
          <w:sz w:val="24"/>
          <w:szCs w:val="24"/>
          <w:lang w:val="bg-BG"/>
        </w:rPr>
        <w:t xml:space="preserve"> г.</w:t>
      </w:r>
    </w:p>
    <w:p w:rsidR="0089468B" w:rsidRPr="00DE6769" w:rsidRDefault="0089468B" w:rsidP="0089468B">
      <w:pPr>
        <w:numPr>
          <w:ilvl w:val="0"/>
          <w:numId w:val="2"/>
        </w:numPr>
        <w:shd w:val="clear" w:color="auto" w:fill="F6F6F6"/>
        <w:spacing w:before="75" w:after="75" w:line="240" w:lineRule="auto"/>
        <w:ind w:left="495"/>
        <w:rPr>
          <w:rFonts w:eastAsia="Times New Roman" w:cs="Helvetica"/>
          <w:color w:val="575757"/>
          <w:sz w:val="24"/>
          <w:szCs w:val="24"/>
        </w:rPr>
      </w:pPr>
      <w:r w:rsidRPr="00DE6769">
        <w:rPr>
          <w:rFonts w:eastAsia="Times New Roman" w:cs="Helvetica"/>
          <w:color w:val="575757"/>
          <w:sz w:val="24"/>
          <w:szCs w:val="24"/>
        </w:rPr>
        <w:t xml:space="preserve">20–24 </w:t>
      </w:r>
      <w:r w:rsidR="00DE6769">
        <w:rPr>
          <w:rFonts w:eastAsia="Times New Roman" w:cs="Helvetica"/>
          <w:color w:val="575757"/>
          <w:sz w:val="24"/>
          <w:szCs w:val="24"/>
          <w:lang w:val="bg-BG"/>
        </w:rPr>
        <w:t>април</w:t>
      </w:r>
      <w:r w:rsidRPr="00DE6769">
        <w:rPr>
          <w:rFonts w:eastAsia="Times New Roman" w:cs="Helvetica"/>
          <w:color w:val="575757"/>
          <w:sz w:val="24"/>
          <w:szCs w:val="24"/>
        </w:rPr>
        <w:t xml:space="preserve"> 2020</w:t>
      </w:r>
      <w:r w:rsidR="00DE6769">
        <w:rPr>
          <w:rFonts w:eastAsia="Times New Roman" w:cs="Helvetica"/>
          <w:color w:val="575757"/>
          <w:sz w:val="24"/>
          <w:szCs w:val="24"/>
          <w:lang w:val="bg-BG"/>
        </w:rPr>
        <w:t xml:space="preserve"> г.</w:t>
      </w:r>
    </w:p>
    <w:p w:rsidR="0089468B" w:rsidRPr="00DE6769" w:rsidRDefault="00A04024" w:rsidP="0089468B">
      <w:pPr>
        <w:shd w:val="clear" w:color="auto" w:fill="FFFFFF"/>
        <w:spacing w:before="450" w:after="300" w:line="240" w:lineRule="auto"/>
        <w:outlineLvl w:val="1"/>
        <w:rPr>
          <w:rFonts w:eastAsia="Times New Roman" w:cs="Helvetica"/>
          <w:b/>
          <w:bCs/>
          <w:color w:val="333333"/>
          <w:sz w:val="34"/>
          <w:szCs w:val="34"/>
        </w:rPr>
      </w:pPr>
      <w:bookmarkStart w:id="0" w:name="1"/>
      <w:r>
        <w:rPr>
          <w:rFonts w:eastAsia="Times New Roman" w:cs="Helvetica"/>
          <w:b/>
          <w:bCs/>
          <w:color w:val="CD3333"/>
          <w:sz w:val="34"/>
          <w:szCs w:val="34"/>
          <w:lang w:val="bg-BG"/>
        </w:rPr>
        <w:t>Дъщерни предприятия, които са МСП</w:t>
      </w:r>
      <w:r w:rsidR="0089468B" w:rsidRPr="00DE6769">
        <w:rPr>
          <w:rFonts w:eastAsia="Times New Roman" w:cs="Helvetica"/>
          <w:b/>
          <w:bCs/>
          <w:color w:val="CD3333"/>
          <w:sz w:val="34"/>
          <w:szCs w:val="34"/>
        </w:rPr>
        <w:t xml:space="preserve"> (</w:t>
      </w:r>
      <w:r w:rsidR="00DE6769">
        <w:rPr>
          <w:rFonts w:eastAsia="Times New Roman" w:cs="Helvetica"/>
          <w:b/>
          <w:bCs/>
          <w:color w:val="CD3333"/>
          <w:sz w:val="34"/>
          <w:szCs w:val="34"/>
        </w:rPr>
        <w:t>Документ по програмата</w:t>
      </w:r>
      <w:r w:rsidR="0089468B" w:rsidRPr="00DE6769">
        <w:rPr>
          <w:rFonts w:eastAsia="Times New Roman" w:cs="Helvetica"/>
          <w:b/>
          <w:bCs/>
          <w:color w:val="CD3333"/>
          <w:sz w:val="34"/>
          <w:szCs w:val="34"/>
        </w:rPr>
        <w:t xml:space="preserve"> 31)</w:t>
      </w:r>
      <w:bookmarkEnd w:id="0"/>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28 януари 2020 г.</w:t>
      </w:r>
      <w:r w:rsidR="0089468B" w:rsidRPr="00DE6769">
        <w:rPr>
          <w:rFonts w:eastAsia="Times New Roman" w:cs="Helvetica"/>
          <w:color w:val="575757"/>
          <w:sz w:val="24"/>
          <w:szCs w:val="24"/>
        </w:rPr>
        <w:t xml:space="preserve"> </w:t>
      </w:r>
      <w:r w:rsidRPr="007268F9">
        <w:rPr>
          <w:rFonts w:ascii="Calibri" w:eastAsia="Times New Roman" w:hAnsi="Calibri" w:cs="Helvetica"/>
          <w:color w:val="575757"/>
          <w:sz w:val="24"/>
          <w:szCs w:val="24"/>
          <w:lang w:val="bg-BG"/>
        </w:rPr>
        <w:t>Съветът проведе заседание, за да обсъди</w:t>
      </w:r>
      <w:r w:rsidRPr="007268F9">
        <w:rPr>
          <w:rFonts w:eastAsia="Times New Roman" w:cs="Helvetica"/>
          <w:color w:val="575757"/>
          <w:sz w:val="24"/>
          <w:szCs w:val="24"/>
          <w:lang w:val="bg-BG"/>
        </w:rPr>
        <w:t xml:space="preserve"> </w:t>
      </w:r>
      <w:r w:rsidR="00A04024">
        <w:rPr>
          <w:rFonts w:eastAsia="Times New Roman" w:cs="Helvetica"/>
          <w:color w:val="575757"/>
          <w:sz w:val="24"/>
          <w:szCs w:val="24"/>
          <w:lang w:val="bg-BG"/>
        </w:rPr>
        <w:t>дали да премести проекта относно дъщерните предприятия, които са МСП,</w:t>
      </w:r>
      <w:r w:rsidR="0089468B" w:rsidRPr="00DE6769">
        <w:rPr>
          <w:rFonts w:eastAsia="Times New Roman" w:cs="Helvetica"/>
          <w:color w:val="575757"/>
          <w:sz w:val="24"/>
          <w:szCs w:val="24"/>
        </w:rPr>
        <w:t xml:space="preserve"> </w:t>
      </w:r>
      <w:r w:rsidR="00A04024">
        <w:rPr>
          <w:rFonts w:eastAsia="Times New Roman" w:cs="Helvetica"/>
          <w:color w:val="575757"/>
          <w:sz w:val="24"/>
          <w:szCs w:val="24"/>
          <w:lang w:val="bg-BG"/>
        </w:rPr>
        <w:t>от изследователската програма в програмата за изготвяне и въвеждане на стандарти</w:t>
      </w:r>
      <w:r w:rsidR="0089468B" w:rsidRPr="00DE6769">
        <w:rPr>
          <w:rFonts w:eastAsia="Times New Roman" w:cs="Helvetica"/>
          <w:color w:val="575757"/>
          <w:sz w:val="24"/>
          <w:szCs w:val="24"/>
        </w:rPr>
        <w:t xml:space="preserve">; </w:t>
      </w:r>
      <w:r w:rsidR="00A04024">
        <w:rPr>
          <w:rFonts w:eastAsia="Times New Roman" w:cs="Helvetica"/>
          <w:color w:val="575757"/>
          <w:sz w:val="24"/>
          <w:szCs w:val="24"/>
          <w:lang w:val="bg-BG"/>
        </w:rPr>
        <w:t>и ако да, то</w:t>
      </w:r>
      <w:r w:rsidR="0089468B" w:rsidRPr="00DE6769">
        <w:rPr>
          <w:rFonts w:eastAsia="Times New Roman" w:cs="Helvetica"/>
          <w:color w:val="575757"/>
          <w:sz w:val="24"/>
          <w:szCs w:val="24"/>
        </w:rPr>
        <w:t>:</w:t>
      </w:r>
    </w:p>
    <w:p w:rsidR="0089468B" w:rsidRPr="00DE6769" w:rsidRDefault="00A04024" w:rsidP="0089468B">
      <w:pPr>
        <w:numPr>
          <w:ilvl w:val="0"/>
          <w:numId w:val="3"/>
        </w:numPr>
        <w:shd w:val="clear" w:color="auto" w:fill="FFFFFF"/>
        <w:spacing w:before="75" w:after="75" w:line="240" w:lineRule="auto"/>
        <w:ind w:left="495"/>
        <w:rPr>
          <w:rFonts w:eastAsia="Times New Roman" w:cs="Helvetica"/>
          <w:color w:val="575757"/>
          <w:sz w:val="24"/>
          <w:szCs w:val="24"/>
        </w:rPr>
      </w:pPr>
      <w:proofErr w:type="gramStart"/>
      <w:r>
        <w:rPr>
          <w:rFonts w:eastAsia="Times New Roman" w:cs="Helvetica"/>
          <w:color w:val="575757"/>
          <w:sz w:val="24"/>
          <w:szCs w:val="24"/>
          <w:lang w:val="bg-BG"/>
        </w:rPr>
        <w:t>по</w:t>
      </w:r>
      <w:proofErr w:type="gramEnd"/>
      <w:r>
        <w:rPr>
          <w:rFonts w:eastAsia="Times New Roman" w:cs="Helvetica"/>
          <w:color w:val="575757"/>
          <w:sz w:val="24"/>
          <w:szCs w:val="24"/>
          <w:lang w:val="bg-BG"/>
        </w:rPr>
        <w:t xml:space="preserve"> кой от трите алтернативни начина проектът следва </w:t>
      </w:r>
      <w:r w:rsidR="0072166F">
        <w:rPr>
          <w:rFonts w:eastAsia="Times New Roman" w:cs="Helvetica"/>
          <w:color w:val="575757"/>
          <w:sz w:val="24"/>
          <w:szCs w:val="24"/>
          <w:lang w:val="bg-BG"/>
        </w:rPr>
        <w:t>да продължи да бъде разработван</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A04024" w:rsidP="0089468B">
      <w:pPr>
        <w:numPr>
          <w:ilvl w:val="0"/>
          <w:numId w:val="3"/>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дали да бъде създадена консултативна група във връзка с този проект</w:t>
      </w:r>
      <w:r w:rsidR="0089468B" w:rsidRPr="00DE6769">
        <w:rPr>
          <w:rFonts w:eastAsia="Times New Roman" w:cs="Helvetica"/>
          <w:color w:val="575757"/>
          <w:sz w:val="24"/>
          <w:szCs w:val="24"/>
        </w:rPr>
        <w:t>.</w:t>
      </w:r>
    </w:p>
    <w:p w:rsidR="0089468B" w:rsidRPr="00DE6769" w:rsidRDefault="00A04024"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 xml:space="preserve">Всички присъстващи членове на Съвета потвърдиха, че са се уверили, че Съветът разполага с достатъчна информация, за да вземе решение дали да премести проекта в </w:t>
      </w:r>
      <w:r w:rsidRPr="00A04024">
        <w:rPr>
          <w:rFonts w:eastAsia="Times New Roman" w:cs="Helvetica"/>
          <w:color w:val="575757"/>
          <w:sz w:val="24"/>
          <w:szCs w:val="24"/>
          <w:lang w:val="bg-BG"/>
        </w:rPr>
        <w:t>програмата за изготвяне и въвеждане на стандарти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Двама от членовете на Съвета отсъстваха</w:t>
      </w:r>
      <w:r w:rsidR="0089468B" w:rsidRPr="00DE6769">
        <w:rPr>
          <w:rFonts w:eastAsia="Times New Roman" w:cs="Helvetica"/>
          <w:color w:val="575757"/>
          <w:sz w:val="24"/>
          <w:szCs w:val="24"/>
        </w:rPr>
        <w:t>.</w:t>
      </w:r>
    </w:p>
    <w:p w:rsidR="0089468B" w:rsidRPr="00DE6769" w:rsidRDefault="00A04024"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В тази връзка Съветът реши да премести проекта</w:t>
      </w:r>
      <w:r w:rsidR="0089468B" w:rsidRPr="00DE6769">
        <w:rPr>
          <w:rFonts w:eastAsia="Times New Roman" w:cs="Helvetica"/>
          <w:color w:val="575757"/>
          <w:sz w:val="24"/>
          <w:szCs w:val="24"/>
        </w:rPr>
        <w:t xml:space="preserve"> </w:t>
      </w:r>
      <w:r w:rsidRPr="00A04024">
        <w:rPr>
          <w:rFonts w:eastAsia="Times New Roman" w:cs="Helvetica"/>
          <w:color w:val="575757"/>
          <w:sz w:val="24"/>
          <w:szCs w:val="24"/>
          <w:lang w:val="bg-BG"/>
        </w:rPr>
        <w:t>от изследователската програма в програмата за изготвяне и въвеждане на стандарти</w:t>
      </w:r>
      <w:r w:rsidR="0089468B" w:rsidRPr="00DE6769">
        <w:rPr>
          <w:rFonts w:eastAsia="Times New Roman" w:cs="Helvetica"/>
          <w:color w:val="575757"/>
          <w:sz w:val="24"/>
          <w:szCs w:val="24"/>
        </w:rPr>
        <w:t xml:space="preserve">. </w:t>
      </w:r>
      <w:r w:rsidR="007B3430">
        <w:rPr>
          <w:rFonts w:eastAsia="Times New Roman" w:cs="Helvetica"/>
          <w:color w:val="575757"/>
          <w:sz w:val="24"/>
          <w:szCs w:val="24"/>
        </w:rPr>
        <w:t>Дванадесет от четиринадесетте членове на Съвета изразиха съгласие с това решение</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Двама от членовете отсъстваха</w:t>
      </w:r>
      <w:r w:rsidR="0089468B" w:rsidRPr="00DE6769">
        <w:rPr>
          <w:rFonts w:eastAsia="Times New Roman" w:cs="Helvetica"/>
          <w:color w:val="575757"/>
          <w:sz w:val="24"/>
          <w:szCs w:val="24"/>
        </w:rPr>
        <w:t>.</w:t>
      </w:r>
    </w:p>
    <w:p w:rsidR="0089468B" w:rsidRPr="00DE6769" w:rsidRDefault="00A04024"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обсъди три алтернативи във връзка с проекта</w:t>
      </w:r>
      <w:r w:rsidR="0089468B" w:rsidRPr="00DE6769">
        <w:rPr>
          <w:rFonts w:eastAsia="Times New Roman" w:cs="Helvetica"/>
          <w:color w:val="575757"/>
          <w:sz w:val="24"/>
          <w:szCs w:val="24"/>
        </w:rPr>
        <w:t>:</w:t>
      </w:r>
    </w:p>
    <w:p w:rsidR="0089468B" w:rsidRPr="00DE6769" w:rsidRDefault="00A04024" w:rsidP="0089468B">
      <w:pPr>
        <w:numPr>
          <w:ilvl w:val="0"/>
          <w:numId w:val="4"/>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отложи всякаква по-нататъшна работа до приключването на втория всеобхватен преглед на</w:t>
      </w:r>
      <w:r w:rsidR="0089468B" w:rsidRPr="00DE6769">
        <w:rPr>
          <w:rFonts w:eastAsia="Times New Roman" w:cs="Helvetica"/>
          <w:color w:val="575757"/>
          <w:sz w:val="24"/>
          <w:szCs w:val="24"/>
        </w:rPr>
        <w:t xml:space="preserve"> </w:t>
      </w:r>
      <w:r w:rsidR="00DE6769">
        <w:rPr>
          <w:rFonts w:eastAsia="Times New Roman" w:cs="Helvetica"/>
          <w:color w:val="575757"/>
          <w:sz w:val="24"/>
          <w:szCs w:val="24"/>
          <w:lang w:val="bg-BG"/>
        </w:rPr>
        <w:t xml:space="preserve">стандарта </w:t>
      </w:r>
      <w:r w:rsidR="00DE6769">
        <w:rPr>
          <w:rFonts w:eastAsia="Times New Roman" w:cs="Helvetica"/>
          <w:i/>
          <w:iCs/>
          <w:color w:val="575757"/>
          <w:sz w:val="24"/>
          <w:szCs w:val="24"/>
          <w:lang w:val="bg-BG"/>
        </w:rPr>
        <w:t>МСФО за МСП</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 издаването от Съвета на съответните изменения в стандарта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Опция</w:t>
      </w:r>
      <w:r w:rsidR="0089468B" w:rsidRPr="00DE6769">
        <w:rPr>
          <w:rFonts w:eastAsia="Times New Roman" w:cs="Helvetica"/>
          <w:color w:val="575757"/>
          <w:sz w:val="24"/>
          <w:szCs w:val="24"/>
        </w:rPr>
        <w:t xml:space="preserve"> X);</w:t>
      </w:r>
    </w:p>
    <w:p w:rsidR="0089468B" w:rsidRPr="00DE6769" w:rsidRDefault="00A04024" w:rsidP="0089468B">
      <w:pPr>
        <w:numPr>
          <w:ilvl w:val="0"/>
          <w:numId w:val="4"/>
        </w:numPr>
        <w:shd w:val="clear" w:color="auto" w:fill="FFFFFF"/>
        <w:spacing w:before="75" w:after="75" w:line="240" w:lineRule="auto"/>
        <w:ind w:left="495"/>
        <w:rPr>
          <w:rFonts w:eastAsia="Times New Roman" w:cs="Helvetica"/>
          <w:color w:val="575757"/>
          <w:sz w:val="24"/>
          <w:szCs w:val="24"/>
        </w:rPr>
      </w:pPr>
      <w:r w:rsidRPr="00A04024">
        <w:rPr>
          <w:rFonts w:eastAsia="Times New Roman" w:cs="Helvetica"/>
          <w:color w:val="575757"/>
          <w:sz w:val="24"/>
          <w:szCs w:val="24"/>
          <w:lang w:val="bg-BG"/>
        </w:rPr>
        <w:t xml:space="preserve">да отложи всякаква по-нататъшна работа </w:t>
      </w:r>
      <w:r>
        <w:rPr>
          <w:rFonts w:eastAsia="Times New Roman" w:cs="Helvetica"/>
          <w:color w:val="575757"/>
          <w:sz w:val="24"/>
          <w:szCs w:val="24"/>
          <w:lang w:val="bg-BG"/>
        </w:rPr>
        <w:t>до издаването от страна на Австралийския съвет по счетоводни стандарти на стандарта за опростени оповестявания и публикуването на проект за обсъждане на базата на този стандарт</w:t>
      </w:r>
      <w:r w:rsidR="0089468B" w:rsidRPr="00DE6769">
        <w:rPr>
          <w:rFonts w:eastAsia="Times New Roman" w:cs="Helvetica"/>
          <w:color w:val="575757"/>
          <w:sz w:val="24"/>
          <w:szCs w:val="24"/>
        </w:rPr>
        <w:t xml:space="preserve"> (</w:t>
      </w:r>
      <w:r w:rsidRPr="00A04024">
        <w:rPr>
          <w:rFonts w:eastAsia="Times New Roman" w:cs="Helvetica"/>
          <w:color w:val="575757"/>
          <w:sz w:val="24"/>
          <w:szCs w:val="24"/>
          <w:lang w:val="bg-BG"/>
        </w:rPr>
        <w:t>Опция</w:t>
      </w:r>
      <w:r w:rsidRPr="00A04024">
        <w:rPr>
          <w:rFonts w:eastAsia="Times New Roman" w:cs="Helvetica"/>
          <w:color w:val="575757"/>
          <w:sz w:val="24"/>
          <w:szCs w:val="24"/>
        </w:rPr>
        <w:t xml:space="preserve"> </w:t>
      </w:r>
      <w:r w:rsidR="0089468B" w:rsidRPr="00DE6769">
        <w:rPr>
          <w:rFonts w:eastAsia="Times New Roman" w:cs="Helvetica"/>
          <w:color w:val="575757"/>
          <w:sz w:val="24"/>
          <w:szCs w:val="24"/>
        </w:rPr>
        <w:t xml:space="preserve">Y); </w:t>
      </w:r>
      <w:r>
        <w:rPr>
          <w:rFonts w:eastAsia="Times New Roman" w:cs="Helvetica"/>
          <w:color w:val="575757"/>
          <w:sz w:val="24"/>
          <w:szCs w:val="24"/>
          <w:lang w:val="bg-BG"/>
        </w:rPr>
        <w:t>или</w:t>
      </w:r>
    </w:p>
    <w:p w:rsidR="0089468B" w:rsidRPr="00DE6769" w:rsidRDefault="007E6F0E" w:rsidP="0089468B">
      <w:pPr>
        <w:numPr>
          <w:ilvl w:val="0"/>
          <w:numId w:val="4"/>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 xml:space="preserve">да продължи да идентифицира необходимото приспособяване, като анализира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 xml:space="preserve">стандартите и съответните раздели в стандарта </w:t>
      </w:r>
      <w:r w:rsidR="00DE6769">
        <w:rPr>
          <w:rFonts w:eastAsia="Times New Roman" w:cs="Helvetica"/>
          <w:i/>
          <w:iCs/>
          <w:color w:val="575757"/>
          <w:sz w:val="24"/>
          <w:szCs w:val="24"/>
        </w:rPr>
        <w:t>МСФО</w:t>
      </w:r>
      <w:r w:rsidR="0089468B" w:rsidRPr="00DE6769">
        <w:rPr>
          <w:rFonts w:eastAsia="Times New Roman" w:cs="Helvetica"/>
          <w:i/>
          <w:iCs/>
          <w:color w:val="575757"/>
          <w:sz w:val="24"/>
          <w:szCs w:val="24"/>
        </w:rPr>
        <w:t xml:space="preserve"> </w:t>
      </w:r>
      <w:r>
        <w:rPr>
          <w:rFonts w:eastAsia="Times New Roman" w:cs="Helvetica"/>
          <w:i/>
          <w:iCs/>
          <w:color w:val="575757"/>
          <w:sz w:val="24"/>
          <w:szCs w:val="24"/>
          <w:lang w:val="bg-BG"/>
        </w:rPr>
        <w:t>за МСП</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 разработи във възможно най-кратки срокове консултативен документ</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проект за обсъждане или документ за обсъждане</w:t>
      </w:r>
      <w:r w:rsidR="0089468B" w:rsidRPr="00DE6769">
        <w:rPr>
          <w:rFonts w:eastAsia="Times New Roman" w:cs="Helvetica"/>
          <w:color w:val="575757"/>
          <w:sz w:val="24"/>
          <w:szCs w:val="24"/>
        </w:rPr>
        <w:t>—</w:t>
      </w:r>
      <w:r>
        <w:rPr>
          <w:rFonts w:eastAsia="Times New Roman" w:cs="Helvetica"/>
          <w:color w:val="575757"/>
          <w:sz w:val="24"/>
          <w:szCs w:val="24"/>
          <w:lang w:val="bg-BG"/>
        </w:rPr>
        <w:t>решение за което ще бъде взето на следващо заседание</w:t>
      </w:r>
      <w:r w:rsidR="0089468B" w:rsidRPr="00DE6769">
        <w:rPr>
          <w:rFonts w:eastAsia="Times New Roman" w:cs="Helvetica"/>
          <w:color w:val="575757"/>
          <w:sz w:val="24"/>
          <w:szCs w:val="24"/>
        </w:rPr>
        <w:t>) (</w:t>
      </w:r>
      <w:r w:rsidR="00A04024" w:rsidRPr="00A04024">
        <w:rPr>
          <w:rFonts w:eastAsia="Times New Roman" w:cs="Helvetica"/>
          <w:color w:val="575757"/>
          <w:sz w:val="24"/>
          <w:szCs w:val="24"/>
          <w:lang w:val="bg-BG"/>
        </w:rPr>
        <w:t>Опция</w:t>
      </w:r>
      <w:r w:rsidR="00A04024" w:rsidRPr="00A04024">
        <w:rPr>
          <w:rFonts w:eastAsia="Times New Roman" w:cs="Helvetica"/>
          <w:color w:val="575757"/>
          <w:sz w:val="24"/>
          <w:szCs w:val="24"/>
        </w:rPr>
        <w:t xml:space="preserve"> </w:t>
      </w:r>
      <w:r w:rsidR="0089468B" w:rsidRPr="00DE6769">
        <w:rPr>
          <w:rFonts w:eastAsia="Times New Roman" w:cs="Helvetica"/>
          <w:color w:val="575757"/>
          <w:sz w:val="24"/>
          <w:szCs w:val="24"/>
        </w:rPr>
        <w:t>Z).</w:t>
      </w:r>
    </w:p>
    <w:p w:rsidR="0089468B" w:rsidRPr="00DE6769" w:rsidRDefault="007E6F0E"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lastRenderedPageBreak/>
        <w:t>Съветът реши, че проектът следва да се придържа към Опция</w:t>
      </w:r>
      <w:r w:rsidR="0089468B" w:rsidRPr="00DE6769">
        <w:rPr>
          <w:rFonts w:eastAsia="Times New Roman" w:cs="Helvetica"/>
          <w:color w:val="575757"/>
          <w:sz w:val="24"/>
          <w:szCs w:val="24"/>
        </w:rPr>
        <w:t xml:space="preserve"> Z. </w:t>
      </w:r>
      <w:r w:rsidR="007B3430">
        <w:rPr>
          <w:rFonts w:eastAsia="Times New Roman" w:cs="Helvetica"/>
          <w:color w:val="575757"/>
          <w:sz w:val="24"/>
          <w:szCs w:val="24"/>
          <w:lang w:val="bg-BG"/>
        </w:rPr>
        <w:t>Десет</w:t>
      </w:r>
      <w:r w:rsidR="007B3430">
        <w:rPr>
          <w:rFonts w:eastAsia="Times New Roman" w:cs="Helvetica"/>
          <w:color w:val="575757"/>
          <w:sz w:val="24"/>
          <w:szCs w:val="24"/>
        </w:rPr>
        <w:t xml:space="preserve"> от четиринадесетте членове на Съвета изразиха съгласие</w:t>
      </w:r>
      <w:r w:rsidR="007B3430">
        <w:rPr>
          <w:rFonts w:eastAsia="Times New Roman" w:cs="Helvetica"/>
          <w:color w:val="575757"/>
          <w:sz w:val="24"/>
          <w:szCs w:val="24"/>
          <w:lang w:val="bg-BG"/>
        </w:rPr>
        <w:t>, а двама - несъгласие</w:t>
      </w:r>
      <w:r w:rsidR="007B3430">
        <w:rPr>
          <w:rFonts w:eastAsia="Times New Roman" w:cs="Helvetica"/>
          <w:color w:val="575757"/>
          <w:sz w:val="24"/>
          <w:szCs w:val="24"/>
        </w:rPr>
        <w:t xml:space="preserve"> с това решение</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 xml:space="preserve">Двама от членовете </w:t>
      </w:r>
      <w:r>
        <w:rPr>
          <w:rFonts w:eastAsia="Times New Roman" w:cs="Helvetica"/>
          <w:color w:val="575757"/>
          <w:sz w:val="24"/>
          <w:szCs w:val="24"/>
          <w:lang w:val="bg-BG"/>
        </w:rPr>
        <w:t xml:space="preserve">на Съвета </w:t>
      </w:r>
      <w:r w:rsidR="007B3430">
        <w:rPr>
          <w:rFonts w:eastAsia="Times New Roman" w:cs="Helvetica"/>
          <w:color w:val="575757"/>
          <w:sz w:val="24"/>
          <w:szCs w:val="24"/>
          <w:lang w:val="bg-BG"/>
        </w:rPr>
        <w:t>отсъстваха</w:t>
      </w:r>
      <w:r w:rsidR="0089468B" w:rsidRPr="00DE6769">
        <w:rPr>
          <w:rFonts w:eastAsia="Times New Roman" w:cs="Helvetica"/>
          <w:color w:val="575757"/>
          <w:sz w:val="24"/>
          <w:szCs w:val="24"/>
        </w:rPr>
        <w:t>.</w:t>
      </w:r>
    </w:p>
    <w:p w:rsidR="0089468B" w:rsidRPr="00DE6769" w:rsidRDefault="007E6F0E"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реши да не учредява консултативна група във връзка с проекта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считайки за по-целесъобразно да се допита до заемодатели, които обикновено отпускат кредити на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предприятия, които не са публично отчитащи се,</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 съставители на финансови отчети на дъщерни предприятия</w:t>
      </w:r>
      <w:r w:rsidR="0089468B" w:rsidRPr="00DE6769">
        <w:rPr>
          <w:rFonts w:eastAsia="Times New Roman" w:cs="Helvetica"/>
          <w:color w:val="575757"/>
          <w:sz w:val="24"/>
          <w:szCs w:val="24"/>
        </w:rPr>
        <w:t xml:space="preserve">. </w:t>
      </w:r>
      <w:r w:rsidR="007B3430">
        <w:rPr>
          <w:rFonts w:eastAsia="Times New Roman" w:cs="Helvetica"/>
          <w:color w:val="575757"/>
          <w:sz w:val="24"/>
          <w:szCs w:val="24"/>
        </w:rPr>
        <w:t>Дванадесет от четиринадесетте членове на Съвета изразиха съгласие с това решение</w:t>
      </w:r>
      <w:r w:rsidR="0089468B" w:rsidRPr="00DE6769">
        <w:rPr>
          <w:rFonts w:eastAsia="Times New Roman" w:cs="Helvetica"/>
          <w:color w:val="575757"/>
          <w:sz w:val="24"/>
          <w:szCs w:val="24"/>
        </w:rPr>
        <w:t xml:space="preserve">. </w:t>
      </w:r>
      <w:r w:rsidRPr="007E6F0E">
        <w:rPr>
          <w:rFonts w:eastAsia="Times New Roman" w:cs="Helvetica"/>
          <w:color w:val="575757"/>
          <w:sz w:val="24"/>
          <w:szCs w:val="24"/>
          <w:lang w:val="bg-BG"/>
        </w:rPr>
        <w:t xml:space="preserve">Двама от членовете </w:t>
      </w:r>
      <w:r>
        <w:rPr>
          <w:rFonts w:eastAsia="Times New Roman" w:cs="Helvetica"/>
          <w:color w:val="575757"/>
          <w:sz w:val="24"/>
          <w:szCs w:val="24"/>
          <w:lang w:val="bg-BG"/>
        </w:rPr>
        <w:t xml:space="preserve">на Съвета </w:t>
      </w:r>
      <w:r w:rsidRPr="007E6F0E">
        <w:rPr>
          <w:rFonts w:eastAsia="Times New Roman" w:cs="Helvetica"/>
          <w:color w:val="575757"/>
          <w:sz w:val="24"/>
          <w:szCs w:val="24"/>
          <w:lang w:val="bg-BG"/>
        </w:rPr>
        <w:t>отсъстваха</w:t>
      </w:r>
      <w:r w:rsidR="0089468B" w:rsidRPr="00DE6769">
        <w:rPr>
          <w:rFonts w:eastAsia="Times New Roman" w:cs="Helvetica"/>
          <w:color w:val="575757"/>
          <w:sz w:val="24"/>
          <w:szCs w:val="24"/>
        </w:rPr>
        <w:t>.</w:t>
      </w:r>
    </w:p>
    <w:p w:rsidR="0089468B" w:rsidRPr="00DE6769" w:rsidRDefault="00DE6769"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rPr>
        <w:t>Следващи етапи</w:t>
      </w:r>
    </w:p>
    <w:p w:rsidR="0089468B" w:rsidRPr="00DE6769" w:rsidRDefault="007E6F0E"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ще обсъжда темите</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включително обхвата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в хода на тяхното възникване в течение на проекта</w:t>
      </w:r>
      <w:r w:rsidR="0089468B" w:rsidRPr="00DE6769">
        <w:rPr>
          <w:rFonts w:eastAsia="Times New Roman" w:cs="Helvetica"/>
          <w:color w:val="575757"/>
          <w:sz w:val="24"/>
          <w:szCs w:val="24"/>
        </w:rPr>
        <w:t>.</w:t>
      </w:r>
    </w:p>
    <w:p w:rsidR="0089468B" w:rsidRPr="00DE6769" w:rsidRDefault="0089468B" w:rsidP="0089468B">
      <w:pPr>
        <w:shd w:val="clear" w:color="auto" w:fill="FFFFFF"/>
        <w:spacing w:after="300" w:line="240" w:lineRule="auto"/>
        <w:rPr>
          <w:rFonts w:eastAsia="Times New Roman" w:cs="Helvetica"/>
          <w:color w:val="575757"/>
          <w:sz w:val="24"/>
          <w:szCs w:val="24"/>
        </w:rPr>
      </w:pPr>
      <w:r w:rsidRPr="00DE6769">
        <w:rPr>
          <w:rFonts w:eastAsia="Times New Roman" w:cs="Helvetica"/>
          <w:color w:val="575757"/>
          <w:sz w:val="24"/>
          <w:szCs w:val="24"/>
        </w:rPr>
        <w:t> </w:t>
      </w:r>
    </w:p>
    <w:p w:rsidR="0089468B" w:rsidRPr="00DE6769" w:rsidRDefault="007E6F0E" w:rsidP="0089468B">
      <w:pPr>
        <w:shd w:val="clear" w:color="auto" w:fill="FFFFFF"/>
        <w:spacing w:before="450" w:after="300" w:line="240" w:lineRule="auto"/>
        <w:outlineLvl w:val="1"/>
        <w:rPr>
          <w:rFonts w:eastAsia="Times New Roman" w:cs="Helvetica"/>
          <w:b/>
          <w:bCs/>
          <w:color w:val="333333"/>
          <w:sz w:val="34"/>
          <w:szCs w:val="34"/>
        </w:rPr>
      </w:pPr>
      <w:bookmarkStart w:id="1" w:name="2"/>
      <w:r>
        <w:rPr>
          <w:rFonts w:eastAsia="Times New Roman" w:cs="Helvetica"/>
          <w:b/>
          <w:bCs/>
          <w:color w:val="CD3333"/>
          <w:sz w:val="34"/>
          <w:szCs w:val="34"/>
          <w:lang w:val="bg-BG"/>
        </w:rPr>
        <w:t>Бизнес комбинации под общ контрол</w:t>
      </w:r>
      <w:r w:rsidR="0089468B" w:rsidRPr="00DE6769">
        <w:rPr>
          <w:rFonts w:eastAsia="Times New Roman" w:cs="Helvetica"/>
          <w:b/>
          <w:bCs/>
          <w:color w:val="CD3333"/>
          <w:sz w:val="34"/>
          <w:szCs w:val="34"/>
        </w:rPr>
        <w:t xml:space="preserve"> (</w:t>
      </w:r>
      <w:r w:rsidR="00DE6769">
        <w:rPr>
          <w:rFonts w:eastAsia="Times New Roman" w:cs="Helvetica"/>
          <w:b/>
          <w:bCs/>
          <w:color w:val="CD3333"/>
          <w:sz w:val="34"/>
          <w:szCs w:val="34"/>
          <w:lang w:val="bg-BG"/>
        </w:rPr>
        <w:t>Документи</w:t>
      </w:r>
      <w:r w:rsidR="00DE6769">
        <w:rPr>
          <w:rFonts w:eastAsia="Times New Roman" w:cs="Helvetica"/>
          <w:b/>
          <w:bCs/>
          <w:color w:val="CD3333"/>
          <w:sz w:val="34"/>
          <w:szCs w:val="34"/>
        </w:rPr>
        <w:t xml:space="preserve"> по програмата</w:t>
      </w:r>
      <w:r w:rsidR="0089468B" w:rsidRPr="00DE6769">
        <w:rPr>
          <w:rFonts w:eastAsia="Times New Roman" w:cs="Helvetica"/>
          <w:b/>
          <w:bCs/>
          <w:color w:val="CD3333"/>
          <w:sz w:val="34"/>
          <w:szCs w:val="34"/>
        </w:rPr>
        <w:t xml:space="preserve"> 23A </w:t>
      </w:r>
      <w:r>
        <w:rPr>
          <w:rFonts w:eastAsia="Times New Roman" w:cs="Helvetica"/>
          <w:b/>
          <w:bCs/>
          <w:color w:val="CD3333"/>
          <w:sz w:val="34"/>
          <w:szCs w:val="34"/>
          <w:lang w:val="bg-BG"/>
        </w:rPr>
        <w:t>и</w:t>
      </w:r>
      <w:r w:rsidR="0089468B" w:rsidRPr="00DE6769">
        <w:rPr>
          <w:rFonts w:eastAsia="Times New Roman" w:cs="Helvetica"/>
          <w:b/>
          <w:bCs/>
          <w:color w:val="CD3333"/>
          <w:sz w:val="34"/>
          <w:szCs w:val="34"/>
        </w:rPr>
        <w:t xml:space="preserve"> 23</w:t>
      </w:r>
      <w:r>
        <w:rPr>
          <w:rFonts w:eastAsia="Times New Roman" w:cs="Helvetica"/>
          <w:b/>
          <w:bCs/>
          <w:color w:val="CD3333"/>
          <w:sz w:val="34"/>
          <w:szCs w:val="34"/>
          <w:lang w:val="bg-BG"/>
        </w:rPr>
        <w:t>Б</w:t>
      </w:r>
      <w:r w:rsidR="0089468B" w:rsidRPr="00DE6769">
        <w:rPr>
          <w:rFonts w:eastAsia="Times New Roman" w:cs="Helvetica"/>
          <w:b/>
          <w:bCs/>
          <w:color w:val="CD3333"/>
          <w:sz w:val="34"/>
          <w:szCs w:val="34"/>
        </w:rPr>
        <w:t>)</w:t>
      </w:r>
      <w:bookmarkEnd w:id="1"/>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29 януари 2020 г.</w:t>
      </w:r>
      <w:r w:rsidRPr="00DE6769">
        <w:rPr>
          <w:rFonts w:eastAsia="Times New Roman" w:cs="Helvetica"/>
          <w:color w:val="575757"/>
          <w:sz w:val="24"/>
          <w:szCs w:val="24"/>
        </w:rPr>
        <w:t xml:space="preserve"> </w:t>
      </w:r>
      <w:r w:rsidRPr="007268F9">
        <w:rPr>
          <w:rFonts w:ascii="Calibri" w:eastAsia="Times New Roman" w:hAnsi="Calibri" w:cs="Helvetica"/>
          <w:color w:val="575757"/>
          <w:sz w:val="24"/>
          <w:szCs w:val="24"/>
          <w:lang w:val="bg-BG"/>
        </w:rPr>
        <w:t>Съветът проведе заседание, за да обсъди</w:t>
      </w:r>
      <w:r w:rsidRPr="007268F9">
        <w:rPr>
          <w:rFonts w:eastAsia="Times New Roman" w:cs="Helvetica"/>
          <w:color w:val="575757"/>
          <w:sz w:val="24"/>
          <w:szCs w:val="24"/>
          <w:lang w:val="bg-BG"/>
        </w:rPr>
        <w:t xml:space="preserve"> </w:t>
      </w:r>
      <w:r w:rsidR="007E6F0E">
        <w:rPr>
          <w:rFonts w:eastAsia="Times New Roman" w:cs="Helvetica"/>
          <w:color w:val="575757"/>
          <w:sz w:val="24"/>
          <w:szCs w:val="24"/>
          <w:lang w:val="bg-BG"/>
        </w:rPr>
        <w:t>изследователския си проект, посветен на бизнес комбинациите под общ контрол</w:t>
      </w:r>
      <w:r w:rsidR="0089468B" w:rsidRPr="00DE6769">
        <w:rPr>
          <w:rFonts w:eastAsia="Times New Roman" w:cs="Helvetica"/>
          <w:color w:val="575757"/>
          <w:sz w:val="24"/>
          <w:szCs w:val="24"/>
        </w:rPr>
        <w:t>.</w:t>
      </w:r>
    </w:p>
    <w:p w:rsidR="0089468B" w:rsidRPr="00DE6769" w:rsidRDefault="00F4241E"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lang w:val="bg-BG"/>
        </w:rPr>
        <w:t xml:space="preserve">Актуална информация </w:t>
      </w:r>
      <w:proofErr w:type="gramStart"/>
      <w:r>
        <w:rPr>
          <w:rFonts w:eastAsia="Times New Roman" w:cs="Helvetica"/>
          <w:b/>
          <w:bCs/>
          <w:i/>
          <w:iCs/>
          <w:color w:val="333333"/>
          <w:sz w:val="27"/>
          <w:szCs w:val="27"/>
          <w:lang w:val="bg-BG"/>
        </w:rPr>
        <w:t>относно</w:t>
      </w:r>
      <w:proofErr w:type="gramEnd"/>
      <w:r>
        <w:rPr>
          <w:rFonts w:eastAsia="Times New Roman" w:cs="Helvetica"/>
          <w:b/>
          <w:bCs/>
          <w:i/>
          <w:iCs/>
          <w:color w:val="333333"/>
          <w:sz w:val="27"/>
          <w:szCs w:val="27"/>
          <w:lang w:val="bg-BG"/>
        </w:rPr>
        <w:t xml:space="preserve"> това кога би се прилагал всеки</w:t>
      </w:r>
      <w:r w:rsidR="0072166F">
        <w:rPr>
          <w:rFonts w:eastAsia="Times New Roman" w:cs="Helvetica"/>
          <w:b/>
          <w:bCs/>
          <w:i/>
          <w:iCs/>
          <w:color w:val="333333"/>
          <w:sz w:val="27"/>
          <w:szCs w:val="27"/>
          <w:lang w:val="bg-BG"/>
        </w:rPr>
        <w:t xml:space="preserve"> един</w:t>
      </w:r>
      <w:r>
        <w:rPr>
          <w:rFonts w:eastAsia="Times New Roman" w:cs="Helvetica"/>
          <w:b/>
          <w:bCs/>
          <w:i/>
          <w:iCs/>
          <w:color w:val="333333"/>
          <w:sz w:val="27"/>
          <w:szCs w:val="27"/>
          <w:lang w:val="bg-BG"/>
        </w:rPr>
        <w:t xml:space="preserve"> подход за оценяване </w:t>
      </w:r>
      <w:r w:rsidR="0089468B" w:rsidRPr="00DE6769">
        <w:rPr>
          <w:rFonts w:eastAsia="Times New Roman" w:cs="Helvetica"/>
          <w:b/>
          <w:bCs/>
          <w:color w:val="333333"/>
          <w:sz w:val="24"/>
          <w:szCs w:val="24"/>
        </w:rPr>
        <w:t>(</w:t>
      </w:r>
      <w:r w:rsidR="00DE6769">
        <w:rPr>
          <w:rFonts w:eastAsia="Times New Roman" w:cs="Helvetica"/>
          <w:b/>
          <w:bCs/>
          <w:color w:val="333333"/>
          <w:sz w:val="24"/>
          <w:szCs w:val="24"/>
        </w:rPr>
        <w:t>Документ по програмата</w:t>
      </w:r>
      <w:r w:rsidR="0089468B" w:rsidRPr="00DE6769">
        <w:rPr>
          <w:rFonts w:eastAsia="Times New Roman" w:cs="Helvetica"/>
          <w:b/>
          <w:bCs/>
          <w:color w:val="333333"/>
          <w:sz w:val="24"/>
          <w:szCs w:val="24"/>
        </w:rPr>
        <w:t xml:space="preserve"> 23A)</w:t>
      </w:r>
    </w:p>
    <w:p w:rsidR="0089468B" w:rsidRPr="00DE6769" w:rsidRDefault="00F4241E"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обсъди становищата, предоставени като обратна информация във връзка с взетото в порядък на работна хипотеза решение</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относно това кога би се прилагал всеки един подход за оценяване</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по отношение на сделки и операции, попадащи в обхвата на проекта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Преди това Съветът бе решил в порядък на работна хипотеза, че</w:t>
      </w:r>
      <w:r w:rsidR="0089468B" w:rsidRPr="00DE6769">
        <w:rPr>
          <w:rFonts w:eastAsia="Times New Roman" w:cs="Helvetica"/>
          <w:color w:val="575757"/>
          <w:sz w:val="24"/>
          <w:szCs w:val="24"/>
        </w:rPr>
        <w:t>:</w:t>
      </w:r>
    </w:p>
    <w:p w:rsidR="0089468B" w:rsidRPr="00DE6769" w:rsidRDefault="00F4241E" w:rsidP="0089468B">
      <w:pPr>
        <w:numPr>
          <w:ilvl w:val="0"/>
          <w:numId w:val="5"/>
        </w:numPr>
        <w:shd w:val="clear" w:color="auto" w:fill="FFFFFF"/>
        <w:spacing w:before="75" w:after="75" w:line="240" w:lineRule="auto"/>
        <w:ind w:left="495"/>
        <w:rPr>
          <w:rFonts w:eastAsia="Times New Roman" w:cs="Helvetica"/>
          <w:color w:val="575757"/>
          <w:sz w:val="24"/>
          <w:szCs w:val="24"/>
        </w:rPr>
      </w:pPr>
      <w:r w:rsidRPr="00F4241E">
        <w:rPr>
          <w:rFonts w:eastAsia="Times New Roman" w:cs="Helvetica"/>
          <w:color w:val="575757"/>
          <w:sz w:val="24"/>
          <w:szCs w:val="24"/>
          <w:lang w:val="bg-BG"/>
        </w:rPr>
        <w:t>на</w:t>
      </w:r>
      <w:r w:rsidRPr="00F4241E">
        <w:rPr>
          <w:rFonts w:eastAsia="Times New Roman" w:cs="Helvetica"/>
          <w:color w:val="575757"/>
          <w:sz w:val="24"/>
          <w:szCs w:val="24"/>
        </w:rPr>
        <w:t xml:space="preserve"> </w:t>
      </w:r>
      <w:r w:rsidRPr="00F4241E">
        <w:rPr>
          <w:rFonts w:eastAsia="Times New Roman" w:cs="Helvetica"/>
          <w:color w:val="575757"/>
          <w:sz w:val="24"/>
          <w:szCs w:val="24"/>
          <w:lang w:val="bg-BG"/>
        </w:rPr>
        <w:t xml:space="preserve">непублично получаващо предприятие </w:t>
      </w:r>
      <w:r w:rsidR="002D5005">
        <w:rPr>
          <w:rFonts w:eastAsia="Times New Roman" w:cs="Helvetica"/>
          <w:color w:val="575757"/>
          <w:sz w:val="24"/>
          <w:szCs w:val="24"/>
          <w:lang w:val="bg-BG"/>
        </w:rPr>
        <w:t xml:space="preserve">от затворен тип </w:t>
      </w:r>
      <w:r>
        <w:rPr>
          <w:rFonts w:eastAsia="Times New Roman" w:cs="Helvetica"/>
          <w:color w:val="575757"/>
          <w:sz w:val="24"/>
          <w:szCs w:val="24"/>
          <w:lang w:val="bg-BG"/>
        </w:rPr>
        <w:t>ще се разрешава да прилага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подхода на съществуващите балансови стойности, ако всички негови неконтролиращи акционери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са били информирани и не възразяват</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получаващото предприятие да прилага този подход</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освобождаване от изискванията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F4241E" w:rsidP="0089468B">
      <w:pPr>
        <w:numPr>
          <w:ilvl w:val="0"/>
          <w:numId w:val="5"/>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от</w:t>
      </w:r>
      <w:r w:rsidRPr="00F4241E">
        <w:rPr>
          <w:rFonts w:eastAsia="Times New Roman" w:cs="Helvetica"/>
          <w:color w:val="575757"/>
          <w:sz w:val="24"/>
          <w:szCs w:val="24"/>
        </w:rPr>
        <w:t xml:space="preserve"> </w:t>
      </w:r>
      <w:r w:rsidRPr="00F4241E">
        <w:rPr>
          <w:rFonts w:eastAsia="Times New Roman" w:cs="Helvetica"/>
          <w:color w:val="575757"/>
          <w:sz w:val="24"/>
          <w:szCs w:val="24"/>
          <w:lang w:val="bg-BG"/>
        </w:rPr>
        <w:t>непублично получаващо предприятие</w:t>
      </w:r>
      <w:r w:rsidRPr="00F4241E">
        <w:rPr>
          <w:rFonts w:eastAsia="Times New Roman" w:cs="Helvetica"/>
          <w:color w:val="575757"/>
          <w:sz w:val="24"/>
          <w:szCs w:val="24"/>
        </w:rPr>
        <w:t xml:space="preserve"> </w:t>
      </w:r>
      <w:r w:rsidR="002D5005">
        <w:rPr>
          <w:rFonts w:eastAsia="Times New Roman" w:cs="Helvetica"/>
          <w:color w:val="575757"/>
          <w:sz w:val="24"/>
          <w:szCs w:val="24"/>
          <w:lang w:val="bg-BG"/>
        </w:rPr>
        <w:t xml:space="preserve">от затворен тип </w:t>
      </w:r>
      <w:r>
        <w:rPr>
          <w:rFonts w:eastAsia="Times New Roman" w:cs="Helvetica"/>
          <w:color w:val="575757"/>
          <w:sz w:val="24"/>
          <w:szCs w:val="24"/>
          <w:lang w:val="bg-BG"/>
        </w:rPr>
        <w:t xml:space="preserve">ще се изисква да прилага </w:t>
      </w:r>
      <w:r w:rsidRPr="00F4241E">
        <w:rPr>
          <w:rFonts w:eastAsia="Times New Roman" w:cs="Helvetica"/>
          <w:color w:val="575757"/>
          <w:sz w:val="24"/>
          <w:szCs w:val="24"/>
          <w:lang w:val="bg-BG"/>
        </w:rPr>
        <w:t>подхода на съществуващите балансови стойности, ако</w:t>
      </w:r>
      <w:r w:rsidR="0089468B" w:rsidRPr="00DE6769">
        <w:rPr>
          <w:rFonts w:eastAsia="Times New Roman" w:cs="Helvetica"/>
          <w:color w:val="575757"/>
          <w:sz w:val="24"/>
          <w:szCs w:val="24"/>
        </w:rPr>
        <w:t xml:space="preserve"> </w:t>
      </w:r>
      <w:r w:rsidRPr="00F4241E">
        <w:rPr>
          <w:rFonts w:eastAsia="Times New Roman" w:cs="Helvetica"/>
          <w:color w:val="575757"/>
          <w:sz w:val="24"/>
          <w:szCs w:val="24"/>
          <w:lang w:val="bg-BG"/>
        </w:rPr>
        <w:t>всички негови неконтролиращи акционери</w:t>
      </w:r>
      <w:r w:rsidRPr="00F4241E">
        <w:rPr>
          <w:rFonts w:eastAsia="Times New Roman" w:cs="Helvetica"/>
          <w:color w:val="575757"/>
          <w:sz w:val="24"/>
          <w:szCs w:val="24"/>
        </w:rPr>
        <w:t xml:space="preserve"> </w:t>
      </w:r>
      <w:r>
        <w:rPr>
          <w:rFonts w:eastAsia="Times New Roman" w:cs="Helvetica"/>
          <w:color w:val="575757"/>
          <w:sz w:val="24"/>
          <w:szCs w:val="24"/>
          <w:lang w:val="bg-BG"/>
        </w:rPr>
        <w:t>са свързани с получаващото предприятие</w:t>
      </w:r>
      <w:r w:rsidR="0089468B" w:rsidRPr="00DE6769">
        <w:rPr>
          <w:rFonts w:eastAsia="Times New Roman" w:cs="Helvetica"/>
          <w:color w:val="575757"/>
          <w:sz w:val="24"/>
          <w:szCs w:val="24"/>
        </w:rPr>
        <w:t xml:space="preserve"> </w:t>
      </w:r>
      <w:r w:rsidRPr="00F4241E">
        <w:rPr>
          <w:rFonts w:eastAsia="Times New Roman" w:cs="Helvetica"/>
          <w:color w:val="575757"/>
          <w:sz w:val="24"/>
          <w:szCs w:val="24"/>
          <w:lang w:val="bg-BG"/>
        </w:rPr>
        <w:t xml:space="preserve">лица </w:t>
      </w:r>
      <w:r w:rsidR="0089468B" w:rsidRPr="00DE6769">
        <w:rPr>
          <w:rFonts w:eastAsia="Times New Roman" w:cs="Helvetica"/>
          <w:color w:val="575757"/>
          <w:sz w:val="24"/>
          <w:szCs w:val="24"/>
        </w:rPr>
        <w:t>(</w:t>
      </w:r>
      <w:r>
        <w:rPr>
          <w:rFonts w:eastAsia="Times New Roman" w:cs="Helvetica"/>
          <w:color w:val="575757"/>
          <w:sz w:val="24"/>
          <w:szCs w:val="24"/>
          <w:lang w:val="bg-BG"/>
        </w:rPr>
        <w:t>изключение</w:t>
      </w:r>
      <w:r w:rsidR="0089468B" w:rsidRPr="00DE6769">
        <w:rPr>
          <w:rFonts w:eastAsia="Times New Roman" w:cs="Helvetica"/>
          <w:color w:val="575757"/>
          <w:sz w:val="24"/>
          <w:szCs w:val="24"/>
        </w:rPr>
        <w:t>).</w:t>
      </w:r>
    </w:p>
    <w:p w:rsidR="0089468B" w:rsidRPr="00DE6769" w:rsidRDefault="00F4241E"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това заседание Съветът проучи въпроса дали, и ако да – как,</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освобождаването от изискванията и изключението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биха могли да бъдат разширени и да обхванат предприятия, чиито капиталови инструменти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се търгуват на публичен пазар</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lastRenderedPageBreak/>
        <w:t>От Съвета не бе поискано да взема каквито и да е решения</w:t>
      </w:r>
      <w:r w:rsidR="0089468B" w:rsidRPr="00DE6769">
        <w:rPr>
          <w:rFonts w:eastAsia="Times New Roman" w:cs="Helvetica"/>
          <w:color w:val="575757"/>
          <w:sz w:val="24"/>
          <w:szCs w:val="24"/>
        </w:rPr>
        <w:t>.</w:t>
      </w:r>
    </w:p>
    <w:p w:rsidR="0089468B" w:rsidRPr="00DE6769" w:rsidRDefault="002D5005"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lang w:val="bg-BG"/>
        </w:rPr>
        <w:t>Подход на счетоводно отчитане на базата на съществуващите балансови стойности</w:t>
      </w:r>
      <w:r w:rsidR="0089468B" w:rsidRPr="00DE6769">
        <w:rPr>
          <w:rFonts w:eastAsia="Times New Roman" w:cs="Helvetica"/>
          <w:b/>
          <w:bCs/>
          <w:i/>
          <w:iCs/>
          <w:color w:val="333333"/>
          <w:sz w:val="27"/>
          <w:szCs w:val="27"/>
        </w:rPr>
        <w:t>—</w:t>
      </w:r>
      <w:r>
        <w:rPr>
          <w:rFonts w:eastAsia="Times New Roman" w:cs="Helvetica"/>
          <w:b/>
          <w:bCs/>
          <w:i/>
          <w:iCs/>
          <w:color w:val="333333"/>
          <w:sz w:val="27"/>
          <w:szCs w:val="27"/>
          <w:lang w:val="bg-BG"/>
        </w:rPr>
        <w:t xml:space="preserve">възнаграждение и представяне в собствения капитал </w:t>
      </w:r>
      <w:r w:rsidR="0089468B" w:rsidRPr="00DE6769">
        <w:rPr>
          <w:rFonts w:eastAsia="Times New Roman" w:cs="Helvetica"/>
          <w:b/>
          <w:bCs/>
          <w:color w:val="333333"/>
          <w:sz w:val="24"/>
          <w:szCs w:val="24"/>
        </w:rPr>
        <w:t>(</w:t>
      </w:r>
      <w:r w:rsidR="00DE6769">
        <w:rPr>
          <w:rFonts w:eastAsia="Times New Roman" w:cs="Helvetica"/>
          <w:b/>
          <w:bCs/>
          <w:color w:val="333333"/>
          <w:sz w:val="24"/>
          <w:szCs w:val="24"/>
        </w:rPr>
        <w:t>Документ по програмата</w:t>
      </w:r>
      <w:r w:rsidR="0089468B" w:rsidRPr="00DE6769">
        <w:rPr>
          <w:rFonts w:eastAsia="Times New Roman" w:cs="Helvetica"/>
          <w:b/>
          <w:bCs/>
          <w:color w:val="333333"/>
          <w:sz w:val="24"/>
          <w:szCs w:val="24"/>
        </w:rPr>
        <w:t xml:space="preserve"> 23</w:t>
      </w:r>
      <w:r>
        <w:rPr>
          <w:rFonts w:eastAsia="Times New Roman" w:cs="Helvetica"/>
          <w:b/>
          <w:bCs/>
          <w:color w:val="333333"/>
          <w:sz w:val="24"/>
          <w:szCs w:val="24"/>
          <w:lang w:val="bg-BG"/>
        </w:rPr>
        <w:t>Б</w:t>
      </w:r>
      <w:r w:rsidR="0089468B" w:rsidRPr="00DE6769">
        <w:rPr>
          <w:rFonts w:eastAsia="Times New Roman" w:cs="Helvetica"/>
          <w:b/>
          <w:bCs/>
          <w:color w:val="333333"/>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w:t>
      </w:r>
      <w:r w:rsidR="002D5005">
        <w:rPr>
          <w:rFonts w:eastAsia="Times New Roman" w:cs="Helvetica"/>
          <w:color w:val="575757"/>
          <w:sz w:val="24"/>
          <w:szCs w:val="24"/>
          <w:lang w:val="bg-BG"/>
        </w:rPr>
        <w:t>, че когато получаващо предприятие в бизнес комбинация под общ контрол отчита тази комбинация, прилагайки подход на счетоводно отчитане на базата на съществуващите балансови стойности, от него ще се изисква</w:t>
      </w:r>
      <w:r w:rsidR="0089468B" w:rsidRPr="00DE6769">
        <w:rPr>
          <w:rFonts w:eastAsia="Times New Roman" w:cs="Helvetica"/>
          <w:color w:val="575757"/>
          <w:sz w:val="24"/>
          <w:szCs w:val="24"/>
        </w:rPr>
        <w:t>:</w:t>
      </w:r>
    </w:p>
    <w:p w:rsidR="0089468B" w:rsidRPr="00DE6769" w:rsidRDefault="00326A41" w:rsidP="0089468B">
      <w:pPr>
        <w:numPr>
          <w:ilvl w:val="0"/>
          <w:numId w:val="6"/>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оценява възнаграждение, платено в активи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по балансовите стойности на тези активи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към датата на комбинацията</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Десет</w:t>
      </w:r>
      <w:r w:rsidR="007B3430">
        <w:rPr>
          <w:rFonts w:eastAsia="Times New Roman" w:cs="Helvetica"/>
          <w:color w:val="575757"/>
          <w:sz w:val="24"/>
          <w:szCs w:val="24"/>
        </w:rPr>
        <w:t xml:space="preserve"> от четиринадесетте членове на Съвета изразиха съгласие</w:t>
      </w:r>
      <w:r w:rsidR="007B3430">
        <w:rPr>
          <w:rFonts w:eastAsia="Times New Roman" w:cs="Helvetica"/>
          <w:color w:val="575757"/>
          <w:sz w:val="24"/>
          <w:szCs w:val="24"/>
          <w:lang w:val="bg-BG"/>
        </w:rPr>
        <w:t>, а трима - несъгласие</w:t>
      </w:r>
      <w:r w:rsidR="007B3430">
        <w:rPr>
          <w:rFonts w:eastAsia="Times New Roman" w:cs="Helvetica"/>
          <w:color w:val="575757"/>
          <w:sz w:val="24"/>
          <w:szCs w:val="24"/>
        </w:rPr>
        <w:t xml:space="preserve"> с това решение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Един от членовете на Съвета отсъстваше</w:t>
      </w:r>
      <w:r>
        <w:rPr>
          <w:rFonts w:eastAsia="Times New Roman" w:cs="Helvetica"/>
          <w:color w:val="575757"/>
          <w:sz w:val="24"/>
          <w:szCs w:val="24"/>
        </w:rPr>
        <w:t>.</w:t>
      </w:r>
    </w:p>
    <w:p w:rsidR="0089468B" w:rsidRPr="00DE6769" w:rsidRDefault="00326A41" w:rsidP="0089468B">
      <w:pPr>
        <w:numPr>
          <w:ilvl w:val="0"/>
          <w:numId w:val="6"/>
        </w:numPr>
        <w:shd w:val="clear" w:color="auto" w:fill="FFFFFF"/>
        <w:spacing w:before="75" w:after="75" w:line="240" w:lineRule="auto"/>
        <w:ind w:left="495"/>
        <w:rPr>
          <w:rFonts w:eastAsia="Times New Roman" w:cs="Helvetica"/>
          <w:color w:val="575757"/>
          <w:sz w:val="24"/>
          <w:szCs w:val="24"/>
        </w:rPr>
      </w:pPr>
      <w:r w:rsidRPr="00326A41">
        <w:rPr>
          <w:rFonts w:eastAsia="Times New Roman" w:cs="Helvetica"/>
          <w:color w:val="575757"/>
          <w:sz w:val="24"/>
          <w:szCs w:val="24"/>
          <w:lang w:val="bg-BG"/>
        </w:rPr>
        <w:t>да оценява възнаграждение</w:t>
      </w:r>
      <w:r w:rsidRPr="00326A41">
        <w:rPr>
          <w:rFonts w:eastAsia="Times New Roman" w:cs="Helvetica"/>
          <w:color w:val="575757"/>
          <w:sz w:val="24"/>
          <w:szCs w:val="24"/>
        </w:rPr>
        <w:t xml:space="preserve"> </w:t>
      </w:r>
      <w:r>
        <w:rPr>
          <w:rFonts w:eastAsia="Times New Roman" w:cs="Helvetica"/>
          <w:color w:val="575757"/>
          <w:sz w:val="24"/>
          <w:szCs w:val="24"/>
          <w:lang w:val="bg-BG"/>
        </w:rPr>
        <w:t>във вид на поети към прехвърлителя пасиви</w:t>
      </w:r>
      <w:r w:rsidR="0089468B" w:rsidRPr="00DE6769">
        <w:rPr>
          <w:rFonts w:eastAsia="Times New Roman" w:cs="Helvetica"/>
          <w:color w:val="575757"/>
          <w:sz w:val="24"/>
          <w:szCs w:val="24"/>
        </w:rPr>
        <w:t>—</w:t>
      </w:r>
      <w:r>
        <w:rPr>
          <w:rFonts w:eastAsia="Times New Roman" w:cs="Helvetica"/>
          <w:color w:val="575757"/>
          <w:sz w:val="24"/>
          <w:szCs w:val="24"/>
          <w:lang w:val="bg-BG"/>
        </w:rPr>
        <w:t>или пасиви, поети от прехвърлителя</w:t>
      </w:r>
      <w:r w:rsidR="0089468B" w:rsidRPr="00DE6769">
        <w:rPr>
          <w:rFonts w:eastAsia="Times New Roman" w:cs="Helvetica"/>
          <w:color w:val="575757"/>
          <w:sz w:val="24"/>
          <w:szCs w:val="24"/>
        </w:rPr>
        <w:t>—</w:t>
      </w:r>
      <w:r>
        <w:rPr>
          <w:rFonts w:eastAsia="Times New Roman" w:cs="Helvetica"/>
          <w:color w:val="575757"/>
          <w:sz w:val="24"/>
          <w:szCs w:val="24"/>
          <w:lang w:val="bg-BG"/>
        </w:rPr>
        <w:t>по балансовите стойности на тези пасиви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определени в съответствие с приложимите</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стандарти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при първоначално признаване на тези пасиви към датата на комбинацията</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Тринадесет</w:t>
      </w:r>
      <w:r w:rsidR="007B3430">
        <w:rPr>
          <w:rFonts w:eastAsia="Times New Roman" w:cs="Helvetica"/>
          <w:color w:val="575757"/>
          <w:sz w:val="24"/>
          <w:szCs w:val="24"/>
        </w:rPr>
        <w:t xml:space="preserve"> от четиринадесетте членове на Съвета изразиха съгласие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Един от членовете на Съвета отсъстваше</w:t>
      </w:r>
      <w:r w:rsidR="0089468B" w:rsidRPr="00DE6769">
        <w:rPr>
          <w:rFonts w:eastAsia="Times New Roman" w:cs="Helvetica"/>
          <w:color w:val="575757"/>
          <w:sz w:val="24"/>
          <w:szCs w:val="24"/>
        </w:rPr>
        <w:t>.</w:t>
      </w:r>
    </w:p>
    <w:p w:rsidR="0089468B" w:rsidRPr="00DE6769" w:rsidRDefault="00326A41" w:rsidP="0089468B">
      <w:pPr>
        <w:numPr>
          <w:ilvl w:val="0"/>
          <w:numId w:val="6"/>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признава разходите по сделката като разход в отчета за печалбата или загубата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в периода, в който те са извършени</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Тринадесет</w:t>
      </w:r>
      <w:r w:rsidR="007B3430">
        <w:rPr>
          <w:rFonts w:eastAsia="Times New Roman" w:cs="Helvetica"/>
          <w:color w:val="575757"/>
          <w:sz w:val="24"/>
          <w:szCs w:val="24"/>
        </w:rPr>
        <w:t xml:space="preserve"> от четиринадесетте членове на Съвета изразиха съгласие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Един от членовете на Съвета отсъстваше</w:t>
      </w:r>
      <w:r w:rsidR="0089468B" w:rsidRPr="00DE6769">
        <w:rPr>
          <w:rFonts w:eastAsia="Times New Roman" w:cs="Helvetica"/>
          <w:color w:val="575757"/>
          <w:sz w:val="24"/>
          <w:szCs w:val="24"/>
        </w:rPr>
        <w:t>.</w:t>
      </w:r>
    </w:p>
    <w:p w:rsidR="0089468B" w:rsidRPr="00DE6769" w:rsidRDefault="00326A41" w:rsidP="0089468B">
      <w:pPr>
        <w:numPr>
          <w:ilvl w:val="0"/>
          <w:numId w:val="6"/>
        </w:numPr>
        <w:shd w:val="clear" w:color="auto" w:fill="FFFFFF"/>
        <w:spacing w:before="75" w:after="75" w:line="240" w:lineRule="auto"/>
        <w:ind w:left="495"/>
        <w:rPr>
          <w:rFonts w:eastAsia="Times New Roman" w:cs="Helvetica"/>
          <w:color w:val="575757"/>
          <w:sz w:val="24"/>
          <w:szCs w:val="24"/>
        </w:rPr>
      </w:pPr>
      <w:proofErr w:type="gramStart"/>
      <w:r w:rsidRPr="00326A41">
        <w:rPr>
          <w:rFonts w:eastAsia="Times New Roman" w:cs="Helvetica"/>
          <w:color w:val="575757"/>
          <w:sz w:val="24"/>
          <w:szCs w:val="24"/>
          <w:lang w:val="bg-BG"/>
        </w:rPr>
        <w:t>да</w:t>
      </w:r>
      <w:proofErr w:type="gramEnd"/>
      <w:r w:rsidRPr="00326A41">
        <w:rPr>
          <w:rFonts w:eastAsia="Times New Roman" w:cs="Helvetica"/>
          <w:color w:val="575757"/>
          <w:sz w:val="24"/>
          <w:szCs w:val="24"/>
          <w:lang w:val="bg-BG"/>
        </w:rPr>
        <w:t xml:space="preserve"> признава разходите</w:t>
      </w:r>
      <w:r>
        <w:rPr>
          <w:rFonts w:eastAsia="Times New Roman" w:cs="Helvetica"/>
          <w:color w:val="575757"/>
          <w:sz w:val="24"/>
          <w:szCs w:val="24"/>
          <w:lang w:val="bg-BG"/>
        </w:rPr>
        <w:t>, свързани с емитирането н</w:t>
      </w:r>
      <w:r w:rsidR="0072166F">
        <w:rPr>
          <w:rFonts w:eastAsia="Times New Roman" w:cs="Helvetica"/>
          <w:color w:val="575757"/>
          <w:sz w:val="24"/>
          <w:szCs w:val="24"/>
          <w:lang w:val="bg-BG"/>
        </w:rPr>
        <w:t>а</w:t>
      </w:r>
      <w:r>
        <w:rPr>
          <w:rFonts w:eastAsia="Times New Roman" w:cs="Helvetica"/>
          <w:color w:val="575757"/>
          <w:sz w:val="24"/>
          <w:szCs w:val="24"/>
          <w:lang w:val="bg-BG"/>
        </w:rPr>
        <w:t xml:space="preserve"> дългови или капиталови инструменти</w:t>
      </w:r>
      <w:r w:rsidRPr="00326A41">
        <w:rPr>
          <w:rFonts w:eastAsia="Times New Roman" w:cs="Helvetica"/>
          <w:color w:val="575757"/>
          <w:sz w:val="24"/>
          <w:szCs w:val="24"/>
          <w:lang w:val="bg-BG"/>
        </w:rPr>
        <w:t xml:space="preserve"> </w:t>
      </w:r>
      <w:r>
        <w:rPr>
          <w:rFonts w:eastAsia="Times New Roman" w:cs="Helvetica"/>
          <w:color w:val="575757"/>
          <w:sz w:val="24"/>
          <w:szCs w:val="24"/>
          <w:lang w:val="bg-BG"/>
        </w:rPr>
        <w:t>в съответствие с</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МСС</w:t>
      </w:r>
      <w:r w:rsidR="0089468B" w:rsidRPr="00DE6769">
        <w:rPr>
          <w:rFonts w:eastAsia="Times New Roman" w:cs="Helvetica"/>
          <w:color w:val="575757"/>
          <w:sz w:val="24"/>
          <w:szCs w:val="24"/>
        </w:rPr>
        <w:t xml:space="preserve"> 32 </w:t>
      </w:r>
      <w:r>
        <w:rPr>
          <w:rFonts w:eastAsia="Times New Roman" w:cs="Helvetica"/>
          <w:i/>
          <w:iCs/>
          <w:color w:val="575757"/>
          <w:sz w:val="24"/>
          <w:szCs w:val="24"/>
          <w:lang w:val="bg-BG"/>
        </w:rPr>
        <w:t>Финансови инструменти</w:t>
      </w:r>
      <w:r w:rsidR="0089468B" w:rsidRPr="00DE6769">
        <w:rPr>
          <w:rFonts w:eastAsia="Times New Roman" w:cs="Helvetica"/>
          <w:i/>
          <w:iCs/>
          <w:color w:val="575757"/>
          <w:sz w:val="24"/>
          <w:szCs w:val="24"/>
        </w:rPr>
        <w:t xml:space="preserve">: </w:t>
      </w:r>
      <w:r>
        <w:rPr>
          <w:rFonts w:eastAsia="Times New Roman" w:cs="Helvetica"/>
          <w:i/>
          <w:iCs/>
          <w:color w:val="575757"/>
          <w:sz w:val="24"/>
          <w:szCs w:val="24"/>
          <w:lang w:val="bg-BG"/>
        </w:rPr>
        <w:t>представяне</w:t>
      </w:r>
      <w:r w:rsidR="0089468B" w:rsidRPr="00DE6769">
        <w:rPr>
          <w:rFonts w:eastAsia="Times New Roman" w:cs="Helvetica"/>
          <w:color w:val="575757"/>
          <w:sz w:val="24"/>
          <w:szCs w:val="24"/>
        </w:rPr>
        <w:t> </w:t>
      </w:r>
      <w:r>
        <w:rPr>
          <w:rFonts w:eastAsia="Times New Roman" w:cs="Helvetica"/>
          <w:color w:val="575757"/>
          <w:sz w:val="24"/>
          <w:szCs w:val="24"/>
          <w:lang w:val="bg-BG"/>
        </w:rPr>
        <w:t>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9 </w:t>
      </w:r>
      <w:r>
        <w:rPr>
          <w:rFonts w:eastAsia="Times New Roman" w:cs="Helvetica"/>
          <w:i/>
          <w:iCs/>
          <w:color w:val="575757"/>
          <w:sz w:val="24"/>
          <w:szCs w:val="24"/>
          <w:lang w:val="bg-BG"/>
        </w:rPr>
        <w:t>Финансови инструменти</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Тринадесет</w:t>
      </w:r>
      <w:r w:rsidR="007B3430">
        <w:rPr>
          <w:rFonts w:eastAsia="Times New Roman" w:cs="Helvetica"/>
          <w:color w:val="575757"/>
          <w:sz w:val="24"/>
          <w:szCs w:val="24"/>
        </w:rPr>
        <w:t xml:space="preserve"> от четиринадесетте членове на Съвета изразиха съгласие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Един от членовете на Съвета отсъстваше</w:t>
      </w:r>
      <w:r w:rsidR="0089468B" w:rsidRPr="00DE6769">
        <w:rPr>
          <w:rFonts w:eastAsia="Times New Roman" w:cs="Helvetica"/>
          <w:color w:val="575757"/>
          <w:sz w:val="24"/>
          <w:szCs w:val="24"/>
        </w:rPr>
        <w:t>.</w:t>
      </w:r>
    </w:p>
    <w:p w:rsidR="0089468B" w:rsidRPr="00DE6769" w:rsidRDefault="00104E49" w:rsidP="0089468B">
      <w:pPr>
        <w:numPr>
          <w:ilvl w:val="0"/>
          <w:numId w:val="6"/>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признава като промяна в собствения капитал</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всяка разлика между платеното възнаграждение</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 балансовите стойности на получените активи и пасиви</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Дванадесет</w:t>
      </w:r>
      <w:r w:rsidR="007B3430">
        <w:rPr>
          <w:rFonts w:eastAsia="Times New Roman" w:cs="Helvetica"/>
          <w:color w:val="575757"/>
          <w:sz w:val="24"/>
          <w:szCs w:val="24"/>
        </w:rPr>
        <w:t xml:space="preserve"> от четиринадесетте членове на Съвета изразиха съгласие</w:t>
      </w:r>
      <w:r w:rsidR="007B3430">
        <w:rPr>
          <w:rFonts w:eastAsia="Times New Roman" w:cs="Helvetica"/>
          <w:color w:val="575757"/>
          <w:sz w:val="24"/>
          <w:szCs w:val="24"/>
          <w:lang w:val="bg-BG"/>
        </w:rPr>
        <w:t>, а един – несъгласие с това решение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Един от членовете на Съвета отсъстваше</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 xml:space="preserve"> </w:t>
      </w:r>
      <w:r w:rsidR="00104E49">
        <w:rPr>
          <w:rFonts w:eastAsia="Times New Roman" w:cs="Helvetica"/>
          <w:color w:val="575757"/>
          <w:sz w:val="24"/>
          <w:szCs w:val="24"/>
          <w:lang w:val="bg-BG"/>
        </w:rPr>
        <w:t>да не предписва</w:t>
      </w:r>
      <w:r w:rsidR="0089468B" w:rsidRPr="00DE6769">
        <w:rPr>
          <w:rFonts w:eastAsia="Times New Roman" w:cs="Helvetica"/>
          <w:color w:val="575757"/>
          <w:sz w:val="24"/>
          <w:szCs w:val="24"/>
        </w:rPr>
        <w:t>:</w:t>
      </w:r>
    </w:p>
    <w:p w:rsidR="0089468B" w:rsidRPr="00DE6769" w:rsidRDefault="00104E49" w:rsidP="0089468B">
      <w:pPr>
        <w:numPr>
          <w:ilvl w:val="0"/>
          <w:numId w:val="7"/>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начина, по който получаващото предприятие</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ще оценява възнаграждение, платено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в негови собствени акции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104E49" w:rsidP="0089468B">
      <w:pPr>
        <w:numPr>
          <w:ilvl w:val="0"/>
          <w:numId w:val="7"/>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в кой компонент или в кои компоненти на собствения капитал</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получаващото предприятие ще представи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евентуална разлика между</w:t>
      </w:r>
      <w:r w:rsidR="0089468B" w:rsidRPr="00DE6769">
        <w:rPr>
          <w:rFonts w:eastAsia="Times New Roman" w:cs="Helvetica"/>
          <w:color w:val="575757"/>
          <w:sz w:val="24"/>
          <w:szCs w:val="24"/>
        </w:rPr>
        <w:t xml:space="preserve"> </w:t>
      </w:r>
      <w:r w:rsidRPr="00104E49">
        <w:rPr>
          <w:rFonts w:eastAsia="Times New Roman" w:cs="Helvetica"/>
          <w:color w:val="575757"/>
          <w:sz w:val="24"/>
          <w:szCs w:val="24"/>
          <w:lang w:val="bg-BG"/>
        </w:rPr>
        <w:t>платеното възнаграждение</w:t>
      </w:r>
      <w:r w:rsidRPr="00104E49">
        <w:rPr>
          <w:rFonts w:eastAsia="Times New Roman" w:cs="Helvetica"/>
          <w:color w:val="575757"/>
          <w:sz w:val="24"/>
          <w:szCs w:val="24"/>
        </w:rPr>
        <w:t xml:space="preserve"> </w:t>
      </w:r>
      <w:r w:rsidRPr="00104E49">
        <w:rPr>
          <w:rFonts w:eastAsia="Times New Roman" w:cs="Helvetica"/>
          <w:color w:val="575757"/>
          <w:sz w:val="24"/>
          <w:szCs w:val="24"/>
          <w:lang w:val="bg-BG"/>
        </w:rPr>
        <w:t>и балансовите стойности на получените активи и пасиви</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Дванадесет от четиринадесетте членове на Съвета изразиха съгласие, а един - несъгласие с тези решения</w:t>
      </w:r>
      <w:r w:rsidR="0089468B" w:rsidRPr="00DE6769">
        <w:rPr>
          <w:rFonts w:eastAsia="Times New Roman" w:cs="Helvetica"/>
          <w:color w:val="575757"/>
          <w:sz w:val="24"/>
          <w:szCs w:val="24"/>
        </w:rPr>
        <w:t xml:space="preserve">. </w:t>
      </w:r>
      <w:r>
        <w:rPr>
          <w:rFonts w:eastAsia="Times New Roman" w:cs="Helvetica"/>
          <w:color w:val="575757"/>
          <w:sz w:val="24"/>
          <w:szCs w:val="24"/>
        </w:rPr>
        <w:t>Един от членовете на Съвета отсъстваше</w:t>
      </w:r>
      <w:r w:rsidR="0089468B" w:rsidRPr="00DE6769">
        <w:rPr>
          <w:rFonts w:eastAsia="Times New Roman" w:cs="Helvetica"/>
          <w:color w:val="575757"/>
          <w:sz w:val="24"/>
          <w:szCs w:val="24"/>
        </w:rPr>
        <w:t>.</w:t>
      </w:r>
    </w:p>
    <w:p w:rsidR="0089468B" w:rsidRPr="00DE6769" w:rsidRDefault="00104E49"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lastRenderedPageBreak/>
        <w:t>С тези неокончателни решения приключват</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обсъжданията на Съвета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относно това как подходът на счетоводно отчитане на базата на съществуващите балансови стойности би бил прилаган от получаващото предприятие</w:t>
      </w:r>
      <w:r w:rsidR="0089468B" w:rsidRPr="00DE6769">
        <w:rPr>
          <w:rFonts w:eastAsia="Times New Roman" w:cs="Helvetica"/>
          <w:color w:val="575757"/>
          <w:sz w:val="24"/>
          <w:szCs w:val="24"/>
        </w:rPr>
        <w:t>.</w:t>
      </w:r>
    </w:p>
    <w:p w:rsidR="0089468B" w:rsidRPr="00DE6769" w:rsidRDefault="00DE6769"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rPr>
        <w:t>Следващи етапи</w:t>
      </w:r>
    </w:p>
    <w:p w:rsidR="0089468B" w:rsidRPr="00DE6769" w:rsidRDefault="00104E49"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бъдещо свое заседание Съветът ще обсъди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каква информация предприятието следва да оповестява относно сделките си, попадащи в обхвата на проекта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Съветът ще вземе също така и решение</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какъв вид консултационен документ да публикува във връзка с този проект</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 дали да пристъпи към процедурата по гласуване на въпросния документ.</w:t>
      </w:r>
    </w:p>
    <w:p w:rsidR="0089468B" w:rsidRPr="00DE6769" w:rsidRDefault="006E570C" w:rsidP="0089468B">
      <w:pPr>
        <w:shd w:val="clear" w:color="auto" w:fill="FFFFFF"/>
        <w:spacing w:before="450" w:after="300" w:line="240" w:lineRule="auto"/>
        <w:outlineLvl w:val="1"/>
        <w:rPr>
          <w:rFonts w:eastAsia="Times New Roman" w:cs="Helvetica"/>
          <w:b/>
          <w:bCs/>
          <w:color w:val="333333"/>
          <w:sz w:val="34"/>
          <w:szCs w:val="34"/>
        </w:rPr>
      </w:pPr>
      <w:bookmarkStart w:id="2" w:name="3"/>
      <w:r>
        <w:rPr>
          <w:rFonts w:eastAsia="Times New Roman" w:cs="Helvetica"/>
          <w:b/>
          <w:bCs/>
          <w:color w:val="CD3333"/>
          <w:sz w:val="34"/>
          <w:szCs w:val="34"/>
          <w:lang w:val="bg-BG"/>
        </w:rPr>
        <w:t>Пенсионни доходи, които зависят от възвръщаемостта на активите</w:t>
      </w:r>
      <w:r w:rsidR="0089468B" w:rsidRPr="00DE6769">
        <w:rPr>
          <w:rFonts w:eastAsia="Times New Roman" w:cs="Helvetica"/>
          <w:b/>
          <w:bCs/>
          <w:color w:val="CD3333"/>
          <w:sz w:val="34"/>
          <w:szCs w:val="34"/>
        </w:rPr>
        <w:t xml:space="preserve"> (</w:t>
      </w:r>
      <w:r w:rsidR="00DE6769">
        <w:rPr>
          <w:rFonts w:eastAsia="Times New Roman" w:cs="Helvetica"/>
          <w:b/>
          <w:bCs/>
          <w:color w:val="CD3333"/>
          <w:sz w:val="34"/>
          <w:szCs w:val="34"/>
        </w:rPr>
        <w:t>Документ по програмата</w:t>
      </w:r>
      <w:r w:rsidR="0089468B" w:rsidRPr="00DE6769">
        <w:rPr>
          <w:rFonts w:eastAsia="Times New Roman" w:cs="Helvetica"/>
          <w:b/>
          <w:bCs/>
          <w:color w:val="CD3333"/>
          <w:sz w:val="34"/>
          <w:szCs w:val="34"/>
        </w:rPr>
        <w:t xml:space="preserve"> 6)</w:t>
      </w:r>
      <w:bookmarkEnd w:id="2"/>
    </w:p>
    <w:p w:rsidR="0089468B" w:rsidRPr="00DE6769" w:rsidRDefault="006E570C"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бе запознат с актуална информация във връзка с проекта, включително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основната информация за този проект</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описание на корекционния модел на „поставяне на горна граница“ на крайните разходи и следващите етапи по проекта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От Съвета не бе поискано да взема решение</w:t>
      </w:r>
      <w:r w:rsidR="0089468B" w:rsidRPr="00DE6769">
        <w:rPr>
          <w:rFonts w:eastAsia="Times New Roman" w:cs="Helvetica"/>
          <w:color w:val="575757"/>
          <w:sz w:val="24"/>
          <w:szCs w:val="24"/>
        </w:rPr>
        <w:t>.</w:t>
      </w:r>
    </w:p>
    <w:p w:rsidR="0089468B" w:rsidRPr="00DE6769" w:rsidRDefault="00DE6769"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rPr>
        <w:t>Следващи етапи</w:t>
      </w:r>
    </w:p>
    <w:p w:rsidR="0089468B" w:rsidRPr="00DE6769" w:rsidRDefault="006E570C"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Екипът ще представи на Съвета примери за илюстрация с оглед съпоставяне на счетоводния резултат съгласно съществуващите изисквания и съгласно</w:t>
      </w:r>
      <w:r w:rsidRPr="006E570C">
        <w:rPr>
          <w:rFonts w:eastAsia="Times New Roman" w:cs="Helvetica"/>
          <w:color w:val="575757"/>
          <w:sz w:val="24"/>
          <w:szCs w:val="24"/>
          <w:lang w:val="bg-BG"/>
        </w:rPr>
        <w:t xml:space="preserve"> корекционния модел на „поставяне на горна граница“ на крайните разходи</w:t>
      </w:r>
      <w:r>
        <w:rPr>
          <w:rFonts w:eastAsia="Times New Roman" w:cs="Helvetica"/>
          <w:color w:val="575757"/>
          <w:sz w:val="24"/>
          <w:szCs w:val="24"/>
          <w:lang w:val="bg-BG"/>
        </w:rPr>
        <w:t>.</w:t>
      </w:r>
    </w:p>
    <w:p w:rsidR="0089468B" w:rsidRPr="00DE6769" w:rsidRDefault="0089468B" w:rsidP="0089468B">
      <w:pPr>
        <w:shd w:val="clear" w:color="auto" w:fill="FFFFFF"/>
        <w:spacing w:after="300" w:line="240" w:lineRule="auto"/>
        <w:rPr>
          <w:rFonts w:eastAsia="Times New Roman" w:cs="Helvetica"/>
          <w:color w:val="575757"/>
          <w:sz w:val="24"/>
          <w:szCs w:val="24"/>
        </w:rPr>
      </w:pPr>
      <w:r w:rsidRPr="00DE6769">
        <w:rPr>
          <w:rFonts w:eastAsia="Times New Roman" w:cs="Helvetica"/>
          <w:color w:val="575757"/>
          <w:sz w:val="24"/>
          <w:szCs w:val="24"/>
        </w:rPr>
        <w:t> </w:t>
      </w:r>
    </w:p>
    <w:p w:rsidR="0089468B" w:rsidRPr="00DE6769" w:rsidRDefault="006E570C" w:rsidP="0089468B">
      <w:pPr>
        <w:shd w:val="clear" w:color="auto" w:fill="FFFFFF"/>
        <w:spacing w:before="450" w:after="300" w:line="240" w:lineRule="auto"/>
        <w:outlineLvl w:val="1"/>
        <w:rPr>
          <w:rFonts w:eastAsia="Times New Roman" w:cs="Helvetica"/>
          <w:b/>
          <w:bCs/>
          <w:color w:val="333333"/>
          <w:sz w:val="34"/>
          <w:szCs w:val="34"/>
        </w:rPr>
      </w:pPr>
      <w:bookmarkStart w:id="3" w:name="4"/>
      <w:r>
        <w:rPr>
          <w:rFonts w:eastAsia="Times New Roman" w:cs="Helvetica"/>
          <w:b/>
          <w:bCs/>
          <w:color w:val="CD3333"/>
          <w:sz w:val="34"/>
          <w:szCs w:val="34"/>
          <w:lang w:val="bg-BG"/>
        </w:rPr>
        <w:t>Въпроси, свързани с въвеждането и прилагането на стандартите</w:t>
      </w:r>
      <w:r w:rsidR="0089468B" w:rsidRPr="00DE6769">
        <w:rPr>
          <w:rFonts w:eastAsia="Times New Roman" w:cs="Helvetica"/>
          <w:b/>
          <w:bCs/>
          <w:color w:val="CD3333"/>
          <w:sz w:val="34"/>
          <w:szCs w:val="34"/>
        </w:rPr>
        <w:t xml:space="preserve"> (</w:t>
      </w:r>
      <w:r w:rsidR="00DE6769">
        <w:rPr>
          <w:rFonts w:eastAsia="Times New Roman" w:cs="Helvetica"/>
          <w:b/>
          <w:bCs/>
          <w:color w:val="CD3333"/>
          <w:sz w:val="34"/>
          <w:szCs w:val="34"/>
        </w:rPr>
        <w:t>Документ по програмата</w:t>
      </w:r>
      <w:r w:rsidR="0089468B" w:rsidRPr="00DE6769">
        <w:rPr>
          <w:rFonts w:eastAsia="Times New Roman" w:cs="Helvetica"/>
          <w:b/>
          <w:bCs/>
          <w:color w:val="CD3333"/>
          <w:sz w:val="34"/>
          <w:szCs w:val="34"/>
        </w:rPr>
        <w:t xml:space="preserve"> 12)</w:t>
      </w:r>
      <w:bookmarkEnd w:id="3"/>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29 януари 2020 г.</w:t>
      </w:r>
      <w:r w:rsidRPr="00DE6769">
        <w:rPr>
          <w:rFonts w:eastAsia="Times New Roman" w:cs="Helvetica"/>
          <w:color w:val="575757"/>
          <w:sz w:val="24"/>
          <w:szCs w:val="24"/>
        </w:rPr>
        <w:t xml:space="preserve"> </w:t>
      </w:r>
      <w:r w:rsidRPr="007268F9">
        <w:rPr>
          <w:rFonts w:ascii="Calibri" w:eastAsia="Times New Roman" w:hAnsi="Calibri" w:cs="Helvetica"/>
          <w:color w:val="575757"/>
          <w:sz w:val="24"/>
          <w:szCs w:val="24"/>
          <w:lang w:val="bg-BG"/>
        </w:rPr>
        <w:t>Съветът проведе заседание, за да обсъди</w:t>
      </w:r>
      <w:r w:rsidRPr="007268F9">
        <w:rPr>
          <w:rFonts w:eastAsia="Times New Roman" w:cs="Helvetica"/>
          <w:color w:val="575757"/>
          <w:sz w:val="24"/>
          <w:szCs w:val="24"/>
          <w:lang w:val="bg-BG"/>
        </w:rPr>
        <w:t xml:space="preserve"> </w:t>
      </w:r>
      <w:r w:rsidR="006E570C">
        <w:rPr>
          <w:rFonts w:eastAsia="Times New Roman" w:cs="Helvetica"/>
          <w:color w:val="575757"/>
          <w:sz w:val="24"/>
          <w:szCs w:val="24"/>
          <w:lang w:val="bg-BG"/>
        </w:rPr>
        <w:t>въпроси, свързани с въвеждането и прилагането на стандартите</w:t>
      </w:r>
      <w:r w:rsidR="0089468B" w:rsidRPr="00DE6769">
        <w:rPr>
          <w:rFonts w:eastAsia="Times New Roman" w:cs="Helvetica"/>
          <w:color w:val="575757"/>
          <w:sz w:val="24"/>
          <w:szCs w:val="24"/>
        </w:rPr>
        <w:t>.</w:t>
      </w:r>
    </w:p>
    <w:p w:rsidR="0089468B" w:rsidRPr="00DE6769" w:rsidRDefault="006E570C"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color w:val="333333"/>
          <w:sz w:val="24"/>
          <w:szCs w:val="24"/>
          <w:lang w:val="bg-BG"/>
        </w:rPr>
        <w:t>Бюлетин с актуална информация от Комитета по разясненията на МСФО</w:t>
      </w:r>
    </w:p>
    <w:p w:rsidR="0089468B" w:rsidRPr="00DE6769" w:rsidRDefault="006E570C"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бе запознат с актуална информация във връзка с проведеното през ноември 2019 г. заседание на Комитета по разясненията на МСФО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Подробности за заседанието са публикувани в Бюлетина с актуална информация от Комитета по разясненията на МСФО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за ноември 2019 г.</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От Съвета не бе поискано да взема каквито и да е решения</w:t>
      </w:r>
      <w:r w:rsidR="0089468B" w:rsidRPr="00DE6769">
        <w:rPr>
          <w:rFonts w:eastAsia="Times New Roman" w:cs="Helvetica"/>
          <w:color w:val="575757"/>
          <w:sz w:val="24"/>
          <w:szCs w:val="24"/>
        </w:rPr>
        <w:t>.</w:t>
      </w:r>
    </w:p>
    <w:p w:rsidR="0089468B" w:rsidRPr="00DE6769" w:rsidRDefault="0089468B" w:rsidP="0089468B">
      <w:pPr>
        <w:shd w:val="clear" w:color="auto" w:fill="FFFFFF"/>
        <w:spacing w:before="450" w:after="300" w:line="240" w:lineRule="auto"/>
        <w:outlineLvl w:val="1"/>
        <w:rPr>
          <w:rFonts w:eastAsia="Times New Roman" w:cs="Helvetica"/>
          <w:b/>
          <w:bCs/>
          <w:color w:val="333333"/>
          <w:sz w:val="34"/>
          <w:szCs w:val="34"/>
        </w:rPr>
      </w:pPr>
      <w:r w:rsidRPr="00DE6769">
        <w:rPr>
          <w:rFonts w:eastAsia="Times New Roman" w:cs="Helvetica"/>
          <w:b/>
          <w:bCs/>
          <w:color w:val="333333"/>
          <w:sz w:val="34"/>
          <w:szCs w:val="34"/>
        </w:rPr>
        <w:lastRenderedPageBreak/>
        <w:t> </w:t>
      </w:r>
    </w:p>
    <w:p w:rsidR="0089468B" w:rsidRPr="00DE6769" w:rsidRDefault="006E570C" w:rsidP="0089468B">
      <w:pPr>
        <w:shd w:val="clear" w:color="auto" w:fill="FFFFFF"/>
        <w:spacing w:before="450" w:after="300" w:line="240" w:lineRule="auto"/>
        <w:outlineLvl w:val="1"/>
        <w:rPr>
          <w:rFonts w:eastAsia="Times New Roman" w:cs="Helvetica"/>
          <w:b/>
          <w:bCs/>
          <w:color w:val="333333"/>
          <w:sz w:val="34"/>
          <w:szCs w:val="34"/>
        </w:rPr>
      </w:pPr>
      <w:bookmarkStart w:id="4" w:name="5"/>
      <w:r>
        <w:rPr>
          <w:rFonts w:eastAsia="Times New Roman" w:cs="Helvetica"/>
          <w:b/>
          <w:bCs/>
          <w:color w:val="CD3333"/>
          <w:sz w:val="34"/>
          <w:szCs w:val="34"/>
          <w:lang w:val="bg-BG"/>
        </w:rPr>
        <w:t>Инициатива за оповестяване</w:t>
      </w:r>
      <w:r w:rsidR="0089468B" w:rsidRPr="00DE6769">
        <w:rPr>
          <w:rFonts w:eastAsia="Times New Roman" w:cs="Helvetica"/>
          <w:b/>
          <w:bCs/>
          <w:color w:val="CD3333"/>
          <w:sz w:val="34"/>
          <w:szCs w:val="34"/>
        </w:rPr>
        <w:t>—</w:t>
      </w:r>
      <w:r w:rsidR="0072166F">
        <w:rPr>
          <w:rFonts w:eastAsia="Times New Roman" w:cs="Helvetica"/>
          <w:b/>
          <w:bCs/>
          <w:color w:val="CD3333"/>
          <w:sz w:val="34"/>
          <w:szCs w:val="34"/>
          <w:lang w:val="bg-BG"/>
        </w:rPr>
        <w:t>ц</w:t>
      </w:r>
      <w:r>
        <w:rPr>
          <w:rFonts w:eastAsia="Times New Roman" w:cs="Helvetica"/>
          <w:b/>
          <w:bCs/>
          <w:color w:val="CD3333"/>
          <w:sz w:val="34"/>
          <w:szCs w:val="34"/>
          <w:lang w:val="bg-BG"/>
        </w:rPr>
        <w:t>елеви преглед на оповестяванията на ниво стандарти</w:t>
      </w:r>
      <w:r w:rsidR="0089468B" w:rsidRPr="00DE6769">
        <w:rPr>
          <w:rFonts w:eastAsia="Times New Roman" w:cs="Helvetica"/>
          <w:b/>
          <w:bCs/>
          <w:color w:val="CD3333"/>
          <w:sz w:val="34"/>
          <w:szCs w:val="34"/>
        </w:rPr>
        <w:t xml:space="preserve"> (</w:t>
      </w:r>
      <w:r w:rsidR="00DE6769">
        <w:rPr>
          <w:rFonts w:eastAsia="Times New Roman" w:cs="Helvetica"/>
          <w:b/>
          <w:bCs/>
          <w:color w:val="CD3333"/>
          <w:sz w:val="34"/>
          <w:szCs w:val="34"/>
        </w:rPr>
        <w:t>Документ по програмата</w:t>
      </w:r>
      <w:r w:rsidR="0089468B" w:rsidRPr="00DE6769">
        <w:rPr>
          <w:rFonts w:eastAsia="Times New Roman" w:cs="Helvetica"/>
          <w:b/>
          <w:bCs/>
          <w:color w:val="CD3333"/>
          <w:sz w:val="34"/>
          <w:szCs w:val="34"/>
        </w:rPr>
        <w:t xml:space="preserve"> 11)</w:t>
      </w:r>
      <w:bookmarkEnd w:id="4"/>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29 януари 2020 г.</w:t>
      </w:r>
      <w:r w:rsidRPr="00DE6769">
        <w:rPr>
          <w:rFonts w:eastAsia="Times New Roman" w:cs="Helvetica"/>
          <w:color w:val="575757"/>
          <w:sz w:val="24"/>
          <w:szCs w:val="24"/>
        </w:rPr>
        <w:t xml:space="preserve"> </w:t>
      </w:r>
      <w:r w:rsidRPr="007268F9">
        <w:rPr>
          <w:rFonts w:ascii="Calibri" w:eastAsia="Times New Roman" w:hAnsi="Calibri" w:cs="Helvetica"/>
          <w:color w:val="575757"/>
          <w:sz w:val="24"/>
          <w:szCs w:val="24"/>
          <w:lang w:val="bg-BG"/>
        </w:rPr>
        <w:t>Съветът проведе заседание, за да обсъди</w:t>
      </w:r>
      <w:r w:rsidR="0089468B" w:rsidRPr="00DE6769">
        <w:rPr>
          <w:rFonts w:eastAsia="Times New Roman" w:cs="Helvetica"/>
          <w:color w:val="575757"/>
          <w:sz w:val="24"/>
          <w:szCs w:val="24"/>
        </w:rPr>
        <w:t>:</w:t>
      </w:r>
    </w:p>
    <w:p w:rsidR="0089468B" w:rsidRPr="00DE6769" w:rsidRDefault="001F010F" w:rsidP="0089468B">
      <w:pPr>
        <w:numPr>
          <w:ilvl w:val="0"/>
          <w:numId w:val="8"/>
        </w:numPr>
        <w:shd w:val="clear" w:color="auto" w:fill="FFFFFF"/>
        <w:spacing w:before="75" w:after="75" w:line="240" w:lineRule="auto"/>
        <w:ind w:left="495"/>
        <w:rPr>
          <w:rFonts w:eastAsia="Times New Roman" w:cs="Helvetica"/>
          <w:color w:val="575757"/>
          <w:sz w:val="24"/>
          <w:szCs w:val="24"/>
        </w:rPr>
      </w:pPr>
      <w:proofErr w:type="gramStart"/>
      <w:r>
        <w:rPr>
          <w:rFonts w:eastAsia="Times New Roman" w:cs="Helvetica"/>
          <w:color w:val="575757"/>
          <w:sz w:val="24"/>
          <w:szCs w:val="24"/>
          <w:lang w:val="bg-BG"/>
        </w:rPr>
        <w:t>информацията</w:t>
      </w:r>
      <w:proofErr w:type="gramEnd"/>
      <w:r>
        <w:rPr>
          <w:rFonts w:eastAsia="Times New Roman" w:cs="Helvetica"/>
          <w:color w:val="575757"/>
          <w:sz w:val="24"/>
          <w:szCs w:val="24"/>
          <w:lang w:val="bg-BG"/>
        </w:rPr>
        <w:t xml:space="preserve">, която би могла да бъде използвана, за да се удовлетвори неокончателната специфична цел на </w:t>
      </w:r>
      <w:r w:rsidR="0072166F">
        <w:rPr>
          <w:rFonts w:eastAsia="Times New Roman" w:cs="Helvetica"/>
          <w:color w:val="575757"/>
          <w:sz w:val="24"/>
          <w:szCs w:val="24"/>
          <w:lang w:val="bg-BG"/>
        </w:rPr>
        <w:t>оповестяването</w:t>
      </w:r>
      <w:r>
        <w:rPr>
          <w:rFonts w:eastAsia="Times New Roman" w:cs="Helvetica"/>
          <w:color w:val="575757"/>
          <w:sz w:val="24"/>
          <w:szCs w:val="24"/>
          <w:lang w:val="bg-BG"/>
        </w:rPr>
        <w:t xml:space="preserve"> относно очакваните бъдещи парични потоци по отношение на планове с дефинирани доходи</w:t>
      </w:r>
      <w:r w:rsidR="0089468B" w:rsidRPr="00DE6769">
        <w:rPr>
          <w:rFonts w:eastAsia="Times New Roman" w:cs="Helvetica"/>
          <w:color w:val="575757"/>
          <w:sz w:val="24"/>
          <w:szCs w:val="24"/>
        </w:rPr>
        <w:t>—</w:t>
      </w:r>
      <w:r w:rsidR="00DE6769">
        <w:rPr>
          <w:rFonts w:eastAsia="Times New Roman" w:cs="Helvetica"/>
          <w:color w:val="575757"/>
          <w:sz w:val="24"/>
          <w:szCs w:val="24"/>
        </w:rPr>
        <w:t>Документ по програмата</w:t>
      </w:r>
      <w:r w:rsidR="0089468B" w:rsidRPr="00DE6769">
        <w:rPr>
          <w:rFonts w:eastAsia="Times New Roman" w:cs="Helvetica"/>
          <w:color w:val="575757"/>
          <w:sz w:val="24"/>
          <w:szCs w:val="24"/>
        </w:rPr>
        <w:t xml:space="preserve"> 11A; </w:t>
      </w:r>
      <w:r>
        <w:rPr>
          <w:rFonts w:eastAsia="Times New Roman" w:cs="Helvetica"/>
          <w:color w:val="575757"/>
          <w:sz w:val="24"/>
          <w:szCs w:val="24"/>
          <w:lang w:val="bg-BG"/>
        </w:rPr>
        <w:t>и</w:t>
      </w:r>
    </w:p>
    <w:p w:rsidR="0089468B" w:rsidRPr="00DE6769" w:rsidRDefault="001F010F" w:rsidP="0089468B">
      <w:pPr>
        <w:numPr>
          <w:ilvl w:val="0"/>
          <w:numId w:val="8"/>
        </w:numPr>
        <w:shd w:val="clear" w:color="auto" w:fill="FFFFFF"/>
        <w:spacing w:before="75" w:after="75" w:line="240" w:lineRule="auto"/>
        <w:ind w:left="495"/>
        <w:rPr>
          <w:rFonts w:eastAsia="Times New Roman" w:cs="Helvetica"/>
          <w:color w:val="575757"/>
          <w:sz w:val="24"/>
          <w:szCs w:val="24"/>
        </w:rPr>
      </w:pPr>
      <w:proofErr w:type="gramStart"/>
      <w:r>
        <w:rPr>
          <w:rFonts w:eastAsia="Times New Roman" w:cs="Helvetica"/>
          <w:color w:val="575757"/>
          <w:sz w:val="24"/>
          <w:szCs w:val="24"/>
          <w:lang w:val="bg-BG"/>
        </w:rPr>
        <w:t>съпоставка</w:t>
      </w:r>
      <w:proofErr w:type="gramEnd"/>
      <w:r>
        <w:rPr>
          <w:rFonts w:eastAsia="Times New Roman" w:cs="Helvetica"/>
          <w:color w:val="575757"/>
          <w:sz w:val="24"/>
          <w:szCs w:val="24"/>
          <w:lang w:val="bg-BG"/>
        </w:rPr>
        <w:t xml:space="preserve"> между</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 xml:space="preserve">взетите в порядък на работна хипотеза решения на Съвета относно </w:t>
      </w:r>
      <w:r w:rsidR="0072166F">
        <w:rPr>
          <w:rFonts w:eastAsia="Times New Roman" w:cs="Helvetica"/>
          <w:color w:val="575757"/>
          <w:sz w:val="24"/>
          <w:szCs w:val="24"/>
          <w:lang w:val="bg-BG"/>
        </w:rPr>
        <w:t>оповестяването</w:t>
      </w:r>
      <w:r>
        <w:rPr>
          <w:rFonts w:eastAsia="Times New Roman" w:cs="Helvetica"/>
          <w:color w:val="575757"/>
          <w:sz w:val="24"/>
          <w:szCs w:val="24"/>
          <w:lang w:val="bg-BG"/>
        </w:rPr>
        <w:t xml:space="preserve"> в</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МСС</w:t>
      </w:r>
      <w:r w:rsidR="0089468B" w:rsidRPr="00DE6769">
        <w:rPr>
          <w:rFonts w:eastAsia="Times New Roman" w:cs="Helvetica"/>
          <w:color w:val="575757"/>
          <w:sz w:val="24"/>
          <w:szCs w:val="24"/>
        </w:rPr>
        <w:t xml:space="preserve"> 19 </w:t>
      </w:r>
      <w:r>
        <w:rPr>
          <w:rFonts w:eastAsia="Times New Roman" w:cs="Helvetica"/>
          <w:i/>
          <w:iCs/>
          <w:color w:val="575757"/>
          <w:sz w:val="24"/>
          <w:szCs w:val="24"/>
          <w:lang w:val="bg-BG"/>
        </w:rPr>
        <w:t>Доходи на наети лица</w:t>
      </w:r>
      <w:r w:rsidR="0089468B" w:rsidRPr="00DE6769">
        <w:rPr>
          <w:rFonts w:eastAsia="Times New Roman" w:cs="Helvetica"/>
          <w:color w:val="575757"/>
          <w:sz w:val="24"/>
          <w:szCs w:val="24"/>
        </w:rPr>
        <w:t> </w:t>
      </w:r>
      <w:r>
        <w:rPr>
          <w:rFonts w:eastAsia="Times New Roman" w:cs="Helvetica"/>
          <w:color w:val="575757"/>
          <w:sz w:val="24"/>
          <w:szCs w:val="24"/>
          <w:lang w:val="bg-BG"/>
        </w:rPr>
        <w:t>и изискванията за оповестяване в стандарта</w:t>
      </w:r>
      <w:r w:rsidR="0089468B" w:rsidRPr="00DE6769">
        <w:rPr>
          <w:rFonts w:eastAsia="Times New Roman" w:cs="Helvetica"/>
          <w:color w:val="575757"/>
          <w:sz w:val="24"/>
          <w:szCs w:val="24"/>
        </w:rPr>
        <w:t>—</w:t>
      </w:r>
      <w:r w:rsidR="00DE6769">
        <w:rPr>
          <w:rFonts w:eastAsia="Times New Roman" w:cs="Helvetica"/>
          <w:color w:val="575757"/>
          <w:sz w:val="24"/>
          <w:szCs w:val="24"/>
        </w:rPr>
        <w:t>Документ по програмата</w:t>
      </w:r>
      <w:r w:rsidR="0089468B" w:rsidRPr="00DE6769">
        <w:rPr>
          <w:rFonts w:eastAsia="Times New Roman" w:cs="Helvetica"/>
          <w:color w:val="575757"/>
          <w:sz w:val="24"/>
          <w:szCs w:val="24"/>
        </w:rPr>
        <w:t xml:space="preserve"> 11</w:t>
      </w:r>
      <w:r>
        <w:rPr>
          <w:rFonts w:eastAsia="Times New Roman" w:cs="Helvetica"/>
          <w:color w:val="575757"/>
          <w:sz w:val="24"/>
          <w:szCs w:val="24"/>
          <w:lang w:val="bg-BG"/>
        </w:rPr>
        <w:t>Б</w:t>
      </w:r>
      <w:r w:rsidR="0089468B" w:rsidRPr="00DE6769">
        <w:rPr>
          <w:rFonts w:eastAsia="Times New Roman" w:cs="Helvetica"/>
          <w:color w:val="575757"/>
          <w:sz w:val="24"/>
          <w:szCs w:val="24"/>
        </w:rPr>
        <w:t>.</w:t>
      </w:r>
    </w:p>
    <w:p w:rsidR="0089468B" w:rsidRPr="00DE6769" w:rsidRDefault="001F010F"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lang w:val="bg-BG"/>
        </w:rPr>
        <w:t xml:space="preserve">Очаквани бъдещи парични потоци по отношение на планове с дефинирани доходи </w:t>
      </w:r>
      <w:r w:rsidR="0089468B" w:rsidRPr="00DE6769">
        <w:rPr>
          <w:rFonts w:eastAsia="Times New Roman" w:cs="Helvetica"/>
          <w:b/>
          <w:bCs/>
          <w:color w:val="333333"/>
          <w:sz w:val="24"/>
          <w:szCs w:val="24"/>
        </w:rPr>
        <w:t>(</w:t>
      </w:r>
      <w:r w:rsidR="00DE6769">
        <w:rPr>
          <w:rFonts w:eastAsia="Times New Roman" w:cs="Helvetica"/>
          <w:b/>
          <w:bCs/>
          <w:color w:val="333333"/>
          <w:sz w:val="24"/>
          <w:szCs w:val="24"/>
        </w:rPr>
        <w:t>Документ по програмата</w:t>
      </w:r>
      <w:r w:rsidR="0089468B" w:rsidRPr="00DE6769">
        <w:rPr>
          <w:rFonts w:eastAsia="Times New Roman" w:cs="Helvetica"/>
          <w:b/>
          <w:bCs/>
          <w:color w:val="333333"/>
          <w:sz w:val="24"/>
          <w:szCs w:val="24"/>
        </w:rPr>
        <w:t xml:space="preserve"> 11A)</w:t>
      </w:r>
    </w:p>
    <w:p w:rsidR="0089468B" w:rsidRPr="00DE6769" w:rsidRDefault="00A45B21"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продължи с обсъжданията си относно информацията, която би могла да отговори на специфичната цел на оповестяванията относно очакваните бъдещи парични потоци по отношение на планове с дефинирани доходи, която Съветът утвърди в порядък на работна хипотеза на заседанието си през юли</w:t>
      </w:r>
      <w:r w:rsidR="0089468B" w:rsidRPr="00DE6769">
        <w:rPr>
          <w:rFonts w:eastAsia="Times New Roman" w:cs="Helvetica"/>
          <w:color w:val="575757"/>
          <w:sz w:val="24"/>
          <w:szCs w:val="24"/>
        </w:rPr>
        <w:t xml:space="preserve"> 2019 </w:t>
      </w:r>
      <w:r>
        <w:rPr>
          <w:rFonts w:eastAsia="Times New Roman" w:cs="Helvetica"/>
          <w:color w:val="575757"/>
          <w:sz w:val="24"/>
          <w:szCs w:val="24"/>
          <w:lang w:val="bg-BG"/>
        </w:rPr>
        <w:t>г</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w:t>
      </w:r>
    </w:p>
    <w:p w:rsidR="0089468B" w:rsidRPr="00DE6769" w:rsidRDefault="00CD3B63" w:rsidP="0089468B">
      <w:pPr>
        <w:numPr>
          <w:ilvl w:val="0"/>
          <w:numId w:val="9"/>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поясни, че специфичната цел на оповестяването е предвидена да препраща към информация относно очаквания ефект от</w:t>
      </w:r>
      <w:r w:rsidR="00D44DD6">
        <w:rPr>
          <w:rFonts w:eastAsia="Times New Roman" w:cs="Helvetica"/>
          <w:color w:val="575757"/>
          <w:sz w:val="24"/>
          <w:szCs w:val="24"/>
          <w:lang w:val="bg-BG"/>
        </w:rPr>
        <w:t xml:space="preserve"> задължение за дефинирани доходи</w:t>
      </w:r>
      <w:r w:rsidR="0089468B" w:rsidRPr="00DE6769">
        <w:rPr>
          <w:rFonts w:eastAsia="Times New Roman" w:cs="Helvetica"/>
          <w:color w:val="575757"/>
          <w:sz w:val="24"/>
          <w:szCs w:val="24"/>
        </w:rPr>
        <w:t xml:space="preserve"> </w:t>
      </w:r>
      <w:r w:rsidR="00D44DD6">
        <w:rPr>
          <w:rFonts w:eastAsia="Times New Roman" w:cs="Helvetica"/>
          <w:color w:val="575757"/>
          <w:sz w:val="24"/>
          <w:szCs w:val="24"/>
          <w:lang w:val="bg-BG"/>
        </w:rPr>
        <w:t>върху бъдещите парични потоци на предприятието</w:t>
      </w:r>
      <w:r w:rsidR="0089468B" w:rsidRPr="00DE6769">
        <w:rPr>
          <w:rFonts w:eastAsia="Times New Roman" w:cs="Helvetica"/>
          <w:color w:val="575757"/>
          <w:sz w:val="24"/>
          <w:szCs w:val="24"/>
        </w:rPr>
        <w:t>.</w:t>
      </w:r>
    </w:p>
    <w:p w:rsidR="0089468B" w:rsidRPr="00DE6769" w:rsidRDefault="00D44DD6" w:rsidP="0089468B">
      <w:pPr>
        <w:numPr>
          <w:ilvl w:val="0"/>
          <w:numId w:val="9"/>
        </w:numPr>
        <w:shd w:val="clear" w:color="auto" w:fill="FFFFFF"/>
        <w:spacing w:before="75" w:after="75" w:line="240" w:lineRule="auto"/>
        <w:ind w:left="495"/>
        <w:rPr>
          <w:rFonts w:eastAsia="Times New Roman" w:cs="Helvetica"/>
          <w:color w:val="575757"/>
          <w:sz w:val="24"/>
          <w:szCs w:val="24"/>
        </w:rPr>
      </w:pPr>
      <w:proofErr w:type="gramStart"/>
      <w:r>
        <w:rPr>
          <w:rFonts w:eastAsia="Times New Roman" w:cs="Helvetica"/>
          <w:color w:val="575757"/>
          <w:sz w:val="24"/>
          <w:szCs w:val="24"/>
          <w:lang w:val="bg-BG"/>
        </w:rPr>
        <w:t>да</w:t>
      </w:r>
      <w:proofErr w:type="gramEnd"/>
      <w:r>
        <w:rPr>
          <w:rFonts w:eastAsia="Times New Roman" w:cs="Helvetica"/>
          <w:color w:val="575757"/>
          <w:sz w:val="24"/>
          <w:szCs w:val="24"/>
          <w:lang w:val="bg-BG"/>
        </w:rPr>
        <w:t xml:space="preserve"> изисква предприятието да обяснява методите, използвани </w:t>
      </w:r>
      <w:r w:rsidR="0072166F">
        <w:rPr>
          <w:rFonts w:eastAsia="Times New Roman" w:cs="Helvetica"/>
          <w:color w:val="575757"/>
          <w:sz w:val="24"/>
          <w:szCs w:val="24"/>
          <w:lang w:val="bg-BG"/>
        </w:rPr>
        <w:t>за</w:t>
      </w:r>
      <w:r>
        <w:rPr>
          <w:rFonts w:eastAsia="Times New Roman" w:cs="Helvetica"/>
          <w:color w:val="575757"/>
          <w:sz w:val="24"/>
          <w:szCs w:val="24"/>
          <w:lang w:val="bg-BG"/>
        </w:rPr>
        <w:t xml:space="preserve"> изпълнение на специфичната цел на оповестяването</w:t>
      </w:r>
      <w:r w:rsidR="0089468B" w:rsidRPr="00DE6769">
        <w:rPr>
          <w:rFonts w:eastAsia="Times New Roman" w:cs="Helvetica"/>
          <w:color w:val="575757"/>
          <w:sz w:val="24"/>
          <w:szCs w:val="24"/>
        </w:rPr>
        <w:t>.</w:t>
      </w:r>
    </w:p>
    <w:p w:rsidR="0089468B" w:rsidRPr="00DE6769" w:rsidRDefault="00D44DD6" w:rsidP="0089468B">
      <w:pPr>
        <w:numPr>
          <w:ilvl w:val="0"/>
          <w:numId w:val="9"/>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идентифицира информация, която предприятието може, но не е задължено да предоставя, за да изпълни специфичната цел на оповестяването, като например</w:t>
      </w:r>
      <w:r w:rsidR="0089468B" w:rsidRPr="00DE6769">
        <w:rPr>
          <w:rFonts w:eastAsia="Times New Roman" w:cs="Helvetica"/>
          <w:color w:val="575757"/>
          <w:sz w:val="24"/>
          <w:szCs w:val="24"/>
        </w:rPr>
        <w:t>:</w:t>
      </w:r>
    </w:p>
    <w:p w:rsidR="0089468B" w:rsidRPr="00DE6769" w:rsidRDefault="00D44DD6" w:rsidP="0089468B">
      <w:pPr>
        <w:numPr>
          <w:ilvl w:val="1"/>
          <w:numId w:val="9"/>
        </w:numPr>
        <w:shd w:val="clear" w:color="auto" w:fill="FFFFFF"/>
        <w:spacing w:before="75" w:after="75" w:line="240" w:lineRule="auto"/>
        <w:ind w:left="1215"/>
        <w:rPr>
          <w:rFonts w:eastAsia="Times New Roman" w:cs="Helvetica"/>
          <w:color w:val="575757"/>
          <w:sz w:val="24"/>
          <w:szCs w:val="24"/>
        </w:rPr>
      </w:pPr>
      <w:proofErr w:type="gramStart"/>
      <w:r>
        <w:rPr>
          <w:rFonts w:eastAsia="Times New Roman" w:cs="Helvetica"/>
          <w:color w:val="575757"/>
          <w:sz w:val="24"/>
          <w:szCs w:val="24"/>
          <w:lang w:val="bg-BG"/>
        </w:rPr>
        <w:t>описания</w:t>
      </w:r>
      <w:proofErr w:type="gramEnd"/>
      <w:r>
        <w:rPr>
          <w:rFonts w:eastAsia="Times New Roman" w:cs="Helvetica"/>
          <w:color w:val="575757"/>
          <w:sz w:val="24"/>
          <w:szCs w:val="24"/>
          <w:lang w:val="bg-BG"/>
        </w:rPr>
        <w:t xml:space="preserve"> на споразумения или политики</w:t>
      </w:r>
      <w:r w:rsidRPr="00D44DD6">
        <w:rPr>
          <w:rFonts w:eastAsia="Times New Roman" w:cs="Helvetica"/>
          <w:color w:val="575757"/>
          <w:sz w:val="24"/>
          <w:szCs w:val="24"/>
          <w:lang w:val="bg-BG"/>
        </w:rPr>
        <w:t xml:space="preserve"> за финансиране</w:t>
      </w:r>
      <w:r>
        <w:rPr>
          <w:rFonts w:eastAsia="Times New Roman" w:cs="Helvetica"/>
          <w:color w:val="575757"/>
          <w:sz w:val="24"/>
          <w:szCs w:val="24"/>
          <w:lang w:val="bg-BG"/>
        </w:rPr>
        <w:t xml:space="preserve">, </w:t>
      </w:r>
      <w:r w:rsidR="0072166F">
        <w:rPr>
          <w:rFonts w:eastAsia="Times New Roman" w:cs="Helvetica"/>
          <w:color w:val="575757"/>
          <w:sz w:val="24"/>
          <w:szCs w:val="24"/>
          <w:lang w:val="bg-BG"/>
        </w:rPr>
        <w:t>оказващи</w:t>
      </w:r>
      <w:r>
        <w:rPr>
          <w:rFonts w:eastAsia="Times New Roman" w:cs="Helvetica"/>
          <w:color w:val="575757"/>
          <w:sz w:val="24"/>
          <w:szCs w:val="24"/>
          <w:lang w:val="bg-BG"/>
        </w:rPr>
        <w:t xml:space="preserve"> влияние върху очаквани</w:t>
      </w:r>
      <w:r w:rsidR="0072166F">
        <w:rPr>
          <w:rFonts w:eastAsia="Times New Roman" w:cs="Helvetica"/>
          <w:color w:val="575757"/>
          <w:sz w:val="24"/>
          <w:szCs w:val="24"/>
          <w:lang w:val="bg-BG"/>
        </w:rPr>
        <w:t>те</w:t>
      </w:r>
      <w:r>
        <w:rPr>
          <w:rFonts w:eastAsia="Times New Roman" w:cs="Helvetica"/>
          <w:color w:val="575757"/>
          <w:sz w:val="24"/>
          <w:szCs w:val="24"/>
          <w:lang w:val="bg-BG"/>
        </w:rPr>
        <w:t xml:space="preserve"> бъдещи вноски, които изпълняват задължението за дефинирани доходи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в края на отчетния период</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Такива споразумения биха могли да включват споразуменията, постигнати с попечителите или управителите на плана</w:t>
      </w:r>
      <w:r w:rsidR="0089468B" w:rsidRPr="00DE6769">
        <w:rPr>
          <w:rFonts w:eastAsia="Times New Roman" w:cs="Helvetica"/>
          <w:color w:val="575757"/>
          <w:sz w:val="24"/>
          <w:szCs w:val="24"/>
        </w:rPr>
        <w:t>.</w:t>
      </w:r>
    </w:p>
    <w:p w:rsidR="0089468B" w:rsidRPr="00DE6769" w:rsidRDefault="00D44DD6" w:rsidP="0089468B">
      <w:pPr>
        <w:numPr>
          <w:ilvl w:val="1"/>
          <w:numId w:val="9"/>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 xml:space="preserve">количествена информация относно очаквани бъдещи вноски, които изпълняват </w:t>
      </w:r>
      <w:r w:rsidRPr="00D44DD6">
        <w:rPr>
          <w:rFonts w:eastAsia="Times New Roman" w:cs="Helvetica"/>
          <w:color w:val="575757"/>
          <w:sz w:val="24"/>
          <w:szCs w:val="24"/>
          <w:lang w:val="bg-BG"/>
        </w:rPr>
        <w:t>задължението за дефинирани доходи</w:t>
      </w:r>
      <w:r w:rsidRPr="00D44DD6">
        <w:rPr>
          <w:rFonts w:eastAsia="Times New Roman" w:cs="Helvetica"/>
          <w:color w:val="575757"/>
          <w:sz w:val="24"/>
          <w:szCs w:val="24"/>
        </w:rPr>
        <w:t xml:space="preserve"> </w:t>
      </w:r>
      <w:r w:rsidRPr="00D44DD6">
        <w:rPr>
          <w:rFonts w:eastAsia="Times New Roman" w:cs="Helvetica"/>
          <w:color w:val="575757"/>
          <w:sz w:val="24"/>
          <w:szCs w:val="24"/>
          <w:lang w:val="bg-BG"/>
        </w:rPr>
        <w:t>в края на отчетния период</w:t>
      </w:r>
      <w:r w:rsidR="0089468B" w:rsidRPr="00DE6769">
        <w:rPr>
          <w:rFonts w:eastAsia="Times New Roman" w:cs="Helvetica"/>
          <w:color w:val="575757"/>
          <w:sz w:val="24"/>
          <w:szCs w:val="24"/>
        </w:rPr>
        <w:t>.</w:t>
      </w:r>
    </w:p>
    <w:p w:rsidR="0089468B" w:rsidRPr="00DE6769" w:rsidRDefault="00D44DD6" w:rsidP="0089468B">
      <w:pPr>
        <w:numPr>
          <w:ilvl w:val="1"/>
          <w:numId w:val="9"/>
        </w:numPr>
        <w:shd w:val="clear" w:color="auto" w:fill="FFFFFF"/>
        <w:spacing w:before="75" w:after="75" w:line="240" w:lineRule="auto"/>
        <w:ind w:left="1215"/>
        <w:rPr>
          <w:rFonts w:eastAsia="Times New Roman" w:cs="Helvetica"/>
          <w:color w:val="575757"/>
          <w:sz w:val="24"/>
          <w:szCs w:val="24"/>
        </w:rPr>
      </w:pPr>
      <w:proofErr w:type="gramStart"/>
      <w:r>
        <w:rPr>
          <w:rFonts w:eastAsia="Times New Roman" w:cs="Helvetica"/>
          <w:color w:val="575757"/>
          <w:sz w:val="24"/>
          <w:szCs w:val="24"/>
          <w:lang w:val="bg-BG"/>
        </w:rPr>
        <w:lastRenderedPageBreak/>
        <w:t>описания</w:t>
      </w:r>
      <w:proofErr w:type="gramEnd"/>
      <w:r>
        <w:rPr>
          <w:rFonts w:eastAsia="Times New Roman" w:cs="Helvetica"/>
          <w:color w:val="575757"/>
          <w:sz w:val="24"/>
          <w:szCs w:val="24"/>
          <w:lang w:val="bg-BG"/>
        </w:rPr>
        <w:t xml:space="preserve"> на регулаторни или други споразумения, които оказват влияние върху очаквани</w:t>
      </w:r>
      <w:r w:rsidR="0072166F">
        <w:rPr>
          <w:rFonts w:eastAsia="Times New Roman" w:cs="Helvetica"/>
          <w:color w:val="575757"/>
          <w:sz w:val="24"/>
          <w:szCs w:val="24"/>
          <w:lang w:val="bg-BG"/>
        </w:rPr>
        <w:t>те</w:t>
      </w:r>
      <w:r>
        <w:rPr>
          <w:rFonts w:eastAsia="Times New Roman" w:cs="Helvetica"/>
          <w:color w:val="575757"/>
          <w:sz w:val="24"/>
          <w:szCs w:val="24"/>
          <w:lang w:val="bg-BG"/>
        </w:rPr>
        <w:t xml:space="preserve"> бъдещи вноски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включително всички известни изисквания за минимално фондово финансиране</w:t>
      </w:r>
      <w:r w:rsidR="0089468B" w:rsidRPr="00DE6769">
        <w:rPr>
          <w:rFonts w:eastAsia="Times New Roman" w:cs="Helvetica"/>
          <w:color w:val="575757"/>
          <w:sz w:val="24"/>
          <w:szCs w:val="24"/>
        </w:rPr>
        <w:t>.</w:t>
      </w:r>
    </w:p>
    <w:p w:rsidR="0089468B" w:rsidRPr="00DE6769" w:rsidRDefault="00D44DD6" w:rsidP="0089468B">
      <w:pPr>
        <w:numPr>
          <w:ilvl w:val="1"/>
          <w:numId w:val="9"/>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информация относно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очаквания модел или темп на бъдещите вноски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Например</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информация относно това дали се очаква бъдещите вноски да са по-големи, сходни или по-малки от тези, направени в текущия отчетен период и причините за това</w:t>
      </w:r>
      <w:r w:rsidR="0089468B" w:rsidRPr="00DE6769">
        <w:rPr>
          <w:rFonts w:eastAsia="Times New Roman" w:cs="Helvetica"/>
          <w:color w:val="575757"/>
          <w:sz w:val="24"/>
          <w:szCs w:val="24"/>
        </w:rPr>
        <w:t>.</w:t>
      </w:r>
    </w:p>
    <w:p w:rsidR="0089468B" w:rsidRPr="00DE6769" w:rsidRDefault="007B343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Тринадесет</w:t>
      </w:r>
      <w:r>
        <w:rPr>
          <w:rFonts w:eastAsia="Times New Roman" w:cs="Helvetica"/>
          <w:color w:val="575757"/>
          <w:sz w:val="24"/>
          <w:szCs w:val="24"/>
        </w:rPr>
        <w:t xml:space="preserve"> от четиринадесетте членове на Съвета изразиха съгласие</w:t>
      </w:r>
      <w:r w:rsidRPr="00DE6769">
        <w:rPr>
          <w:rFonts w:eastAsia="Times New Roman" w:cs="Helvetica"/>
          <w:color w:val="575757"/>
          <w:sz w:val="24"/>
          <w:szCs w:val="24"/>
        </w:rPr>
        <w:t xml:space="preserve"> </w:t>
      </w:r>
      <w:r>
        <w:rPr>
          <w:rFonts w:eastAsia="Times New Roman" w:cs="Helvetica"/>
          <w:color w:val="575757"/>
          <w:sz w:val="24"/>
          <w:szCs w:val="24"/>
          <w:lang w:val="bg-BG"/>
        </w:rPr>
        <w:t>с тези решения</w:t>
      </w:r>
      <w:r w:rsidR="0089468B" w:rsidRPr="00DE6769">
        <w:rPr>
          <w:rFonts w:eastAsia="Times New Roman" w:cs="Helvetica"/>
          <w:color w:val="575757"/>
          <w:sz w:val="24"/>
          <w:szCs w:val="24"/>
        </w:rPr>
        <w:t xml:space="preserve">. </w:t>
      </w:r>
      <w:r w:rsidR="003D0750">
        <w:rPr>
          <w:rFonts w:eastAsia="Times New Roman" w:cs="Helvetica"/>
          <w:color w:val="575757"/>
          <w:sz w:val="24"/>
          <w:szCs w:val="24"/>
          <w:lang w:val="bg-BG"/>
        </w:rPr>
        <w:t>Един от членовете отсъстваше</w:t>
      </w:r>
      <w:r w:rsidR="0089468B" w:rsidRPr="00DE6769">
        <w:rPr>
          <w:rFonts w:eastAsia="Times New Roman" w:cs="Helvetica"/>
          <w:color w:val="575757"/>
          <w:sz w:val="24"/>
          <w:szCs w:val="24"/>
        </w:rPr>
        <w:t>.</w:t>
      </w:r>
    </w:p>
    <w:p w:rsidR="0089468B" w:rsidRPr="007B3430" w:rsidRDefault="009C597F" w:rsidP="0089468B">
      <w:pPr>
        <w:shd w:val="clear" w:color="auto" w:fill="FFFFFF"/>
        <w:spacing w:after="300" w:line="240" w:lineRule="auto"/>
        <w:rPr>
          <w:rFonts w:eastAsia="Times New Roman" w:cs="Helvetica"/>
          <w:color w:val="575757"/>
          <w:sz w:val="24"/>
          <w:szCs w:val="24"/>
          <w:lang w:val="bg-BG"/>
        </w:rPr>
      </w:pPr>
      <w:r>
        <w:rPr>
          <w:rFonts w:eastAsia="Times New Roman" w:cs="Helvetica"/>
          <w:color w:val="575757"/>
          <w:sz w:val="24"/>
          <w:szCs w:val="24"/>
          <w:lang w:val="bg-BG"/>
        </w:rPr>
        <w:t>Съветът също така реши в порядък на работна хипотеза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да включи насоки за приложение в</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МСС</w:t>
      </w:r>
      <w:r w:rsidR="0089468B" w:rsidRPr="00DE6769">
        <w:rPr>
          <w:rFonts w:eastAsia="Times New Roman" w:cs="Helvetica"/>
          <w:color w:val="575757"/>
          <w:sz w:val="24"/>
          <w:szCs w:val="24"/>
        </w:rPr>
        <w:t xml:space="preserve"> 19</w:t>
      </w:r>
      <w:r>
        <w:rPr>
          <w:rFonts w:eastAsia="Times New Roman" w:cs="Helvetica"/>
          <w:color w:val="575757"/>
          <w:sz w:val="24"/>
          <w:szCs w:val="24"/>
          <w:lang w:val="bg-BG"/>
        </w:rPr>
        <w:t>, за да поясни как предприятието използва преценката си, за да определи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при конкретните обстоятелства на съответното предприятие</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уместността на информацията, която Съветът в порядък на работна хипотеза реши да включи</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Тринадесет</w:t>
      </w:r>
      <w:r w:rsidR="007B3430">
        <w:rPr>
          <w:rFonts w:eastAsia="Times New Roman" w:cs="Helvetica"/>
          <w:color w:val="575757"/>
          <w:sz w:val="24"/>
          <w:szCs w:val="24"/>
        </w:rPr>
        <w:t xml:space="preserve"> от четиринадесетте членове на Съвета изразиха съгласие</w:t>
      </w:r>
      <w:r w:rsidR="007B3430" w:rsidRPr="00DE6769">
        <w:rPr>
          <w:rFonts w:eastAsia="Times New Roman" w:cs="Helvetica"/>
          <w:color w:val="575757"/>
          <w:sz w:val="24"/>
          <w:szCs w:val="24"/>
        </w:rPr>
        <w:t xml:space="preserve"> </w:t>
      </w:r>
      <w:r w:rsidR="007B3430">
        <w:rPr>
          <w:rFonts w:eastAsia="Times New Roman" w:cs="Helvetica"/>
          <w:color w:val="575757"/>
          <w:sz w:val="24"/>
          <w:szCs w:val="24"/>
          <w:lang w:val="bg-BG"/>
        </w:rPr>
        <w:t>с това решение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lang w:val="bg-BG"/>
        </w:rPr>
        <w:t>Един от членовете отсъстваше</w:t>
      </w:r>
      <w:r w:rsidR="007B3430">
        <w:rPr>
          <w:rFonts w:eastAsia="Times New Roman" w:cs="Helvetica"/>
          <w:color w:val="575757"/>
          <w:sz w:val="24"/>
          <w:szCs w:val="24"/>
        </w:rPr>
        <w:t>.</w:t>
      </w:r>
    </w:p>
    <w:p w:rsidR="0089468B" w:rsidRPr="00DE6769" w:rsidRDefault="0007007D" w:rsidP="0089468B">
      <w:pPr>
        <w:shd w:val="clear" w:color="auto" w:fill="FFFFFF"/>
        <w:spacing w:before="300" w:after="150" w:line="240" w:lineRule="auto"/>
        <w:outlineLvl w:val="2"/>
        <w:rPr>
          <w:rFonts w:eastAsia="Times New Roman" w:cs="Helvetica"/>
          <w:b/>
          <w:bCs/>
          <w:color w:val="333333"/>
          <w:sz w:val="24"/>
          <w:szCs w:val="24"/>
        </w:rPr>
      </w:pPr>
      <w:r w:rsidRPr="0007007D">
        <w:rPr>
          <w:rFonts w:eastAsia="Times New Roman" w:cs="Helvetica"/>
          <w:b/>
          <w:bCs/>
          <w:i/>
          <w:iCs/>
          <w:color w:val="333333"/>
          <w:sz w:val="27"/>
          <w:szCs w:val="27"/>
          <w:lang w:val="bg-BG"/>
        </w:rPr>
        <w:t>Съпоставка между</w:t>
      </w:r>
      <w:r w:rsidRPr="0007007D">
        <w:rPr>
          <w:rFonts w:eastAsia="Times New Roman" w:cs="Helvetica"/>
          <w:b/>
          <w:bCs/>
          <w:i/>
          <w:iCs/>
          <w:color w:val="333333"/>
          <w:sz w:val="27"/>
          <w:szCs w:val="27"/>
        </w:rPr>
        <w:t xml:space="preserve"> </w:t>
      </w:r>
      <w:r w:rsidRPr="0007007D">
        <w:rPr>
          <w:rFonts w:eastAsia="Times New Roman" w:cs="Helvetica"/>
          <w:b/>
          <w:bCs/>
          <w:i/>
          <w:iCs/>
          <w:color w:val="333333"/>
          <w:sz w:val="27"/>
          <w:szCs w:val="27"/>
          <w:lang w:val="bg-BG"/>
        </w:rPr>
        <w:t xml:space="preserve">взетите в порядък на работна хипотеза решения на Съвета </w:t>
      </w:r>
      <w:r>
        <w:rPr>
          <w:rFonts w:eastAsia="Times New Roman" w:cs="Helvetica"/>
          <w:b/>
          <w:bCs/>
          <w:i/>
          <w:iCs/>
          <w:color w:val="333333"/>
          <w:sz w:val="27"/>
          <w:szCs w:val="27"/>
          <w:lang w:val="bg-BG"/>
        </w:rPr>
        <w:t>и изискванията за оповестяване в</w:t>
      </w:r>
      <w:r w:rsidRPr="0007007D">
        <w:rPr>
          <w:rFonts w:eastAsia="Times New Roman" w:cs="Helvetica"/>
          <w:b/>
          <w:bCs/>
          <w:i/>
          <w:iCs/>
          <w:color w:val="333333"/>
          <w:sz w:val="27"/>
          <w:szCs w:val="27"/>
        </w:rPr>
        <w:t xml:space="preserve"> МСС 19 </w:t>
      </w:r>
      <w:r w:rsidRPr="0007007D">
        <w:rPr>
          <w:rFonts w:eastAsia="Times New Roman" w:cs="Helvetica"/>
          <w:b/>
          <w:bCs/>
          <w:i/>
          <w:iCs/>
          <w:color w:val="333333"/>
          <w:sz w:val="27"/>
          <w:szCs w:val="27"/>
          <w:lang w:val="bg-BG"/>
        </w:rPr>
        <w:t>Доходи на наети лица</w:t>
      </w:r>
      <w:r w:rsidRPr="0007007D">
        <w:rPr>
          <w:rFonts w:eastAsia="Times New Roman" w:cs="Helvetica"/>
          <w:b/>
          <w:bCs/>
          <w:i/>
          <w:iCs/>
          <w:color w:val="333333"/>
          <w:sz w:val="27"/>
          <w:szCs w:val="27"/>
        </w:rPr>
        <w:t> </w:t>
      </w:r>
      <w:r w:rsidRPr="00DE6769">
        <w:rPr>
          <w:rFonts w:eastAsia="Times New Roman" w:cs="Helvetica"/>
          <w:b/>
          <w:bCs/>
          <w:color w:val="333333"/>
          <w:sz w:val="24"/>
          <w:szCs w:val="24"/>
        </w:rPr>
        <w:t xml:space="preserve"> </w:t>
      </w:r>
      <w:r w:rsidR="0089468B" w:rsidRPr="00DE6769">
        <w:rPr>
          <w:rFonts w:eastAsia="Times New Roman" w:cs="Helvetica"/>
          <w:b/>
          <w:bCs/>
          <w:color w:val="333333"/>
          <w:sz w:val="24"/>
          <w:szCs w:val="24"/>
        </w:rPr>
        <w:t>(</w:t>
      </w:r>
      <w:r w:rsidR="00DE6769">
        <w:rPr>
          <w:rFonts w:eastAsia="Times New Roman" w:cs="Helvetica"/>
          <w:b/>
          <w:bCs/>
          <w:color w:val="333333"/>
          <w:sz w:val="24"/>
          <w:szCs w:val="24"/>
        </w:rPr>
        <w:t>Документ по програмата</w:t>
      </w:r>
      <w:r w:rsidR="0089468B" w:rsidRPr="00DE6769">
        <w:rPr>
          <w:rFonts w:eastAsia="Times New Roman" w:cs="Helvetica"/>
          <w:b/>
          <w:bCs/>
          <w:color w:val="333333"/>
          <w:sz w:val="24"/>
          <w:szCs w:val="24"/>
        </w:rPr>
        <w:t xml:space="preserve"> 11</w:t>
      </w:r>
      <w:r>
        <w:rPr>
          <w:rFonts w:eastAsia="Times New Roman" w:cs="Helvetica"/>
          <w:b/>
          <w:bCs/>
          <w:color w:val="333333"/>
          <w:sz w:val="24"/>
          <w:szCs w:val="24"/>
          <w:lang w:val="bg-BG"/>
        </w:rPr>
        <w:t>Б</w:t>
      </w:r>
      <w:r w:rsidR="0089468B" w:rsidRPr="00DE6769">
        <w:rPr>
          <w:rFonts w:eastAsia="Times New Roman" w:cs="Helvetica"/>
          <w:b/>
          <w:bCs/>
          <w:color w:val="333333"/>
          <w:sz w:val="24"/>
          <w:szCs w:val="24"/>
        </w:rPr>
        <w:t>)</w:t>
      </w:r>
    </w:p>
    <w:p w:rsidR="0089468B" w:rsidRPr="00DE6769" w:rsidRDefault="0007007D"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разгледа въпроса как взетите от него в порядък на работна хипотеза решения относно оповестяванията в МСС 19 се съотнасят към</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изискванията за оповестяване в стандарта и дали тези неокончателни решения следва да бъдат прецизирани</w:t>
      </w:r>
      <w:r w:rsidR="0089468B" w:rsidRPr="00DE6769">
        <w:rPr>
          <w:rFonts w:eastAsia="Times New Roman" w:cs="Helvetica"/>
          <w:color w:val="575757"/>
          <w:sz w:val="24"/>
          <w:szCs w:val="24"/>
        </w:rPr>
        <w:t>.</w:t>
      </w:r>
    </w:p>
    <w:p w:rsidR="0089468B" w:rsidRPr="00DE6769" w:rsidRDefault="0007007D"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По отношение на плановете за дефинирани доходи</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w:t>
      </w:r>
    </w:p>
    <w:p w:rsidR="0089468B" w:rsidRPr="00DE6769" w:rsidRDefault="0007007D" w:rsidP="0089468B">
      <w:pPr>
        <w:numPr>
          <w:ilvl w:val="0"/>
          <w:numId w:val="10"/>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остави без промяна неокончателните си решения във връзка със специфичните цели на оповестяванията относно</w:t>
      </w:r>
      <w:r w:rsidR="0089468B" w:rsidRPr="00DE6769">
        <w:rPr>
          <w:rFonts w:eastAsia="Times New Roman" w:cs="Helvetica"/>
          <w:color w:val="575757"/>
          <w:sz w:val="24"/>
          <w:szCs w:val="24"/>
        </w:rPr>
        <w:t>:</w:t>
      </w:r>
    </w:p>
    <w:p w:rsidR="0089468B" w:rsidRPr="00DE6769" w:rsidRDefault="0007007D" w:rsidP="0089468B">
      <w:pPr>
        <w:numPr>
          <w:ilvl w:val="1"/>
          <w:numId w:val="10"/>
        </w:numPr>
        <w:shd w:val="clear" w:color="auto" w:fill="FFFFFF"/>
        <w:spacing w:before="75" w:after="75" w:line="240" w:lineRule="auto"/>
        <w:ind w:left="1215"/>
        <w:rPr>
          <w:rFonts w:eastAsia="Times New Roman" w:cs="Helvetica"/>
          <w:color w:val="575757"/>
          <w:sz w:val="24"/>
          <w:szCs w:val="24"/>
        </w:rPr>
      </w:pPr>
      <w:proofErr w:type="gramStart"/>
      <w:r>
        <w:rPr>
          <w:rFonts w:eastAsia="Times New Roman" w:cs="Helvetica"/>
          <w:color w:val="575757"/>
          <w:sz w:val="24"/>
          <w:szCs w:val="24"/>
          <w:lang w:val="bg-BG"/>
        </w:rPr>
        <w:t>суми</w:t>
      </w:r>
      <w:r w:rsidR="00EF2F6C">
        <w:rPr>
          <w:rFonts w:eastAsia="Times New Roman" w:cs="Helvetica"/>
          <w:color w:val="575757"/>
          <w:sz w:val="24"/>
          <w:szCs w:val="24"/>
          <w:lang w:val="bg-BG"/>
        </w:rPr>
        <w:t>те</w:t>
      </w:r>
      <w:proofErr w:type="gramEnd"/>
      <w:r>
        <w:rPr>
          <w:rFonts w:eastAsia="Times New Roman" w:cs="Helvetica"/>
          <w:color w:val="575757"/>
          <w:sz w:val="24"/>
          <w:szCs w:val="24"/>
          <w:lang w:val="bg-BG"/>
        </w:rPr>
        <w:t xml:space="preserve"> в основните финансови отчети</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Тринадесет</w:t>
      </w:r>
      <w:r w:rsidR="007B3430">
        <w:rPr>
          <w:rFonts w:eastAsia="Times New Roman" w:cs="Helvetica"/>
          <w:color w:val="575757"/>
          <w:sz w:val="24"/>
          <w:szCs w:val="24"/>
        </w:rPr>
        <w:t xml:space="preserve"> от четиринадесетте членове на Съвета изразиха съгласие</w:t>
      </w:r>
      <w:r w:rsidR="007B3430" w:rsidRPr="00DE6769">
        <w:rPr>
          <w:rFonts w:eastAsia="Times New Roman" w:cs="Helvetica"/>
          <w:color w:val="575757"/>
          <w:sz w:val="24"/>
          <w:szCs w:val="24"/>
        </w:rPr>
        <w:t xml:space="preserve"> </w:t>
      </w:r>
      <w:r w:rsidR="007B3430">
        <w:rPr>
          <w:rFonts w:eastAsia="Times New Roman" w:cs="Helvetica"/>
          <w:color w:val="575757"/>
          <w:sz w:val="24"/>
          <w:szCs w:val="24"/>
          <w:lang w:val="bg-BG"/>
        </w:rPr>
        <w:t>с това решение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lang w:val="bg-BG"/>
        </w:rPr>
        <w:t>Един от членовете отсъстваше</w:t>
      </w:r>
      <w:r w:rsidR="0089468B" w:rsidRPr="00DE6769">
        <w:rPr>
          <w:rFonts w:eastAsia="Times New Roman" w:cs="Helvetica"/>
          <w:color w:val="575757"/>
          <w:sz w:val="24"/>
          <w:szCs w:val="24"/>
        </w:rPr>
        <w:t>.</w:t>
      </w:r>
    </w:p>
    <w:p w:rsidR="0089468B" w:rsidRPr="00DE6769" w:rsidRDefault="0007007D" w:rsidP="0089468B">
      <w:pPr>
        <w:numPr>
          <w:ilvl w:val="1"/>
          <w:numId w:val="10"/>
        </w:numPr>
        <w:shd w:val="clear" w:color="auto" w:fill="FFFFFF"/>
        <w:spacing w:before="75" w:after="75" w:line="240" w:lineRule="auto"/>
        <w:ind w:left="1215"/>
        <w:rPr>
          <w:rFonts w:eastAsia="Times New Roman" w:cs="Helvetica"/>
          <w:color w:val="575757"/>
          <w:sz w:val="24"/>
          <w:szCs w:val="24"/>
        </w:rPr>
      </w:pPr>
      <w:proofErr w:type="gramStart"/>
      <w:r>
        <w:rPr>
          <w:rFonts w:eastAsia="Times New Roman" w:cs="Helvetica"/>
          <w:color w:val="575757"/>
          <w:sz w:val="24"/>
          <w:szCs w:val="24"/>
          <w:lang w:val="bg-BG"/>
        </w:rPr>
        <w:t>очаквани</w:t>
      </w:r>
      <w:r w:rsidR="00EF2F6C">
        <w:rPr>
          <w:rFonts w:eastAsia="Times New Roman" w:cs="Helvetica"/>
          <w:color w:val="575757"/>
          <w:sz w:val="24"/>
          <w:szCs w:val="24"/>
          <w:lang w:val="bg-BG"/>
        </w:rPr>
        <w:t>те</w:t>
      </w:r>
      <w:proofErr w:type="gramEnd"/>
      <w:r>
        <w:rPr>
          <w:rFonts w:eastAsia="Times New Roman" w:cs="Helvetica"/>
          <w:color w:val="575757"/>
          <w:sz w:val="24"/>
          <w:szCs w:val="24"/>
          <w:lang w:val="bg-BG"/>
        </w:rPr>
        <w:t xml:space="preserve"> бъдещи парични потоци, произтичащи от</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задължението за дефинирани доходи</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Тринадесет</w:t>
      </w:r>
      <w:r w:rsidR="007B3430">
        <w:rPr>
          <w:rFonts w:eastAsia="Times New Roman" w:cs="Helvetica"/>
          <w:color w:val="575757"/>
          <w:sz w:val="24"/>
          <w:szCs w:val="24"/>
        </w:rPr>
        <w:t xml:space="preserve"> от четиринадесетте членове на Съвета изразиха съгласие</w:t>
      </w:r>
      <w:r w:rsidR="007B3430" w:rsidRPr="00DE6769">
        <w:rPr>
          <w:rFonts w:eastAsia="Times New Roman" w:cs="Helvetica"/>
          <w:color w:val="575757"/>
          <w:sz w:val="24"/>
          <w:szCs w:val="24"/>
        </w:rPr>
        <w:t xml:space="preserve"> </w:t>
      </w:r>
      <w:r w:rsidR="007B3430">
        <w:rPr>
          <w:rFonts w:eastAsia="Times New Roman" w:cs="Helvetica"/>
          <w:color w:val="575757"/>
          <w:sz w:val="24"/>
          <w:szCs w:val="24"/>
          <w:lang w:val="bg-BG"/>
        </w:rPr>
        <w:t>с това решение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lang w:val="bg-BG"/>
        </w:rPr>
        <w:t>Един от членовете отсъстваше</w:t>
      </w:r>
      <w:r w:rsidR="0089468B" w:rsidRPr="00DE6769">
        <w:rPr>
          <w:rFonts w:eastAsia="Times New Roman" w:cs="Helvetica"/>
          <w:color w:val="575757"/>
          <w:sz w:val="24"/>
          <w:szCs w:val="24"/>
        </w:rPr>
        <w:t>.</w:t>
      </w:r>
    </w:p>
    <w:p w:rsidR="0089468B" w:rsidRPr="00DE6769" w:rsidRDefault="0007007D" w:rsidP="0089468B">
      <w:pPr>
        <w:numPr>
          <w:ilvl w:val="1"/>
          <w:numId w:val="10"/>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периода от време, в продължение на който плащания към закрити планове ще продължават да бъдат извършвани</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Единадесет</w:t>
      </w:r>
      <w:r w:rsidR="007B3430">
        <w:rPr>
          <w:rFonts w:eastAsia="Times New Roman" w:cs="Helvetica"/>
          <w:color w:val="575757"/>
          <w:sz w:val="24"/>
          <w:szCs w:val="24"/>
        </w:rPr>
        <w:t xml:space="preserve"> от четиринадесетте членове на Съвета изразиха съгласие</w:t>
      </w:r>
      <w:r w:rsidR="007B3430">
        <w:rPr>
          <w:rFonts w:eastAsia="Times New Roman" w:cs="Helvetica"/>
          <w:color w:val="575757"/>
          <w:sz w:val="24"/>
          <w:szCs w:val="24"/>
          <w:lang w:val="bg-BG"/>
        </w:rPr>
        <w:t>, а двама - несъгласие</w:t>
      </w:r>
      <w:r w:rsidR="007B3430" w:rsidRPr="00DE6769">
        <w:rPr>
          <w:rFonts w:eastAsia="Times New Roman" w:cs="Helvetica"/>
          <w:color w:val="575757"/>
          <w:sz w:val="24"/>
          <w:szCs w:val="24"/>
        </w:rPr>
        <w:t xml:space="preserve"> </w:t>
      </w:r>
      <w:r w:rsidR="007B3430">
        <w:rPr>
          <w:rFonts w:eastAsia="Times New Roman" w:cs="Helvetica"/>
          <w:color w:val="575757"/>
          <w:sz w:val="24"/>
          <w:szCs w:val="24"/>
          <w:lang w:val="bg-BG"/>
        </w:rPr>
        <w:t>с това решение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lang w:val="bg-BG"/>
        </w:rPr>
        <w:t>Един от членовете отсъстваше</w:t>
      </w:r>
      <w:r w:rsidR="007B3430">
        <w:rPr>
          <w:rFonts w:eastAsia="Times New Roman" w:cs="Helvetica"/>
          <w:color w:val="575757"/>
          <w:sz w:val="24"/>
          <w:szCs w:val="24"/>
        </w:rPr>
        <w:t>.</w:t>
      </w:r>
    </w:p>
    <w:p w:rsidR="0089468B" w:rsidRPr="00DE6769" w:rsidRDefault="0007007D" w:rsidP="0089468B">
      <w:pPr>
        <w:numPr>
          <w:ilvl w:val="1"/>
          <w:numId w:val="10"/>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съществените актюерски предположения, които предприятието използва, за да определи задължението за дефинирани доходи</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Единадесет</w:t>
      </w:r>
      <w:r w:rsidR="007B3430">
        <w:rPr>
          <w:rFonts w:eastAsia="Times New Roman" w:cs="Helvetica"/>
          <w:color w:val="575757"/>
          <w:sz w:val="24"/>
          <w:szCs w:val="24"/>
        </w:rPr>
        <w:t xml:space="preserve"> от </w:t>
      </w:r>
      <w:r w:rsidR="007B3430">
        <w:rPr>
          <w:rFonts w:eastAsia="Times New Roman" w:cs="Helvetica"/>
          <w:color w:val="575757"/>
          <w:sz w:val="24"/>
          <w:szCs w:val="24"/>
        </w:rPr>
        <w:lastRenderedPageBreak/>
        <w:t>четиринадесетте членове на Съвета изразиха съгласие</w:t>
      </w:r>
      <w:r w:rsidR="007B3430">
        <w:rPr>
          <w:rFonts w:eastAsia="Times New Roman" w:cs="Helvetica"/>
          <w:color w:val="575757"/>
          <w:sz w:val="24"/>
          <w:szCs w:val="24"/>
          <w:lang w:val="bg-BG"/>
        </w:rPr>
        <w:t>, а двама - несъгласие</w:t>
      </w:r>
      <w:r w:rsidR="007B3430" w:rsidRPr="00DE6769">
        <w:rPr>
          <w:rFonts w:eastAsia="Times New Roman" w:cs="Helvetica"/>
          <w:color w:val="575757"/>
          <w:sz w:val="24"/>
          <w:szCs w:val="24"/>
        </w:rPr>
        <w:t xml:space="preserve"> </w:t>
      </w:r>
      <w:r w:rsidR="007B3430">
        <w:rPr>
          <w:rFonts w:eastAsia="Times New Roman" w:cs="Helvetica"/>
          <w:color w:val="575757"/>
          <w:sz w:val="24"/>
          <w:szCs w:val="24"/>
          <w:lang w:val="bg-BG"/>
        </w:rPr>
        <w:t>с това решение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lang w:val="bg-BG"/>
        </w:rPr>
        <w:t>Един от членовете отсъстваше</w:t>
      </w:r>
      <w:r w:rsidR="0089468B" w:rsidRPr="00DE6769">
        <w:rPr>
          <w:rFonts w:eastAsia="Times New Roman" w:cs="Helvetica"/>
          <w:color w:val="575757"/>
          <w:sz w:val="24"/>
          <w:szCs w:val="24"/>
        </w:rPr>
        <w:t>.</w:t>
      </w:r>
    </w:p>
    <w:p w:rsidR="0089468B" w:rsidRPr="00DE6769" w:rsidRDefault="0007007D" w:rsidP="0089468B">
      <w:pPr>
        <w:numPr>
          <w:ilvl w:val="0"/>
          <w:numId w:val="10"/>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по отношение на всеобхватната цел на оповестяването с висока степен на обобщеност</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да изброи качествени аспекти или характеристики, които предприятието би могло да използва, за да дезагрегира информацията относно плановете за дефинирани доходи</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Десет</w:t>
      </w:r>
      <w:r w:rsidR="007B3430">
        <w:rPr>
          <w:rFonts w:eastAsia="Times New Roman" w:cs="Helvetica"/>
          <w:color w:val="575757"/>
          <w:sz w:val="24"/>
          <w:szCs w:val="24"/>
        </w:rPr>
        <w:t xml:space="preserve"> от четиринадесетте членове на Съвета изразиха съгласие</w:t>
      </w:r>
      <w:r w:rsidR="007B3430">
        <w:rPr>
          <w:rFonts w:eastAsia="Times New Roman" w:cs="Helvetica"/>
          <w:color w:val="575757"/>
          <w:sz w:val="24"/>
          <w:szCs w:val="24"/>
          <w:lang w:val="bg-BG"/>
        </w:rPr>
        <w:t>, а трима - несъгласие</w:t>
      </w:r>
      <w:r w:rsidR="007B3430" w:rsidRPr="00DE6769">
        <w:rPr>
          <w:rFonts w:eastAsia="Times New Roman" w:cs="Helvetica"/>
          <w:color w:val="575757"/>
          <w:sz w:val="24"/>
          <w:szCs w:val="24"/>
        </w:rPr>
        <w:t xml:space="preserve"> </w:t>
      </w:r>
      <w:r w:rsidR="007B3430">
        <w:rPr>
          <w:rFonts w:eastAsia="Times New Roman" w:cs="Helvetica"/>
          <w:color w:val="575757"/>
          <w:sz w:val="24"/>
          <w:szCs w:val="24"/>
          <w:lang w:val="bg-BG"/>
        </w:rPr>
        <w:t>с това решение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lang w:val="bg-BG"/>
        </w:rPr>
        <w:t>Един от членовете отсъстваше</w:t>
      </w:r>
      <w:r w:rsidR="007B3430">
        <w:rPr>
          <w:rFonts w:eastAsia="Times New Roman" w:cs="Helvetica"/>
          <w:color w:val="575757"/>
          <w:sz w:val="24"/>
          <w:szCs w:val="24"/>
        </w:rPr>
        <w:t>.</w:t>
      </w:r>
    </w:p>
    <w:p w:rsidR="0089468B" w:rsidRPr="00DE6769" w:rsidRDefault="00CE325E" w:rsidP="0089468B">
      <w:pPr>
        <w:numPr>
          <w:ilvl w:val="0"/>
          <w:numId w:val="10"/>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идентифицира инвестиционни стратегии за съответствие с активи или пасиви</w:t>
      </w:r>
      <w:r w:rsidR="0089468B" w:rsidRPr="00DE6769">
        <w:rPr>
          <w:rFonts w:eastAsia="Times New Roman" w:cs="Helvetica"/>
          <w:color w:val="575757"/>
          <w:sz w:val="24"/>
          <w:szCs w:val="24"/>
        </w:rPr>
        <w:t xml:space="preserve"> </w:t>
      </w:r>
      <w:r w:rsidR="0007007D">
        <w:rPr>
          <w:rFonts w:eastAsia="Times New Roman" w:cs="Helvetica"/>
          <w:color w:val="575757"/>
          <w:sz w:val="24"/>
          <w:szCs w:val="24"/>
          <w:lang w:val="bg-BG"/>
        </w:rPr>
        <w:t>като пример за информацията, която предприятието може, но не е задължено да предоставя, за да изпълни специфичната цел на оповестяването относно естеството и рисковете</w:t>
      </w:r>
      <w:r>
        <w:rPr>
          <w:rFonts w:eastAsia="Times New Roman" w:cs="Helvetica"/>
          <w:color w:val="575757"/>
          <w:sz w:val="24"/>
          <w:szCs w:val="24"/>
          <w:lang w:val="bg-BG"/>
        </w:rPr>
        <w:t xml:space="preserve"> на плановете за дефинирани доходи</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Тринадесет</w:t>
      </w:r>
      <w:r w:rsidR="007B3430">
        <w:rPr>
          <w:rFonts w:eastAsia="Times New Roman" w:cs="Helvetica"/>
          <w:color w:val="575757"/>
          <w:sz w:val="24"/>
          <w:szCs w:val="24"/>
        </w:rPr>
        <w:t xml:space="preserve"> от четиринадесетте членове на Съвета изразиха съгласие</w:t>
      </w:r>
      <w:r w:rsidR="007B3430">
        <w:rPr>
          <w:rFonts w:eastAsia="Times New Roman" w:cs="Helvetica"/>
          <w:color w:val="575757"/>
          <w:sz w:val="24"/>
          <w:szCs w:val="24"/>
          <w:lang w:val="bg-BG"/>
        </w:rPr>
        <w:t xml:space="preserve"> с това решение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lang w:val="bg-BG"/>
        </w:rPr>
        <w:t>Един от членовете отсъстваше</w:t>
      </w:r>
      <w:r w:rsidR="007B3430">
        <w:rPr>
          <w:rFonts w:eastAsia="Times New Roman" w:cs="Helvetica"/>
          <w:color w:val="575757"/>
          <w:sz w:val="24"/>
          <w:szCs w:val="24"/>
        </w:rPr>
        <w:t>.</w:t>
      </w:r>
    </w:p>
    <w:p w:rsidR="0089468B" w:rsidRPr="00DE6769" w:rsidRDefault="00CE325E" w:rsidP="0089468B">
      <w:pPr>
        <w:numPr>
          <w:ilvl w:val="0"/>
          <w:numId w:val="10"/>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идентифицира информация, която предприятието може, но не е задължено да предоставя, за да изпълни специфичната цел на оповестяването относно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естеството и рисковете на плановете за дефинирани доходи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като например</w:t>
      </w:r>
      <w:r w:rsidR="0089468B" w:rsidRPr="00DE6769">
        <w:rPr>
          <w:rFonts w:eastAsia="Times New Roman" w:cs="Helvetica"/>
          <w:color w:val="575757"/>
          <w:sz w:val="24"/>
          <w:szCs w:val="24"/>
        </w:rPr>
        <w:t>:</w:t>
      </w:r>
      <w:r w:rsidR="0089468B" w:rsidRPr="00DE6769">
        <w:rPr>
          <w:rFonts w:eastAsia="Times New Roman" w:cs="Helvetica"/>
          <w:color w:val="575757"/>
          <w:sz w:val="24"/>
          <w:szCs w:val="24"/>
        </w:rPr>
        <w:br/>
      </w:r>
    </w:p>
    <w:p w:rsidR="0089468B" w:rsidRPr="00DE6769" w:rsidRDefault="00CE325E" w:rsidP="0089468B">
      <w:pPr>
        <w:numPr>
          <w:ilvl w:val="1"/>
          <w:numId w:val="10"/>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описание на измененията, съкращенията и урежданията по плановете</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CE325E" w:rsidP="0089468B">
      <w:pPr>
        <w:numPr>
          <w:ilvl w:val="1"/>
          <w:numId w:val="10"/>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справедливата стойност на собствените прехвърляеми финансови инструменти на предприятието, държани като активи на плана, и справедливата стойност на активи на плана, които представляват ползван недвижим имот или други активи, използвани от предприятието</w:t>
      </w:r>
      <w:r w:rsidR="0089468B" w:rsidRPr="00DE6769">
        <w:rPr>
          <w:rFonts w:eastAsia="Times New Roman" w:cs="Helvetica"/>
          <w:color w:val="575757"/>
          <w:sz w:val="24"/>
          <w:szCs w:val="24"/>
        </w:rPr>
        <w:t>.</w:t>
      </w:r>
    </w:p>
    <w:p w:rsidR="0089468B" w:rsidRPr="007B3430" w:rsidRDefault="007B3430" w:rsidP="0089468B">
      <w:pPr>
        <w:shd w:val="clear" w:color="auto" w:fill="FFFFFF"/>
        <w:spacing w:after="300" w:line="240" w:lineRule="auto"/>
        <w:ind w:left="495"/>
        <w:rPr>
          <w:rFonts w:eastAsia="Times New Roman" w:cs="Helvetica"/>
          <w:color w:val="575757"/>
          <w:sz w:val="24"/>
          <w:szCs w:val="24"/>
          <w:lang w:val="bg-BG"/>
        </w:rPr>
      </w:pPr>
      <w:r>
        <w:rPr>
          <w:rFonts w:eastAsia="Times New Roman" w:cs="Helvetica"/>
          <w:color w:val="575757"/>
          <w:sz w:val="24"/>
          <w:szCs w:val="24"/>
          <w:lang w:val="bg-BG"/>
        </w:rPr>
        <w:t>Тринадесет</w:t>
      </w:r>
      <w:r>
        <w:rPr>
          <w:rFonts w:eastAsia="Times New Roman" w:cs="Helvetica"/>
          <w:color w:val="575757"/>
          <w:sz w:val="24"/>
          <w:szCs w:val="24"/>
        </w:rPr>
        <w:t xml:space="preserve"> от четиринадесетте членове на Съвета изразиха съгласие</w:t>
      </w:r>
      <w:r>
        <w:rPr>
          <w:rFonts w:eastAsia="Times New Roman" w:cs="Helvetica"/>
          <w:color w:val="575757"/>
          <w:sz w:val="24"/>
          <w:szCs w:val="24"/>
          <w:lang w:val="bg-BG"/>
        </w:rPr>
        <w:t xml:space="preserve"> с това решение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lang w:val="bg-BG"/>
        </w:rPr>
        <w:t>Един от членовете отсъстваше</w:t>
      </w:r>
      <w:r>
        <w:rPr>
          <w:rFonts w:eastAsia="Times New Roman" w:cs="Helvetica"/>
          <w:color w:val="575757"/>
          <w:sz w:val="24"/>
          <w:szCs w:val="24"/>
        </w:rPr>
        <w:t>.</w:t>
      </w:r>
    </w:p>
    <w:p w:rsidR="0089468B" w:rsidRPr="00DE6769" w:rsidRDefault="00CE325E" w:rsidP="0089468B">
      <w:pPr>
        <w:numPr>
          <w:ilvl w:val="0"/>
          <w:numId w:val="10"/>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измени специфичната цел на оповестяването и информацията относно факторите за промяна в нетния пасив или актив на плана за дефинирани доходи, която би могла да изпълни целта, за да</w:t>
      </w:r>
      <w:r w:rsidR="0089468B" w:rsidRPr="00DE6769">
        <w:rPr>
          <w:rFonts w:eastAsia="Times New Roman" w:cs="Helvetica"/>
          <w:color w:val="575757"/>
          <w:sz w:val="24"/>
          <w:szCs w:val="24"/>
        </w:rPr>
        <w:t>:</w:t>
      </w:r>
    </w:p>
    <w:p w:rsidR="0089468B" w:rsidRPr="00DE6769" w:rsidRDefault="00CE325E" w:rsidP="0089468B">
      <w:pPr>
        <w:numPr>
          <w:ilvl w:val="1"/>
          <w:numId w:val="10"/>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изисква предприятието да оповестява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таблично равнение</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на основните фактори за промяна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в нетния пасив или актив на плана за дефинирани доходи</w:t>
      </w:r>
      <w:r w:rsidR="0089468B" w:rsidRPr="00DE6769">
        <w:rPr>
          <w:rFonts w:eastAsia="Times New Roman" w:cs="Helvetica"/>
          <w:color w:val="575757"/>
          <w:sz w:val="24"/>
          <w:szCs w:val="24"/>
        </w:rPr>
        <w:t>;</w:t>
      </w:r>
    </w:p>
    <w:p w:rsidR="0089468B" w:rsidRPr="00DE6769" w:rsidRDefault="00CE325E" w:rsidP="0089468B">
      <w:pPr>
        <w:numPr>
          <w:ilvl w:val="1"/>
          <w:numId w:val="10"/>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да включи фактори за промяна, свързани с права за възстановяване на средства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CE325E" w:rsidP="0089468B">
      <w:pPr>
        <w:numPr>
          <w:ilvl w:val="1"/>
          <w:numId w:val="10"/>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да добави три примера за фактори за промяна</w:t>
      </w:r>
      <w:r w:rsidR="0089468B" w:rsidRPr="00DE6769">
        <w:rPr>
          <w:rFonts w:eastAsia="Times New Roman" w:cs="Helvetica"/>
          <w:color w:val="575757"/>
          <w:sz w:val="24"/>
          <w:szCs w:val="24"/>
        </w:rPr>
        <w:t>—</w:t>
      </w:r>
      <w:r>
        <w:rPr>
          <w:rFonts w:eastAsia="Times New Roman" w:cs="Helvetica"/>
          <w:color w:val="575757"/>
          <w:sz w:val="24"/>
          <w:szCs w:val="24"/>
          <w:lang w:val="bg-BG"/>
        </w:rPr>
        <w:t>лихвени приходи или разходи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промени в ефекта от ограничаване на нетния актив по план за дефинирани доходи до тавана на актива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 печалби и загуби от уреждане</w:t>
      </w:r>
      <w:r w:rsidR="0089468B" w:rsidRPr="00DE6769">
        <w:rPr>
          <w:rFonts w:eastAsia="Times New Roman" w:cs="Helvetica"/>
          <w:color w:val="575757"/>
          <w:sz w:val="24"/>
          <w:szCs w:val="24"/>
        </w:rPr>
        <w:t>.</w:t>
      </w:r>
    </w:p>
    <w:p w:rsidR="0089468B" w:rsidRPr="00DE6769" w:rsidRDefault="007B3430" w:rsidP="0089468B">
      <w:pPr>
        <w:shd w:val="clear" w:color="auto" w:fill="FFFFFF"/>
        <w:spacing w:after="300" w:line="240" w:lineRule="auto"/>
        <w:ind w:left="495"/>
        <w:rPr>
          <w:rFonts w:eastAsia="Times New Roman" w:cs="Helvetica"/>
          <w:color w:val="575757"/>
          <w:sz w:val="24"/>
          <w:szCs w:val="24"/>
        </w:rPr>
      </w:pPr>
      <w:r>
        <w:rPr>
          <w:rFonts w:eastAsia="Times New Roman" w:cs="Helvetica"/>
          <w:color w:val="575757"/>
          <w:sz w:val="24"/>
          <w:szCs w:val="24"/>
          <w:lang w:val="bg-BG"/>
        </w:rPr>
        <w:t>Дванадесет</w:t>
      </w:r>
      <w:r>
        <w:rPr>
          <w:rFonts w:eastAsia="Times New Roman" w:cs="Helvetica"/>
          <w:color w:val="575757"/>
          <w:sz w:val="24"/>
          <w:szCs w:val="24"/>
        </w:rPr>
        <w:t xml:space="preserve"> от четиринадесетте членове на Съвета изразиха съгласие</w:t>
      </w:r>
      <w:r>
        <w:rPr>
          <w:rFonts w:eastAsia="Times New Roman" w:cs="Helvetica"/>
          <w:color w:val="575757"/>
          <w:sz w:val="24"/>
          <w:szCs w:val="24"/>
          <w:lang w:val="bg-BG"/>
        </w:rPr>
        <w:t>, а един - несъгласие с това решение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lang w:val="bg-BG"/>
        </w:rPr>
        <w:t>Един от членовете отсъстваше</w:t>
      </w:r>
      <w:r w:rsidR="0089468B" w:rsidRPr="00DE6769">
        <w:rPr>
          <w:rFonts w:eastAsia="Times New Roman" w:cs="Helvetica"/>
          <w:color w:val="575757"/>
          <w:sz w:val="24"/>
          <w:szCs w:val="24"/>
        </w:rPr>
        <w:t>.</w:t>
      </w:r>
    </w:p>
    <w:p w:rsidR="0089468B" w:rsidRPr="007B3430" w:rsidRDefault="003D0750" w:rsidP="0089468B">
      <w:pPr>
        <w:shd w:val="clear" w:color="auto" w:fill="FFFFFF"/>
        <w:spacing w:after="300" w:line="240" w:lineRule="auto"/>
        <w:rPr>
          <w:rFonts w:eastAsia="Times New Roman" w:cs="Helvetica"/>
          <w:color w:val="575757"/>
          <w:sz w:val="24"/>
          <w:szCs w:val="24"/>
          <w:lang w:val="bg-BG"/>
        </w:rPr>
      </w:pPr>
      <w:r>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 xml:space="preserve"> </w:t>
      </w:r>
      <w:r w:rsidR="00CE325E">
        <w:rPr>
          <w:rFonts w:eastAsia="Times New Roman" w:cs="Helvetica"/>
          <w:color w:val="575757"/>
          <w:sz w:val="24"/>
          <w:szCs w:val="24"/>
          <w:lang w:val="bg-BG"/>
        </w:rPr>
        <w:t>да остави без изменение взетите от него в порядък на работна хипотеза решения относно</w:t>
      </w:r>
      <w:r w:rsidR="00CE2955">
        <w:rPr>
          <w:rFonts w:eastAsia="Times New Roman" w:cs="Helvetica"/>
          <w:color w:val="575757"/>
          <w:sz w:val="24"/>
          <w:szCs w:val="24"/>
          <w:lang w:val="bg-BG"/>
        </w:rPr>
        <w:t xml:space="preserve"> плановете с дефинирани вноски</w:t>
      </w:r>
      <w:r w:rsidR="0089468B" w:rsidRPr="00DE6769">
        <w:rPr>
          <w:rFonts w:eastAsia="Times New Roman" w:cs="Helvetica"/>
          <w:color w:val="575757"/>
          <w:sz w:val="24"/>
          <w:szCs w:val="24"/>
        </w:rPr>
        <w:t xml:space="preserve">, </w:t>
      </w:r>
      <w:r w:rsidR="00CE2955">
        <w:rPr>
          <w:rFonts w:eastAsia="Times New Roman" w:cs="Helvetica"/>
          <w:color w:val="575757"/>
          <w:sz w:val="24"/>
          <w:szCs w:val="24"/>
          <w:lang w:val="bg-BG"/>
        </w:rPr>
        <w:t>краткосрочни доходи на наети лица</w:t>
      </w:r>
      <w:r w:rsidR="0089468B" w:rsidRPr="00DE6769">
        <w:rPr>
          <w:rFonts w:eastAsia="Times New Roman" w:cs="Helvetica"/>
          <w:color w:val="575757"/>
          <w:sz w:val="24"/>
          <w:szCs w:val="24"/>
        </w:rPr>
        <w:t xml:space="preserve">, </w:t>
      </w:r>
      <w:r w:rsidR="00CE2955">
        <w:rPr>
          <w:rFonts w:eastAsia="Times New Roman" w:cs="Helvetica"/>
          <w:color w:val="575757"/>
          <w:sz w:val="24"/>
          <w:szCs w:val="24"/>
          <w:lang w:val="bg-BG"/>
        </w:rPr>
        <w:t xml:space="preserve">други дългосрочни доходи на наети лица и доходи </w:t>
      </w:r>
      <w:r w:rsidR="00CE2955">
        <w:rPr>
          <w:rFonts w:eastAsia="Times New Roman" w:cs="Helvetica"/>
          <w:color w:val="575757"/>
          <w:sz w:val="24"/>
          <w:szCs w:val="24"/>
          <w:lang w:val="bg-BG"/>
        </w:rPr>
        <w:lastRenderedPageBreak/>
        <w:t>при прекратяване на трудовото правоотношение</w:t>
      </w:r>
      <w:r w:rsidR="0089468B" w:rsidRPr="00DE6769">
        <w:rPr>
          <w:rFonts w:eastAsia="Times New Roman" w:cs="Helvetica"/>
          <w:color w:val="575757"/>
          <w:sz w:val="24"/>
          <w:szCs w:val="24"/>
        </w:rPr>
        <w:t xml:space="preserve">. </w:t>
      </w:r>
      <w:r w:rsidR="007B3430">
        <w:rPr>
          <w:rFonts w:eastAsia="Times New Roman" w:cs="Helvetica"/>
          <w:color w:val="575757"/>
          <w:sz w:val="24"/>
          <w:szCs w:val="24"/>
          <w:lang w:val="bg-BG"/>
        </w:rPr>
        <w:t>Тринадесет</w:t>
      </w:r>
      <w:r w:rsidR="007B3430">
        <w:rPr>
          <w:rFonts w:eastAsia="Times New Roman" w:cs="Helvetica"/>
          <w:color w:val="575757"/>
          <w:sz w:val="24"/>
          <w:szCs w:val="24"/>
        </w:rPr>
        <w:t xml:space="preserve"> от четиринадесетте членове на Съвета изразиха съгласие</w:t>
      </w:r>
      <w:r w:rsidR="007B3430">
        <w:rPr>
          <w:rFonts w:eastAsia="Times New Roman" w:cs="Helvetica"/>
          <w:color w:val="575757"/>
          <w:sz w:val="24"/>
          <w:szCs w:val="24"/>
          <w:lang w:val="bg-BG"/>
        </w:rPr>
        <w:t xml:space="preserve"> с тези решения</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Един от членовете отсъстваше</w:t>
      </w:r>
      <w:r w:rsidR="007B3430">
        <w:rPr>
          <w:rFonts w:eastAsia="Times New Roman" w:cs="Helvetica"/>
          <w:color w:val="575757"/>
          <w:sz w:val="24"/>
          <w:szCs w:val="24"/>
        </w:rPr>
        <w:t>.</w:t>
      </w:r>
    </w:p>
    <w:p w:rsidR="0089468B" w:rsidRPr="00DE6769" w:rsidRDefault="00CE2955"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По отношение на плановете с множество работодатели</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да идентифицира информация, която предприятието може, но не е задължено да предоставя, за да изпълни специфичната цел на оповестяването относно</w:t>
      </w:r>
      <w:r w:rsidRPr="00DE6769">
        <w:rPr>
          <w:rFonts w:eastAsia="Times New Roman" w:cs="Helvetica"/>
          <w:color w:val="575757"/>
          <w:sz w:val="24"/>
          <w:szCs w:val="24"/>
        </w:rPr>
        <w:t xml:space="preserve"> </w:t>
      </w:r>
      <w:r>
        <w:rPr>
          <w:rFonts w:eastAsia="Times New Roman" w:cs="Helvetica"/>
          <w:color w:val="575757"/>
          <w:sz w:val="24"/>
          <w:szCs w:val="24"/>
          <w:lang w:val="bg-BG"/>
        </w:rPr>
        <w:t>естеството и рисковете на плановете за дефинирани доходи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а именно</w:t>
      </w:r>
      <w:r w:rsidR="0089468B" w:rsidRPr="00DE6769">
        <w:rPr>
          <w:rFonts w:eastAsia="Times New Roman" w:cs="Helvetica"/>
          <w:color w:val="575757"/>
          <w:sz w:val="24"/>
          <w:szCs w:val="24"/>
        </w:rPr>
        <w:t>:</w:t>
      </w:r>
    </w:p>
    <w:p w:rsidR="0089468B" w:rsidRPr="00DE6769" w:rsidRDefault="00CE2955" w:rsidP="0089468B">
      <w:pPr>
        <w:numPr>
          <w:ilvl w:val="0"/>
          <w:numId w:val="11"/>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по отношение на всички планове с дефинирани доходи на множество работодатели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описание на договореното разпределяне на дефицит или излишък при приключване на плана или при оттегляне на предприятието от плана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CE2955" w:rsidP="0089468B">
      <w:pPr>
        <w:numPr>
          <w:ilvl w:val="0"/>
          <w:numId w:val="11"/>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по отношение на план с дефинирани доходи на множество работодатели, отчитан счетоводно като план с дефинирани вноски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 xml:space="preserve">факта, че планът е план с </w:t>
      </w:r>
      <w:r w:rsidR="00282A7F">
        <w:rPr>
          <w:rFonts w:eastAsia="Times New Roman" w:cs="Helvetica"/>
          <w:color w:val="575757"/>
          <w:sz w:val="24"/>
          <w:szCs w:val="24"/>
          <w:lang w:val="bg-BG"/>
        </w:rPr>
        <w:t>дефинирани</w:t>
      </w:r>
      <w:r>
        <w:rPr>
          <w:rFonts w:eastAsia="Times New Roman" w:cs="Helvetica"/>
          <w:color w:val="575757"/>
          <w:sz w:val="24"/>
          <w:szCs w:val="24"/>
          <w:lang w:val="bg-BG"/>
        </w:rPr>
        <w:t xml:space="preserve"> доходи и информация за всеки дефицит или излишък в плана, който би могъл да окаже влияние върху сумата на бъдещите вноски, които трябва да бъдат платени от предприятието</w:t>
      </w:r>
      <w:r w:rsidR="0089468B" w:rsidRPr="00DE6769">
        <w:rPr>
          <w:rFonts w:eastAsia="Times New Roman" w:cs="Helvetica"/>
          <w:color w:val="575757"/>
          <w:sz w:val="24"/>
          <w:szCs w:val="24"/>
        </w:rPr>
        <w:t>.</w:t>
      </w:r>
    </w:p>
    <w:p w:rsidR="0089468B" w:rsidRPr="00DE6769" w:rsidRDefault="007B343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Тринадесет</w:t>
      </w:r>
      <w:r>
        <w:rPr>
          <w:rFonts w:eastAsia="Times New Roman" w:cs="Helvetica"/>
          <w:color w:val="575757"/>
          <w:sz w:val="24"/>
          <w:szCs w:val="24"/>
        </w:rPr>
        <w:t xml:space="preserve"> от четиринадесетте членове на Съвета изразиха съгласие</w:t>
      </w:r>
      <w:r>
        <w:rPr>
          <w:rFonts w:eastAsia="Times New Roman" w:cs="Helvetica"/>
          <w:color w:val="575757"/>
          <w:sz w:val="24"/>
          <w:szCs w:val="24"/>
          <w:lang w:val="bg-BG"/>
        </w:rPr>
        <w:t xml:space="preserve"> с тези решения</w:t>
      </w:r>
      <w:r w:rsidR="0089468B" w:rsidRPr="00DE6769">
        <w:rPr>
          <w:rFonts w:eastAsia="Times New Roman" w:cs="Helvetica"/>
          <w:color w:val="575757"/>
          <w:sz w:val="24"/>
          <w:szCs w:val="24"/>
        </w:rPr>
        <w:t xml:space="preserve">. </w:t>
      </w:r>
      <w:r w:rsidR="003D0750">
        <w:rPr>
          <w:rFonts w:eastAsia="Times New Roman" w:cs="Helvetica"/>
          <w:color w:val="575757"/>
          <w:sz w:val="24"/>
          <w:szCs w:val="24"/>
          <w:lang w:val="bg-BG"/>
        </w:rPr>
        <w:t>Един от членовете отсъстваше</w:t>
      </w:r>
      <w:r w:rsidR="0089468B" w:rsidRPr="00DE6769">
        <w:rPr>
          <w:rFonts w:eastAsia="Times New Roman" w:cs="Helvetica"/>
          <w:color w:val="575757"/>
          <w:sz w:val="24"/>
          <w:szCs w:val="24"/>
        </w:rPr>
        <w:t>.</w:t>
      </w:r>
    </w:p>
    <w:p w:rsidR="0089468B" w:rsidRPr="00DE6769" w:rsidRDefault="00282A7F"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По отношение на планове на група</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Съветът реши в порядък на работна хипотеза</w:t>
      </w:r>
      <w:r>
        <w:rPr>
          <w:rFonts w:eastAsia="Times New Roman" w:cs="Helvetica"/>
          <w:color w:val="575757"/>
          <w:sz w:val="24"/>
          <w:szCs w:val="24"/>
          <w:lang w:val="bg-BG"/>
        </w:rPr>
        <w:t>, че</w:t>
      </w:r>
      <w:r w:rsidR="0089468B" w:rsidRPr="00DE6769">
        <w:rPr>
          <w:rFonts w:eastAsia="Times New Roman" w:cs="Helvetica"/>
          <w:color w:val="575757"/>
          <w:sz w:val="24"/>
          <w:szCs w:val="24"/>
        </w:rPr>
        <w:t>:</w:t>
      </w:r>
    </w:p>
    <w:p w:rsidR="0089468B" w:rsidRPr="00DE6769" w:rsidRDefault="00282A7F" w:rsidP="0089468B">
      <w:pPr>
        <w:numPr>
          <w:ilvl w:val="0"/>
          <w:numId w:val="12"/>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по отношение на план на група, отчитан счетоводно като план с дефинирани доходи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предприятието може, но не е задължено да оповестява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договореното споразумение или декларирана политика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за отнасяне на нетните разходи по плана за дефинирани доходи към отделни предприятия от групата, за да се изпълни специфичната цел на оповестяването относно сумите в основните финансови отчети, произтичащи от планове за дефинирани доходи през периода</w:t>
      </w:r>
      <w:r w:rsidR="0089468B" w:rsidRPr="00DE6769">
        <w:rPr>
          <w:rFonts w:eastAsia="Times New Roman" w:cs="Helvetica"/>
          <w:color w:val="575757"/>
          <w:sz w:val="24"/>
          <w:szCs w:val="24"/>
        </w:rPr>
        <w:t>;</w:t>
      </w:r>
    </w:p>
    <w:p w:rsidR="0089468B" w:rsidRPr="00DE6769" w:rsidRDefault="00282A7F" w:rsidP="0089468B">
      <w:pPr>
        <w:numPr>
          <w:ilvl w:val="0"/>
          <w:numId w:val="12"/>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по отношение на план на група, отчитан счетоводно като план с дефинирани вноски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предприятието може, но не е задължено да оповестява</w:t>
      </w:r>
      <w:r w:rsidRPr="00DE6769">
        <w:rPr>
          <w:rFonts w:eastAsia="Times New Roman" w:cs="Helvetica"/>
          <w:color w:val="575757"/>
          <w:sz w:val="24"/>
          <w:szCs w:val="24"/>
        </w:rPr>
        <w:t xml:space="preserve"> </w:t>
      </w:r>
      <w:r>
        <w:rPr>
          <w:rFonts w:eastAsia="Times New Roman" w:cs="Helvetica"/>
          <w:color w:val="575757"/>
          <w:sz w:val="24"/>
          <w:szCs w:val="24"/>
          <w:lang w:val="bg-BG"/>
        </w:rPr>
        <w:t>дефицит или излишък по плана, който би могъл да окаже влияние върху сумата на бъдещите вноски, които трябва да бъдат платени от предприятието, за да се изпълни специфичната цел на оповестяването относно естеството и рисковете на планове с дефинирани доходи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282A7F" w:rsidP="0089468B">
      <w:pPr>
        <w:numPr>
          <w:ilvl w:val="0"/>
          <w:numId w:val="12"/>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предприятието може да удовлетвори целите на оповестяването чрез</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кръстосани препратки към оповестявания във финансовите отчети на друго предприятие от групата, ако финансовият отчет на това друго предприятие е на разположение на потребителите при същите условия и в същия момент, както финансовият отчет на предприятието.</w:t>
      </w:r>
    </w:p>
    <w:p w:rsidR="0089468B" w:rsidRPr="007B3430" w:rsidRDefault="007B3430" w:rsidP="0089468B">
      <w:pPr>
        <w:shd w:val="clear" w:color="auto" w:fill="FFFFFF"/>
        <w:spacing w:after="300" w:line="240" w:lineRule="auto"/>
        <w:rPr>
          <w:rFonts w:eastAsia="Times New Roman" w:cs="Helvetica"/>
          <w:color w:val="575757"/>
          <w:sz w:val="24"/>
          <w:szCs w:val="24"/>
          <w:lang w:val="bg-BG"/>
        </w:rPr>
      </w:pPr>
      <w:r>
        <w:rPr>
          <w:rFonts w:eastAsia="Times New Roman" w:cs="Helvetica"/>
          <w:color w:val="575757"/>
          <w:sz w:val="24"/>
          <w:szCs w:val="24"/>
          <w:lang w:val="bg-BG"/>
        </w:rPr>
        <w:t>Тринадесет</w:t>
      </w:r>
      <w:r>
        <w:rPr>
          <w:rFonts w:eastAsia="Times New Roman" w:cs="Helvetica"/>
          <w:color w:val="575757"/>
          <w:sz w:val="24"/>
          <w:szCs w:val="24"/>
        </w:rPr>
        <w:t xml:space="preserve"> от четиринадесетте членове на Съвета изразиха съгласие</w:t>
      </w:r>
      <w:r>
        <w:rPr>
          <w:rFonts w:eastAsia="Times New Roman" w:cs="Helvetica"/>
          <w:color w:val="575757"/>
          <w:sz w:val="24"/>
          <w:szCs w:val="24"/>
          <w:lang w:val="bg-BG"/>
        </w:rPr>
        <w:t xml:space="preserve"> с тези решения</w:t>
      </w:r>
      <w:r w:rsidR="0089468B" w:rsidRPr="00DE6769">
        <w:rPr>
          <w:rFonts w:eastAsia="Times New Roman" w:cs="Helvetica"/>
          <w:color w:val="575757"/>
          <w:sz w:val="24"/>
          <w:szCs w:val="24"/>
        </w:rPr>
        <w:t xml:space="preserve">. </w:t>
      </w:r>
      <w:r w:rsidR="003D0750">
        <w:rPr>
          <w:rFonts w:eastAsia="Times New Roman" w:cs="Helvetica"/>
          <w:color w:val="575757"/>
          <w:sz w:val="24"/>
          <w:szCs w:val="24"/>
          <w:lang w:val="bg-BG"/>
        </w:rPr>
        <w:t>Един от членовете отсъстваше</w:t>
      </w:r>
      <w:r>
        <w:rPr>
          <w:rFonts w:eastAsia="Times New Roman" w:cs="Helvetica"/>
          <w:color w:val="575757"/>
          <w:sz w:val="24"/>
          <w:szCs w:val="24"/>
        </w:rPr>
        <w:t>.</w:t>
      </w:r>
    </w:p>
    <w:p w:rsidR="0089468B" w:rsidRPr="00DE6769" w:rsidRDefault="00DE6769"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rPr>
        <w:t>Следващи етапи</w:t>
      </w:r>
    </w:p>
    <w:p w:rsidR="0089468B" w:rsidRPr="00DE6769" w:rsidRDefault="00282A7F"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бъдещо свое заседание Съветът ще</w:t>
      </w:r>
      <w:r w:rsidR="0089468B" w:rsidRPr="00DE6769">
        <w:rPr>
          <w:rFonts w:eastAsia="Times New Roman" w:cs="Helvetica"/>
          <w:color w:val="575757"/>
          <w:sz w:val="24"/>
          <w:szCs w:val="24"/>
        </w:rPr>
        <w:t>:</w:t>
      </w:r>
    </w:p>
    <w:p w:rsidR="0089468B" w:rsidRPr="00DE6769" w:rsidRDefault="00282A7F" w:rsidP="0089468B">
      <w:pPr>
        <w:numPr>
          <w:ilvl w:val="0"/>
          <w:numId w:val="13"/>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lastRenderedPageBreak/>
        <w:t>прецени дали да измени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13 </w:t>
      </w:r>
      <w:r>
        <w:rPr>
          <w:rFonts w:eastAsia="Times New Roman" w:cs="Helvetica"/>
          <w:i/>
          <w:iCs/>
          <w:color w:val="575757"/>
          <w:sz w:val="24"/>
          <w:szCs w:val="24"/>
          <w:lang w:val="bg-BG"/>
        </w:rPr>
        <w:t>Оценяване по справедлива стойност,</w:t>
      </w:r>
      <w:r w:rsidR="0089468B" w:rsidRPr="00DE6769">
        <w:rPr>
          <w:rFonts w:eastAsia="Times New Roman" w:cs="Helvetica"/>
          <w:color w:val="575757"/>
          <w:sz w:val="24"/>
          <w:szCs w:val="24"/>
        </w:rPr>
        <w:t> </w:t>
      </w:r>
      <w:r>
        <w:rPr>
          <w:rFonts w:eastAsia="Times New Roman" w:cs="Helvetica"/>
          <w:color w:val="575757"/>
          <w:sz w:val="24"/>
          <w:szCs w:val="24"/>
          <w:lang w:val="bg-BG"/>
        </w:rPr>
        <w:t xml:space="preserve">за да включи отделна цел на оповестяването и информация, която би могла да бъде използвана за изпълнение на целта във връзка с ефекта от оценяването по справедлива стойност върху </w:t>
      </w:r>
      <w:r w:rsidR="009F00A5">
        <w:rPr>
          <w:rFonts w:eastAsia="Times New Roman" w:cs="Helvetica"/>
          <w:color w:val="575757"/>
          <w:sz w:val="24"/>
          <w:szCs w:val="24"/>
          <w:lang w:val="bg-BG"/>
        </w:rPr>
        <w:t>отчета</w:t>
      </w:r>
      <w:r>
        <w:rPr>
          <w:rFonts w:eastAsia="Times New Roman" w:cs="Helvetica"/>
          <w:color w:val="575757"/>
          <w:sz w:val="24"/>
          <w:szCs w:val="24"/>
          <w:lang w:val="bg-BG"/>
        </w:rPr>
        <w:t xml:space="preserve"> за финансовите резултати от дейността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9F00A5" w:rsidP="0089468B">
      <w:pPr>
        <w:numPr>
          <w:ilvl w:val="0"/>
          <w:numId w:val="13"/>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обсъди поуките, усвоени в течение на фазата на тестване на целевия преглед на оповестяванията на ниво стандарти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 произтичащите в резултат потенциални изменения в проекто-насоките на Съвета за разработване и изготвяне на проект на изисквания и цели на оповестяването</w:t>
      </w:r>
      <w:r w:rsidR="0089468B" w:rsidRPr="00DE6769">
        <w:rPr>
          <w:rFonts w:eastAsia="Times New Roman" w:cs="Helvetica"/>
          <w:color w:val="575757"/>
          <w:sz w:val="24"/>
          <w:szCs w:val="24"/>
        </w:rPr>
        <w:t>.</w:t>
      </w:r>
    </w:p>
    <w:p w:rsidR="0089468B" w:rsidRPr="00DE6769" w:rsidRDefault="0089468B" w:rsidP="0089468B">
      <w:pPr>
        <w:shd w:val="clear" w:color="auto" w:fill="FFFFFF"/>
        <w:spacing w:after="300" w:line="240" w:lineRule="auto"/>
        <w:rPr>
          <w:rFonts w:eastAsia="Times New Roman" w:cs="Helvetica"/>
          <w:color w:val="575757"/>
          <w:sz w:val="24"/>
          <w:szCs w:val="24"/>
        </w:rPr>
      </w:pPr>
      <w:r w:rsidRPr="00DE6769">
        <w:rPr>
          <w:rFonts w:eastAsia="Times New Roman" w:cs="Helvetica"/>
          <w:color w:val="575757"/>
          <w:sz w:val="24"/>
          <w:szCs w:val="24"/>
        </w:rPr>
        <w:t> </w:t>
      </w:r>
    </w:p>
    <w:p w:rsidR="0089468B" w:rsidRPr="00DE6769" w:rsidRDefault="009F00A5" w:rsidP="0089468B">
      <w:pPr>
        <w:shd w:val="clear" w:color="auto" w:fill="FFFFFF"/>
        <w:spacing w:before="450" w:after="300" w:line="240" w:lineRule="auto"/>
        <w:outlineLvl w:val="1"/>
        <w:rPr>
          <w:rFonts w:eastAsia="Times New Roman" w:cs="Helvetica"/>
          <w:b/>
          <w:bCs/>
          <w:color w:val="333333"/>
          <w:sz w:val="34"/>
          <w:szCs w:val="34"/>
        </w:rPr>
      </w:pPr>
      <w:bookmarkStart w:id="5" w:name="6"/>
      <w:r>
        <w:rPr>
          <w:rFonts w:eastAsia="Times New Roman" w:cs="Helvetica"/>
          <w:b/>
          <w:bCs/>
          <w:color w:val="CD3333"/>
          <w:sz w:val="34"/>
          <w:szCs w:val="34"/>
          <w:lang w:val="bg-BG"/>
        </w:rPr>
        <w:t xml:space="preserve">Актуализация на препратка към </w:t>
      </w:r>
      <w:r>
        <w:rPr>
          <w:rFonts w:eastAsia="Times New Roman" w:cs="Helvetica"/>
          <w:b/>
          <w:bCs/>
          <w:i/>
          <w:iCs/>
          <w:color w:val="CD3333"/>
          <w:sz w:val="34"/>
          <w:szCs w:val="34"/>
          <w:lang w:val="bg-BG"/>
        </w:rPr>
        <w:t xml:space="preserve">Концептуалната рамка </w:t>
      </w:r>
      <w:r w:rsidR="0089468B" w:rsidRPr="00DE6769">
        <w:rPr>
          <w:rFonts w:eastAsia="Times New Roman" w:cs="Helvetica"/>
          <w:b/>
          <w:bCs/>
          <w:color w:val="CD3333"/>
          <w:sz w:val="34"/>
          <w:szCs w:val="34"/>
        </w:rPr>
        <w:t>(</w:t>
      </w:r>
      <w:r>
        <w:rPr>
          <w:rFonts w:eastAsia="Times New Roman" w:cs="Helvetica"/>
          <w:b/>
          <w:bCs/>
          <w:color w:val="CD3333"/>
          <w:sz w:val="34"/>
          <w:szCs w:val="34"/>
          <w:lang w:val="bg-BG"/>
        </w:rPr>
        <w:t>изменения в</w:t>
      </w:r>
      <w:r w:rsidR="0089468B" w:rsidRPr="00DE6769">
        <w:rPr>
          <w:rFonts w:eastAsia="Times New Roman" w:cs="Helvetica"/>
          <w:b/>
          <w:bCs/>
          <w:color w:val="CD3333"/>
          <w:sz w:val="34"/>
          <w:szCs w:val="34"/>
        </w:rPr>
        <w:t xml:space="preserve"> </w:t>
      </w:r>
      <w:r w:rsidR="00DE6769">
        <w:rPr>
          <w:rFonts w:eastAsia="Times New Roman" w:cs="Helvetica"/>
          <w:b/>
          <w:bCs/>
          <w:color w:val="CD3333"/>
          <w:sz w:val="34"/>
          <w:szCs w:val="34"/>
        </w:rPr>
        <w:t>МСФО</w:t>
      </w:r>
      <w:r w:rsidR="0089468B" w:rsidRPr="00DE6769">
        <w:rPr>
          <w:rFonts w:eastAsia="Times New Roman" w:cs="Helvetica"/>
          <w:b/>
          <w:bCs/>
          <w:color w:val="CD3333"/>
          <w:sz w:val="34"/>
          <w:szCs w:val="34"/>
        </w:rPr>
        <w:t xml:space="preserve"> 3) (</w:t>
      </w:r>
      <w:r w:rsidR="00DE6769">
        <w:rPr>
          <w:rFonts w:eastAsia="Times New Roman" w:cs="Helvetica"/>
          <w:b/>
          <w:bCs/>
          <w:color w:val="CD3333"/>
          <w:sz w:val="34"/>
          <w:szCs w:val="34"/>
        </w:rPr>
        <w:t>Документ по програмата</w:t>
      </w:r>
      <w:r w:rsidR="0089468B" w:rsidRPr="00DE6769">
        <w:rPr>
          <w:rFonts w:eastAsia="Times New Roman" w:cs="Helvetica"/>
          <w:b/>
          <w:bCs/>
          <w:color w:val="CD3333"/>
          <w:sz w:val="34"/>
          <w:szCs w:val="34"/>
        </w:rPr>
        <w:t xml:space="preserve"> 10)</w:t>
      </w:r>
      <w:bookmarkEnd w:id="5"/>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30 януари 2020 г.</w:t>
      </w:r>
      <w:r w:rsidRPr="00DE6769">
        <w:rPr>
          <w:rFonts w:eastAsia="Times New Roman" w:cs="Helvetica"/>
          <w:color w:val="575757"/>
          <w:sz w:val="24"/>
          <w:szCs w:val="24"/>
        </w:rPr>
        <w:t xml:space="preserve"> </w:t>
      </w:r>
      <w:r w:rsidRPr="007268F9">
        <w:rPr>
          <w:rFonts w:ascii="Calibri" w:eastAsia="Times New Roman" w:hAnsi="Calibri" w:cs="Helvetica"/>
          <w:color w:val="575757"/>
          <w:sz w:val="24"/>
          <w:szCs w:val="24"/>
          <w:lang w:val="bg-BG"/>
        </w:rPr>
        <w:t xml:space="preserve">Съветът проведе заседание, за да </w:t>
      </w:r>
      <w:r>
        <w:rPr>
          <w:rFonts w:ascii="Calibri" w:eastAsia="Times New Roman" w:hAnsi="Calibri" w:cs="Helvetica"/>
          <w:color w:val="575757"/>
          <w:sz w:val="24"/>
          <w:szCs w:val="24"/>
          <w:lang w:val="bg-BG"/>
        </w:rPr>
        <w:t>финализира</w:t>
      </w:r>
      <w:r w:rsidRPr="007268F9">
        <w:rPr>
          <w:rFonts w:eastAsia="Times New Roman" w:cs="Helvetica"/>
          <w:color w:val="575757"/>
          <w:sz w:val="24"/>
          <w:szCs w:val="24"/>
          <w:lang w:val="bg-BG"/>
        </w:rPr>
        <w:t xml:space="preserve"> </w:t>
      </w:r>
      <w:r w:rsidR="00974A38">
        <w:rPr>
          <w:rFonts w:eastAsia="Times New Roman" w:cs="Helvetica"/>
          <w:color w:val="575757"/>
          <w:sz w:val="24"/>
          <w:szCs w:val="24"/>
          <w:lang w:val="bg-BG"/>
        </w:rPr>
        <w:t>измененията в</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3 </w:t>
      </w:r>
      <w:r w:rsidR="00974A38">
        <w:rPr>
          <w:rFonts w:eastAsia="Times New Roman" w:cs="Helvetica"/>
          <w:i/>
          <w:iCs/>
          <w:color w:val="575757"/>
          <w:sz w:val="24"/>
          <w:szCs w:val="24"/>
          <w:lang w:val="bg-BG"/>
        </w:rPr>
        <w:t>Бизнес комбинации</w:t>
      </w:r>
      <w:r w:rsidR="0089468B" w:rsidRPr="00DE6769">
        <w:rPr>
          <w:rFonts w:eastAsia="Times New Roman" w:cs="Helvetica"/>
          <w:color w:val="575757"/>
          <w:sz w:val="24"/>
          <w:szCs w:val="24"/>
        </w:rPr>
        <w:t>.</w:t>
      </w:r>
    </w:p>
    <w:p w:rsidR="0089468B" w:rsidRPr="000643AB" w:rsidRDefault="000643AB" w:rsidP="0089468B">
      <w:pPr>
        <w:shd w:val="clear" w:color="auto" w:fill="FFFFFF"/>
        <w:spacing w:before="300" w:after="150" w:line="240" w:lineRule="auto"/>
        <w:outlineLvl w:val="2"/>
        <w:rPr>
          <w:rFonts w:eastAsia="Times New Roman" w:cs="Helvetica"/>
          <w:b/>
          <w:bCs/>
          <w:color w:val="333333"/>
          <w:sz w:val="24"/>
          <w:szCs w:val="24"/>
          <w:lang w:val="bg-BG"/>
        </w:rPr>
      </w:pPr>
      <w:r>
        <w:rPr>
          <w:rFonts w:eastAsia="Times New Roman" w:cs="Helvetica"/>
          <w:b/>
          <w:bCs/>
          <w:i/>
          <w:iCs/>
          <w:color w:val="333333"/>
          <w:sz w:val="27"/>
          <w:szCs w:val="27"/>
          <w:lang w:val="bg-BG"/>
        </w:rPr>
        <w:t>Преход и дата на влизане в сила</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w:t>
      </w:r>
    </w:p>
    <w:p w:rsidR="0089468B" w:rsidRPr="00DE6769" w:rsidRDefault="000643AB" w:rsidP="0089468B">
      <w:pPr>
        <w:numPr>
          <w:ilvl w:val="0"/>
          <w:numId w:val="14"/>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изисква предприятието да прилага измененията по отношение на бизнес комбинации, за които датата на придобиване е на или след началото на първия годишен отчетен период, започващ на или след 1 януари 2022 г</w:t>
      </w:r>
      <w:r w:rsidR="0089468B" w:rsidRPr="00DE6769">
        <w:rPr>
          <w:rFonts w:eastAsia="Times New Roman" w:cs="Helvetica"/>
          <w:color w:val="575757"/>
          <w:sz w:val="24"/>
          <w:szCs w:val="24"/>
        </w:rPr>
        <w:t>;</w:t>
      </w:r>
    </w:p>
    <w:p w:rsidR="0089468B" w:rsidRPr="00DE6769" w:rsidRDefault="000643AB" w:rsidP="0089468B">
      <w:pPr>
        <w:numPr>
          <w:ilvl w:val="0"/>
          <w:numId w:val="14"/>
        </w:numPr>
        <w:shd w:val="clear" w:color="auto" w:fill="FFFFFF"/>
        <w:spacing w:before="75" w:after="75" w:line="240" w:lineRule="auto"/>
        <w:ind w:left="495"/>
        <w:rPr>
          <w:rFonts w:eastAsia="Times New Roman" w:cs="Helvetica"/>
          <w:color w:val="575757"/>
          <w:sz w:val="24"/>
          <w:szCs w:val="24"/>
        </w:rPr>
      </w:pPr>
      <w:proofErr w:type="gramStart"/>
      <w:r>
        <w:rPr>
          <w:rFonts w:eastAsia="Times New Roman" w:cs="Helvetica"/>
          <w:color w:val="575757"/>
          <w:sz w:val="24"/>
          <w:szCs w:val="24"/>
          <w:lang w:val="bg-BG"/>
        </w:rPr>
        <w:t>да</w:t>
      </w:r>
      <w:proofErr w:type="gramEnd"/>
      <w:r>
        <w:rPr>
          <w:rFonts w:eastAsia="Times New Roman" w:cs="Helvetica"/>
          <w:color w:val="575757"/>
          <w:sz w:val="24"/>
          <w:szCs w:val="24"/>
          <w:lang w:val="bg-BG"/>
        </w:rPr>
        <w:t xml:space="preserve"> разреши на предприятието да прилага измененията по-рано, ако същевременно предприятието прилага също </w:t>
      </w:r>
      <w:r w:rsidR="00E55BC3">
        <w:rPr>
          <w:rFonts w:eastAsia="Times New Roman" w:cs="Helvetica"/>
          <w:color w:val="575757"/>
          <w:sz w:val="24"/>
          <w:szCs w:val="24"/>
          <w:lang w:val="bg-BG"/>
        </w:rPr>
        <w:t xml:space="preserve">така </w:t>
      </w:r>
      <w:r>
        <w:rPr>
          <w:rFonts w:eastAsia="Times New Roman" w:cs="Helvetica"/>
          <w:color w:val="575757"/>
          <w:sz w:val="24"/>
          <w:szCs w:val="24"/>
          <w:lang w:val="bg-BG"/>
        </w:rPr>
        <w:t>всички изменения, направени чрез</w:t>
      </w:r>
      <w:r w:rsidR="0089468B" w:rsidRPr="00DE6769">
        <w:rPr>
          <w:rFonts w:eastAsia="Times New Roman" w:cs="Helvetica"/>
          <w:color w:val="575757"/>
          <w:sz w:val="24"/>
          <w:szCs w:val="24"/>
        </w:rPr>
        <w:t xml:space="preserve"> </w:t>
      </w:r>
      <w:r>
        <w:rPr>
          <w:rFonts w:eastAsia="Times New Roman" w:cs="Helvetica"/>
          <w:i/>
          <w:iCs/>
          <w:color w:val="575757"/>
          <w:sz w:val="24"/>
          <w:szCs w:val="24"/>
          <w:lang w:val="bg-BG"/>
        </w:rPr>
        <w:t>Изменения към препратките към Концептуалната рамка в</w:t>
      </w:r>
      <w:r w:rsidR="0089468B" w:rsidRPr="00DE6769">
        <w:rPr>
          <w:rFonts w:eastAsia="Times New Roman" w:cs="Helvetica"/>
          <w:i/>
          <w:iCs/>
          <w:color w:val="575757"/>
          <w:sz w:val="24"/>
          <w:szCs w:val="24"/>
        </w:rPr>
        <w:t xml:space="preserve"> </w:t>
      </w:r>
      <w:r w:rsidR="00DE6769">
        <w:rPr>
          <w:rFonts w:eastAsia="Times New Roman" w:cs="Helvetica"/>
          <w:i/>
          <w:iCs/>
          <w:color w:val="575757"/>
          <w:sz w:val="24"/>
          <w:szCs w:val="24"/>
        </w:rPr>
        <w:t>МСФО</w:t>
      </w:r>
      <w:r w:rsidR="0089468B" w:rsidRPr="00DE6769">
        <w:rPr>
          <w:rFonts w:eastAsia="Times New Roman" w:cs="Helvetica"/>
          <w:i/>
          <w:iCs/>
          <w:color w:val="575757"/>
          <w:sz w:val="24"/>
          <w:szCs w:val="24"/>
        </w:rPr>
        <w:t xml:space="preserve"> </w:t>
      </w:r>
      <w:r>
        <w:rPr>
          <w:rFonts w:eastAsia="Times New Roman" w:cs="Helvetica"/>
          <w:i/>
          <w:iCs/>
          <w:color w:val="575757"/>
          <w:sz w:val="24"/>
          <w:szCs w:val="24"/>
          <w:lang w:val="bg-BG"/>
        </w:rPr>
        <w:t>стандартите</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0643AB" w:rsidP="0089468B">
      <w:pPr>
        <w:numPr>
          <w:ilvl w:val="0"/>
          <w:numId w:val="14"/>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не изисква предприятие, което прилага измененията по-рано, да оповестява този факт</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Всичките четиринадесет членове на Съвета изразиха съгласие с това решение</w:t>
      </w:r>
      <w:r w:rsidR="0089468B" w:rsidRPr="00DE6769">
        <w:rPr>
          <w:rFonts w:eastAsia="Times New Roman" w:cs="Helvetica"/>
          <w:color w:val="575757"/>
          <w:sz w:val="24"/>
          <w:szCs w:val="24"/>
        </w:rPr>
        <w:t>.</w:t>
      </w:r>
    </w:p>
    <w:p w:rsidR="0089468B" w:rsidRPr="00DE6769" w:rsidRDefault="000643AB"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lang w:val="bg-BG"/>
        </w:rPr>
        <w:t>Надлежна процедура</w:t>
      </w:r>
    </w:p>
    <w:p w:rsidR="0089468B" w:rsidRPr="00DE6769" w:rsidRDefault="000643AB"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реши, че измененията не изискват представяне за повторно обсъждане</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Всичките четиринадесет членове на Съвета изразиха съгласие с това решение</w:t>
      </w:r>
      <w:r w:rsidR="0089468B" w:rsidRPr="00DE6769">
        <w:rPr>
          <w:rFonts w:eastAsia="Times New Roman" w:cs="Helvetica"/>
          <w:color w:val="575757"/>
          <w:sz w:val="24"/>
          <w:szCs w:val="24"/>
        </w:rPr>
        <w:t>.</w:t>
      </w:r>
    </w:p>
    <w:p w:rsidR="0089468B" w:rsidRPr="00DE6769" w:rsidRDefault="000643AB"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Всичките четиринадесет членове на Съвета потвърдиха, че са се уверили, че Съветът е изпълнил приложимите изисквания на регламентираната процедура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 е осъществил достатъчно консултации и анализи, за да пристъпи към процедурата по гласуване по отношение на тези изменения.</w:t>
      </w:r>
    </w:p>
    <w:p w:rsidR="0089468B" w:rsidRPr="00DE6769" w:rsidRDefault="000643AB"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lastRenderedPageBreak/>
        <w:t>Нито един от членовете на Съвета не даде индикации, че възнамерява да изрази несъгласие с публикуването на измененията</w:t>
      </w:r>
      <w:r w:rsidR="0089468B" w:rsidRPr="00DE6769">
        <w:rPr>
          <w:rFonts w:eastAsia="Times New Roman" w:cs="Helvetica"/>
          <w:color w:val="575757"/>
          <w:sz w:val="24"/>
          <w:szCs w:val="24"/>
        </w:rPr>
        <w:t>.</w:t>
      </w:r>
    </w:p>
    <w:p w:rsidR="0089468B" w:rsidRPr="00DE6769" w:rsidRDefault="00DE6769"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rPr>
        <w:t>Следващ етап</w:t>
      </w:r>
    </w:p>
    <w:p w:rsidR="0089468B" w:rsidRPr="00DE6769" w:rsidRDefault="000643AB"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планира да издаде измененията през второто тримесечие на</w:t>
      </w:r>
      <w:r w:rsidR="0089468B" w:rsidRPr="00DE6769">
        <w:rPr>
          <w:rFonts w:eastAsia="Times New Roman" w:cs="Helvetica"/>
          <w:color w:val="575757"/>
          <w:sz w:val="24"/>
          <w:szCs w:val="24"/>
        </w:rPr>
        <w:t xml:space="preserve"> 2020</w:t>
      </w:r>
      <w:r>
        <w:rPr>
          <w:rFonts w:eastAsia="Times New Roman" w:cs="Helvetica"/>
          <w:color w:val="575757"/>
          <w:sz w:val="24"/>
          <w:szCs w:val="24"/>
          <w:lang w:val="bg-BG"/>
        </w:rPr>
        <w:t xml:space="preserve"> г</w:t>
      </w:r>
      <w:r w:rsidR="0089468B" w:rsidRPr="00DE6769">
        <w:rPr>
          <w:rFonts w:eastAsia="Times New Roman" w:cs="Helvetica"/>
          <w:color w:val="575757"/>
          <w:sz w:val="24"/>
          <w:szCs w:val="24"/>
        </w:rPr>
        <w:t>.</w:t>
      </w:r>
    </w:p>
    <w:p w:rsidR="0089468B" w:rsidRPr="00DE6769" w:rsidRDefault="0089468B" w:rsidP="0089468B">
      <w:pPr>
        <w:shd w:val="clear" w:color="auto" w:fill="FFFFFF"/>
        <w:spacing w:after="300" w:line="240" w:lineRule="auto"/>
        <w:rPr>
          <w:rFonts w:eastAsia="Times New Roman" w:cs="Helvetica"/>
          <w:color w:val="575757"/>
          <w:sz w:val="24"/>
          <w:szCs w:val="24"/>
        </w:rPr>
      </w:pPr>
      <w:r w:rsidRPr="00DE6769">
        <w:rPr>
          <w:rFonts w:eastAsia="Times New Roman" w:cs="Helvetica"/>
          <w:color w:val="575757"/>
          <w:sz w:val="24"/>
          <w:szCs w:val="24"/>
        </w:rPr>
        <w:t> </w:t>
      </w:r>
    </w:p>
    <w:p w:rsidR="0089468B" w:rsidRPr="00DE6769" w:rsidRDefault="00414FF4" w:rsidP="0089468B">
      <w:pPr>
        <w:shd w:val="clear" w:color="auto" w:fill="FFFFFF"/>
        <w:spacing w:before="450" w:after="300" w:line="240" w:lineRule="auto"/>
        <w:outlineLvl w:val="1"/>
        <w:rPr>
          <w:rFonts w:eastAsia="Times New Roman" w:cs="Helvetica"/>
          <w:b/>
          <w:bCs/>
          <w:color w:val="333333"/>
          <w:sz w:val="34"/>
          <w:szCs w:val="34"/>
        </w:rPr>
      </w:pPr>
      <w:bookmarkStart w:id="6" w:name="7"/>
      <w:r>
        <w:rPr>
          <w:rFonts w:eastAsia="Times New Roman" w:cs="Helvetica"/>
          <w:b/>
          <w:bCs/>
          <w:color w:val="CD3333"/>
          <w:sz w:val="34"/>
          <w:szCs w:val="34"/>
          <w:lang w:val="bg-BG"/>
        </w:rPr>
        <w:t>Провизии</w:t>
      </w:r>
      <w:r w:rsidR="0089468B" w:rsidRPr="00DE6769">
        <w:rPr>
          <w:rFonts w:eastAsia="Times New Roman" w:cs="Helvetica"/>
          <w:b/>
          <w:bCs/>
          <w:color w:val="CD3333"/>
          <w:sz w:val="34"/>
          <w:szCs w:val="34"/>
        </w:rPr>
        <w:t xml:space="preserve"> (</w:t>
      </w:r>
      <w:r w:rsidR="00DE6769">
        <w:rPr>
          <w:rFonts w:eastAsia="Times New Roman" w:cs="Helvetica"/>
          <w:b/>
          <w:bCs/>
          <w:color w:val="CD3333"/>
          <w:sz w:val="34"/>
          <w:szCs w:val="34"/>
        </w:rPr>
        <w:t>Документ по програмата</w:t>
      </w:r>
      <w:r w:rsidR="0089468B" w:rsidRPr="00DE6769">
        <w:rPr>
          <w:rFonts w:eastAsia="Times New Roman" w:cs="Helvetica"/>
          <w:b/>
          <w:bCs/>
          <w:color w:val="CD3333"/>
          <w:sz w:val="34"/>
          <w:szCs w:val="34"/>
        </w:rPr>
        <w:t xml:space="preserve"> 22)</w:t>
      </w:r>
      <w:bookmarkEnd w:id="6"/>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30 януари 2020 г.</w:t>
      </w:r>
      <w:r w:rsidRPr="00DE6769">
        <w:rPr>
          <w:rFonts w:eastAsia="Times New Roman" w:cs="Helvetica"/>
          <w:color w:val="575757"/>
          <w:sz w:val="24"/>
          <w:szCs w:val="24"/>
        </w:rPr>
        <w:t xml:space="preserve"> </w:t>
      </w:r>
      <w:r w:rsidRPr="007268F9">
        <w:rPr>
          <w:rFonts w:ascii="Calibri" w:eastAsia="Times New Roman" w:hAnsi="Calibri" w:cs="Helvetica"/>
          <w:color w:val="575757"/>
          <w:sz w:val="24"/>
          <w:szCs w:val="24"/>
          <w:lang w:val="bg-BG"/>
        </w:rPr>
        <w:t xml:space="preserve">Съветът проведе заседание, за да </w:t>
      </w:r>
      <w:r>
        <w:rPr>
          <w:rFonts w:ascii="Calibri" w:eastAsia="Times New Roman" w:hAnsi="Calibri" w:cs="Helvetica"/>
          <w:color w:val="575757"/>
          <w:sz w:val="24"/>
          <w:szCs w:val="24"/>
          <w:lang w:val="bg-BG"/>
        </w:rPr>
        <w:t>реши</w:t>
      </w:r>
      <w:r w:rsidRPr="007268F9">
        <w:rPr>
          <w:rFonts w:eastAsia="Times New Roman" w:cs="Helvetica"/>
          <w:color w:val="575757"/>
          <w:sz w:val="24"/>
          <w:szCs w:val="24"/>
          <w:lang w:val="bg-BG"/>
        </w:rPr>
        <w:t xml:space="preserve"> </w:t>
      </w:r>
      <w:r w:rsidR="00414FF4">
        <w:rPr>
          <w:rFonts w:eastAsia="Times New Roman" w:cs="Helvetica"/>
          <w:color w:val="575757"/>
          <w:sz w:val="24"/>
          <w:szCs w:val="24"/>
          <w:lang w:val="bg-BG"/>
        </w:rPr>
        <w:t>дали да добави към работната си програма</w:t>
      </w:r>
      <w:r w:rsidR="0089468B" w:rsidRPr="00DE6769">
        <w:rPr>
          <w:rFonts w:eastAsia="Times New Roman" w:cs="Helvetica"/>
          <w:color w:val="575757"/>
          <w:sz w:val="24"/>
          <w:szCs w:val="24"/>
        </w:rPr>
        <w:t xml:space="preserve"> </w:t>
      </w:r>
      <w:r w:rsidR="00414FF4">
        <w:rPr>
          <w:rFonts w:eastAsia="Times New Roman" w:cs="Helvetica"/>
          <w:color w:val="575757"/>
          <w:sz w:val="24"/>
          <w:szCs w:val="24"/>
          <w:lang w:val="bg-BG"/>
        </w:rPr>
        <w:t>проект за изменение на определени аспекти на</w:t>
      </w:r>
      <w:r w:rsidR="0089468B" w:rsidRPr="00DE6769">
        <w:rPr>
          <w:rFonts w:eastAsia="Times New Roman" w:cs="Helvetica"/>
          <w:color w:val="575757"/>
          <w:sz w:val="24"/>
          <w:szCs w:val="24"/>
        </w:rPr>
        <w:t xml:space="preserve"> </w:t>
      </w:r>
      <w:r>
        <w:rPr>
          <w:rFonts w:eastAsia="Times New Roman" w:cs="Helvetica"/>
          <w:color w:val="575757"/>
          <w:sz w:val="24"/>
          <w:szCs w:val="24"/>
        </w:rPr>
        <w:t>МСС</w:t>
      </w:r>
      <w:r w:rsidR="0089468B" w:rsidRPr="00DE6769">
        <w:rPr>
          <w:rFonts w:eastAsia="Times New Roman" w:cs="Helvetica"/>
          <w:color w:val="575757"/>
          <w:sz w:val="24"/>
          <w:szCs w:val="24"/>
        </w:rPr>
        <w:t xml:space="preserve"> 37 </w:t>
      </w:r>
      <w:r w:rsidR="00414FF4">
        <w:rPr>
          <w:rFonts w:eastAsia="Times New Roman" w:cs="Helvetica"/>
          <w:i/>
          <w:iCs/>
          <w:color w:val="575757"/>
          <w:sz w:val="24"/>
          <w:szCs w:val="24"/>
          <w:lang w:val="bg-BG"/>
        </w:rPr>
        <w:t>Провизии</w:t>
      </w:r>
      <w:r w:rsidR="0089468B" w:rsidRPr="00DE6769">
        <w:rPr>
          <w:rFonts w:eastAsia="Times New Roman" w:cs="Helvetica"/>
          <w:i/>
          <w:iCs/>
          <w:color w:val="575757"/>
          <w:sz w:val="24"/>
          <w:szCs w:val="24"/>
        </w:rPr>
        <w:t xml:space="preserve">, </w:t>
      </w:r>
      <w:r w:rsidR="00414FF4">
        <w:rPr>
          <w:rFonts w:eastAsia="Times New Roman" w:cs="Helvetica"/>
          <w:i/>
          <w:iCs/>
          <w:color w:val="575757"/>
          <w:sz w:val="24"/>
          <w:szCs w:val="24"/>
          <w:lang w:val="bg-BG"/>
        </w:rPr>
        <w:t>условни пасиви и условни активи</w:t>
      </w:r>
      <w:r w:rsidR="0089468B" w:rsidRPr="00DE6769">
        <w:rPr>
          <w:rFonts w:eastAsia="Times New Roman" w:cs="Helvetica"/>
          <w:color w:val="575757"/>
          <w:sz w:val="24"/>
          <w:szCs w:val="24"/>
        </w:rPr>
        <w:t xml:space="preserve">, </w:t>
      </w:r>
      <w:r w:rsidR="00414FF4">
        <w:rPr>
          <w:rFonts w:eastAsia="Times New Roman" w:cs="Helvetica"/>
          <w:color w:val="575757"/>
          <w:sz w:val="24"/>
          <w:szCs w:val="24"/>
          <w:lang w:val="bg-BG"/>
        </w:rPr>
        <w:t>и ако да, то какъв следва да бъде обхватът на проекта</w:t>
      </w:r>
      <w:r w:rsidR="0089468B" w:rsidRPr="00DE6769">
        <w:rPr>
          <w:rFonts w:eastAsia="Times New Roman" w:cs="Helvetica"/>
          <w:color w:val="575757"/>
          <w:sz w:val="24"/>
          <w:szCs w:val="24"/>
        </w:rPr>
        <w:t>.</w:t>
      </w:r>
    </w:p>
    <w:p w:rsidR="0089468B" w:rsidRPr="00DE6769" w:rsidRDefault="00414FF4" w:rsidP="0089468B">
      <w:pPr>
        <w:shd w:val="clear" w:color="auto" w:fill="FFFFFF"/>
        <w:spacing w:after="300" w:line="240" w:lineRule="auto"/>
        <w:rPr>
          <w:rFonts w:eastAsia="Times New Roman" w:cs="Helvetica"/>
          <w:color w:val="575757"/>
          <w:sz w:val="24"/>
          <w:szCs w:val="24"/>
        </w:rPr>
      </w:pPr>
      <w:r w:rsidRPr="00414FF4">
        <w:rPr>
          <w:rFonts w:eastAsia="Times New Roman" w:cs="Helvetica"/>
          <w:color w:val="575757"/>
          <w:sz w:val="24"/>
          <w:szCs w:val="24"/>
          <w:lang w:val="bg-BG"/>
        </w:rPr>
        <w:t xml:space="preserve">Всичките четиринадесет членове на Съвета потвърдиха, че са се уверили, че </w:t>
      </w:r>
      <w:r>
        <w:rPr>
          <w:rFonts w:eastAsia="Times New Roman" w:cs="Helvetica"/>
          <w:color w:val="575757"/>
          <w:sz w:val="24"/>
          <w:szCs w:val="24"/>
          <w:lang w:val="bg-BG"/>
        </w:rPr>
        <w:t>Съветът разполага с достатъчно информация, за да вземе решение</w:t>
      </w:r>
      <w:r w:rsidR="0089468B" w:rsidRPr="00DE6769">
        <w:rPr>
          <w:rFonts w:eastAsia="Times New Roman" w:cs="Helvetica"/>
          <w:color w:val="575757"/>
          <w:sz w:val="24"/>
          <w:szCs w:val="24"/>
        </w:rPr>
        <w:t>.</w:t>
      </w:r>
    </w:p>
    <w:p w:rsidR="0089468B" w:rsidRPr="00DE6769" w:rsidRDefault="00414FF4"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реши да добави</w:t>
      </w:r>
      <w:r w:rsidR="0089468B" w:rsidRPr="00DE6769">
        <w:rPr>
          <w:rFonts w:eastAsia="Times New Roman" w:cs="Helvetica"/>
          <w:color w:val="575757"/>
          <w:sz w:val="24"/>
          <w:szCs w:val="24"/>
        </w:rPr>
        <w:t xml:space="preserve"> </w:t>
      </w:r>
      <w:r w:rsidRPr="00414FF4">
        <w:rPr>
          <w:rFonts w:eastAsia="Times New Roman" w:cs="Helvetica"/>
          <w:color w:val="575757"/>
          <w:sz w:val="24"/>
          <w:szCs w:val="24"/>
          <w:lang w:val="bg-BG"/>
        </w:rPr>
        <w:t>към работната си програма</w:t>
      </w:r>
      <w:r w:rsidRPr="00414FF4">
        <w:rPr>
          <w:rFonts w:eastAsia="Times New Roman" w:cs="Helvetica"/>
          <w:color w:val="575757"/>
          <w:sz w:val="24"/>
          <w:szCs w:val="24"/>
        </w:rPr>
        <w:t xml:space="preserve"> </w:t>
      </w:r>
      <w:r w:rsidRPr="00414FF4">
        <w:rPr>
          <w:rFonts w:eastAsia="Times New Roman" w:cs="Helvetica"/>
          <w:color w:val="575757"/>
          <w:sz w:val="24"/>
          <w:szCs w:val="24"/>
          <w:lang w:val="bg-BG"/>
        </w:rPr>
        <w:t>проект за</w:t>
      </w:r>
      <w:r w:rsidR="0089468B" w:rsidRPr="00DE6769">
        <w:rPr>
          <w:rFonts w:eastAsia="Times New Roman" w:cs="Helvetica"/>
          <w:color w:val="575757"/>
          <w:sz w:val="24"/>
          <w:szCs w:val="24"/>
        </w:rPr>
        <w:t>:</w:t>
      </w:r>
    </w:p>
    <w:p w:rsidR="0089468B" w:rsidRPr="00DE6769" w:rsidRDefault="00414FF4" w:rsidP="0089468B">
      <w:pPr>
        <w:numPr>
          <w:ilvl w:val="0"/>
          <w:numId w:val="15"/>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хармонизиране дефиницията на пасив и изискванията за идентифициране на пасиви в</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МСС</w:t>
      </w:r>
      <w:r w:rsidR="0089468B" w:rsidRPr="00DE6769">
        <w:rPr>
          <w:rFonts w:eastAsia="Times New Roman" w:cs="Helvetica"/>
          <w:color w:val="575757"/>
          <w:sz w:val="24"/>
          <w:szCs w:val="24"/>
        </w:rPr>
        <w:t xml:space="preserve"> 37 </w:t>
      </w:r>
      <w:r>
        <w:rPr>
          <w:rFonts w:eastAsia="Times New Roman" w:cs="Helvetica"/>
          <w:color w:val="575757"/>
          <w:sz w:val="24"/>
          <w:szCs w:val="24"/>
          <w:lang w:val="bg-BG"/>
        </w:rPr>
        <w:t>с</w:t>
      </w:r>
      <w:r w:rsidR="0089468B" w:rsidRPr="00DE6769">
        <w:rPr>
          <w:rFonts w:eastAsia="Times New Roman" w:cs="Helvetica"/>
          <w:color w:val="575757"/>
          <w:sz w:val="24"/>
          <w:szCs w:val="24"/>
        </w:rPr>
        <w:t xml:space="preserve"> </w:t>
      </w:r>
      <w:r>
        <w:rPr>
          <w:rFonts w:eastAsia="Times New Roman" w:cs="Helvetica"/>
          <w:i/>
          <w:iCs/>
          <w:color w:val="575757"/>
          <w:sz w:val="24"/>
          <w:szCs w:val="24"/>
          <w:lang w:val="bg-BG"/>
        </w:rPr>
        <w:t>Концептуалната рамка за финансово отчитане</w:t>
      </w:r>
      <w:r w:rsidR="0089468B" w:rsidRPr="00DE6769">
        <w:rPr>
          <w:rFonts w:eastAsia="Times New Roman" w:cs="Helvetica"/>
          <w:color w:val="575757"/>
          <w:sz w:val="24"/>
          <w:szCs w:val="24"/>
        </w:rPr>
        <w:t>;</w:t>
      </w:r>
    </w:p>
    <w:p w:rsidR="0089468B" w:rsidRPr="00DE6769" w:rsidRDefault="00414FF4" w:rsidP="0089468B">
      <w:pPr>
        <w:numPr>
          <w:ilvl w:val="0"/>
          <w:numId w:val="15"/>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поясняване кои разходи да се включват в оценката на провизията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414FF4" w:rsidP="0089468B">
      <w:pPr>
        <w:numPr>
          <w:ilvl w:val="0"/>
          <w:numId w:val="15"/>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конкретизиране дали процентът, с който предприятието дисконтира провизията следва да отразява собствения кредитен риск на предприятието</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Всичките четиринадесет членове на Съвета изразиха съгласие с това решение</w:t>
      </w:r>
      <w:r w:rsidR="0089468B" w:rsidRPr="00DE6769">
        <w:rPr>
          <w:rFonts w:eastAsia="Times New Roman" w:cs="Helvetica"/>
          <w:color w:val="575757"/>
          <w:sz w:val="24"/>
          <w:szCs w:val="24"/>
        </w:rPr>
        <w:t>.</w:t>
      </w:r>
    </w:p>
    <w:p w:rsidR="0089468B" w:rsidRPr="00DE6769" w:rsidRDefault="00414FF4"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реши да не включва никакви други въпроси в обхвата на този проект</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Единадесет от четиринадесетте членове на Съвета изразиха съгласие, а трима - несъгласие с това решение</w:t>
      </w:r>
      <w:r w:rsidR="0089468B" w:rsidRPr="00DE6769">
        <w:rPr>
          <w:rFonts w:eastAsia="Times New Roman" w:cs="Helvetica"/>
          <w:color w:val="575757"/>
          <w:sz w:val="24"/>
          <w:szCs w:val="24"/>
        </w:rPr>
        <w:t>.</w:t>
      </w:r>
    </w:p>
    <w:p w:rsidR="0089468B" w:rsidRPr="00DE6769" w:rsidRDefault="00DE6769"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rPr>
        <w:t>Следващ етап</w:t>
      </w:r>
    </w:p>
    <w:p w:rsidR="0089468B" w:rsidRPr="00DE6769" w:rsidRDefault="00414FF4"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Екипът ще разработи план на проекта, който да бъде разгледат от Съвета</w:t>
      </w:r>
      <w:r w:rsidR="0089468B" w:rsidRPr="00DE6769">
        <w:rPr>
          <w:rFonts w:eastAsia="Times New Roman" w:cs="Helvetica"/>
          <w:color w:val="575757"/>
          <w:sz w:val="24"/>
          <w:szCs w:val="24"/>
        </w:rPr>
        <w:t>.</w:t>
      </w:r>
    </w:p>
    <w:p w:rsidR="0089468B" w:rsidRPr="00DE6769" w:rsidRDefault="0089468B" w:rsidP="0089468B">
      <w:pPr>
        <w:shd w:val="clear" w:color="auto" w:fill="FFFFFF"/>
        <w:spacing w:after="300" w:line="240" w:lineRule="auto"/>
        <w:rPr>
          <w:rFonts w:eastAsia="Times New Roman" w:cs="Helvetica"/>
          <w:color w:val="575757"/>
          <w:sz w:val="24"/>
          <w:szCs w:val="24"/>
        </w:rPr>
      </w:pPr>
      <w:r w:rsidRPr="00DE6769">
        <w:rPr>
          <w:rFonts w:eastAsia="Times New Roman" w:cs="Helvetica"/>
          <w:color w:val="575757"/>
          <w:sz w:val="24"/>
          <w:szCs w:val="24"/>
        </w:rPr>
        <w:t> </w:t>
      </w:r>
    </w:p>
    <w:p w:rsidR="0089468B" w:rsidRPr="00DE6769" w:rsidRDefault="00414FF4" w:rsidP="0089468B">
      <w:pPr>
        <w:shd w:val="clear" w:color="auto" w:fill="FFFFFF"/>
        <w:spacing w:before="450" w:after="300" w:line="240" w:lineRule="auto"/>
        <w:outlineLvl w:val="1"/>
        <w:rPr>
          <w:rFonts w:eastAsia="Times New Roman" w:cs="Helvetica"/>
          <w:b/>
          <w:bCs/>
          <w:color w:val="333333"/>
          <w:sz w:val="34"/>
          <w:szCs w:val="34"/>
        </w:rPr>
      </w:pPr>
      <w:bookmarkStart w:id="7" w:name="8"/>
      <w:r>
        <w:rPr>
          <w:rFonts w:eastAsia="Times New Roman" w:cs="Helvetica"/>
          <w:b/>
          <w:bCs/>
          <w:color w:val="CD3333"/>
          <w:sz w:val="34"/>
          <w:szCs w:val="34"/>
          <w:lang w:val="bg-BG"/>
        </w:rPr>
        <w:t>Актуална информация относно изследователската програма</w:t>
      </w:r>
      <w:r w:rsidR="0089468B" w:rsidRPr="00DE6769">
        <w:rPr>
          <w:rFonts w:eastAsia="Times New Roman" w:cs="Helvetica"/>
          <w:b/>
          <w:bCs/>
          <w:color w:val="CD3333"/>
          <w:sz w:val="34"/>
          <w:szCs w:val="34"/>
        </w:rPr>
        <w:t xml:space="preserve"> (</w:t>
      </w:r>
      <w:r w:rsidR="00DE6769">
        <w:rPr>
          <w:rFonts w:eastAsia="Times New Roman" w:cs="Helvetica"/>
          <w:b/>
          <w:bCs/>
          <w:color w:val="CD3333"/>
          <w:sz w:val="34"/>
          <w:szCs w:val="34"/>
        </w:rPr>
        <w:t>Документ по програмата</w:t>
      </w:r>
      <w:r w:rsidR="0089468B" w:rsidRPr="00DE6769">
        <w:rPr>
          <w:rFonts w:eastAsia="Times New Roman" w:cs="Helvetica"/>
          <w:b/>
          <w:bCs/>
          <w:color w:val="CD3333"/>
          <w:sz w:val="34"/>
          <w:szCs w:val="34"/>
        </w:rPr>
        <w:t xml:space="preserve"> 8)</w:t>
      </w:r>
      <w:bookmarkEnd w:id="7"/>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lastRenderedPageBreak/>
        <w:t>На 30 януари 2020 г.</w:t>
      </w:r>
      <w:r w:rsidRPr="00DE6769">
        <w:rPr>
          <w:rFonts w:eastAsia="Times New Roman" w:cs="Helvetica"/>
          <w:color w:val="575757"/>
          <w:sz w:val="24"/>
          <w:szCs w:val="24"/>
        </w:rPr>
        <w:t xml:space="preserve"> </w:t>
      </w:r>
      <w:r w:rsidRPr="007268F9">
        <w:rPr>
          <w:rFonts w:ascii="Calibri" w:eastAsia="Times New Roman" w:hAnsi="Calibri" w:cs="Helvetica"/>
          <w:color w:val="575757"/>
          <w:sz w:val="24"/>
          <w:szCs w:val="24"/>
          <w:lang w:val="bg-BG"/>
        </w:rPr>
        <w:t xml:space="preserve">Съветът проведе заседание, за да </w:t>
      </w:r>
      <w:r>
        <w:rPr>
          <w:rFonts w:ascii="Calibri" w:eastAsia="Times New Roman" w:hAnsi="Calibri" w:cs="Helvetica"/>
          <w:color w:val="575757"/>
          <w:sz w:val="24"/>
          <w:szCs w:val="24"/>
          <w:lang w:val="bg-BG"/>
        </w:rPr>
        <w:t>бъде запознат с</w:t>
      </w:r>
      <w:r w:rsidRPr="007268F9">
        <w:rPr>
          <w:rFonts w:eastAsia="Times New Roman" w:cs="Helvetica"/>
          <w:color w:val="575757"/>
          <w:sz w:val="24"/>
          <w:szCs w:val="24"/>
          <w:lang w:val="bg-BG"/>
        </w:rPr>
        <w:t xml:space="preserve"> </w:t>
      </w:r>
      <w:r>
        <w:rPr>
          <w:rFonts w:eastAsia="Times New Roman" w:cs="Helvetica"/>
          <w:color w:val="575757"/>
          <w:sz w:val="24"/>
          <w:szCs w:val="24"/>
          <w:lang w:val="bg-BG"/>
        </w:rPr>
        <w:t>актуална информация</w:t>
      </w:r>
      <w:r w:rsidR="0089468B" w:rsidRPr="00DE6769">
        <w:rPr>
          <w:rFonts w:eastAsia="Times New Roman" w:cs="Helvetica"/>
          <w:color w:val="575757"/>
          <w:sz w:val="24"/>
          <w:szCs w:val="24"/>
        </w:rPr>
        <w:t xml:space="preserve"> </w:t>
      </w:r>
      <w:r w:rsidR="00414FF4">
        <w:rPr>
          <w:rFonts w:eastAsia="Times New Roman" w:cs="Helvetica"/>
          <w:color w:val="575757"/>
          <w:sz w:val="24"/>
          <w:szCs w:val="24"/>
          <w:lang w:val="bg-BG"/>
        </w:rPr>
        <w:t>относно изследователската програма</w:t>
      </w:r>
      <w:r w:rsidR="0089468B" w:rsidRPr="00DE6769">
        <w:rPr>
          <w:rFonts w:eastAsia="Times New Roman" w:cs="Helvetica"/>
          <w:color w:val="575757"/>
          <w:sz w:val="24"/>
          <w:szCs w:val="24"/>
        </w:rPr>
        <w:t xml:space="preserve">. </w:t>
      </w:r>
      <w:r w:rsidR="00414FF4">
        <w:rPr>
          <w:rFonts w:eastAsia="Times New Roman" w:cs="Helvetica"/>
          <w:color w:val="575757"/>
          <w:sz w:val="24"/>
          <w:szCs w:val="24"/>
          <w:lang w:val="bg-BG"/>
        </w:rPr>
        <w:t>Информация във връзка с плана за работа на Съвета</w:t>
      </w:r>
      <w:r w:rsidR="0089468B" w:rsidRPr="00DE6769">
        <w:rPr>
          <w:rFonts w:eastAsia="Times New Roman" w:cs="Helvetica"/>
          <w:color w:val="575757"/>
          <w:sz w:val="24"/>
          <w:szCs w:val="24"/>
        </w:rPr>
        <w:t xml:space="preserve">, </w:t>
      </w:r>
      <w:r w:rsidR="00414FF4">
        <w:rPr>
          <w:rFonts w:eastAsia="Times New Roman" w:cs="Helvetica"/>
          <w:color w:val="575757"/>
          <w:sz w:val="24"/>
          <w:szCs w:val="24"/>
          <w:lang w:val="bg-BG"/>
        </w:rPr>
        <w:t>включително изследователската му програма</w:t>
      </w:r>
      <w:r w:rsidR="0089468B" w:rsidRPr="00DE6769">
        <w:rPr>
          <w:rFonts w:eastAsia="Times New Roman" w:cs="Helvetica"/>
          <w:color w:val="575757"/>
          <w:sz w:val="24"/>
          <w:szCs w:val="24"/>
        </w:rPr>
        <w:t>,</w:t>
      </w:r>
      <w:r w:rsidR="00414FF4">
        <w:rPr>
          <w:rFonts w:eastAsia="Times New Roman" w:cs="Helvetica"/>
          <w:color w:val="575757"/>
          <w:sz w:val="24"/>
          <w:szCs w:val="24"/>
          <w:lang w:val="bg-BG"/>
        </w:rPr>
        <w:t xml:space="preserve"> </w:t>
      </w:r>
      <w:hyperlink r:id="rId21" w:history="1">
        <w:r w:rsidR="00414FF4">
          <w:rPr>
            <w:rFonts w:eastAsia="Times New Roman" w:cs="Helvetica"/>
            <w:color w:val="CD3333"/>
            <w:sz w:val="24"/>
            <w:szCs w:val="24"/>
            <w:u w:val="single"/>
            <w:lang w:val="bg-BG"/>
          </w:rPr>
          <w:t>е</w:t>
        </w:r>
      </w:hyperlink>
      <w:r w:rsidR="00414FF4">
        <w:rPr>
          <w:rFonts w:eastAsia="Times New Roman" w:cs="Helvetica"/>
          <w:color w:val="CD3333"/>
          <w:sz w:val="24"/>
          <w:szCs w:val="24"/>
          <w:u w:val="single"/>
          <w:lang w:val="bg-BG"/>
        </w:rPr>
        <w:t xml:space="preserve"> на разположение тук</w:t>
      </w:r>
      <w:r w:rsidR="0089468B" w:rsidRPr="00DE6769">
        <w:rPr>
          <w:rFonts w:eastAsia="Times New Roman" w:cs="Helvetica"/>
          <w:color w:val="575757"/>
          <w:sz w:val="24"/>
          <w:szCs w:val="24"/>
        </w:rPr>
        <w:t>.</w:t>
      </w:r>
    </w:p>
    <w:p w:rsidR="0089468B" w:rsidRPr="007B3430" w:rsidRDefault="003D0750" w:rsidP="0089468B">
      <w:pPr>
        <w:shd w:val="clear" w:color="auto" w:fill="FFFFFF"/>
        <w:spacing w:after="300" w:line="240" w:lineRule="auto"/>
        <w:rPr>
          <w:rFonts w:eastAsia="Times New Roman" w:cs="Helvetica"/>
          <w:color w:val="575757"/>
          <w:sz w:val="24"/>
          <w:szCs w:val="24"/>
          <w:lang w:val="bg-BG"/>
        </w:rPr>
      </w:pPr>
      <w:r>
        <w:rPr>
          <w:rFonts w:eastAsia="Times New Roman" w:cs="Helvetica"/>
          <w:color w:val="575757"/>
          <w:sz w:val="24"/>
          <w:szCs w:val="24"/>
        </w:rPr>
        <w:t>От Съвета не бе поискано да взема каквито и да е решения</w:t>
      </w:r>
      <w:r w:rsidR="007B3430">
        <w:rPr>
          <w:rFonts w:eastAsia="Times New Roman" w:cs="Helvetica"/>
          <w:color w:val="575757"/>
          <w:sz w:val="24"/>
          <w:szCs w:val="24"/>
        </w:rPr>
        <w:t>.</w:t>
      </w:r>
    </w:p>
    <w:p w:rsidR="0089468B" w:rsidRPr="00DE6769" w:rsidRDefault="00DE6769"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rPr>
        <w:t>Следващ етап</w:t>
      </w:r>
    </w:p>
    <w:p w:rsidR="0089468B" w:rsidRPr="00DE6769" w:rsidRDefault="00414FF4"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Съветът очаква да бъде запознат със следваща актуална информация относно изследователската програма на Съвета след три–четири месеца</w:t>
      </w:r>
      <w:r w:rsidR="0089468B" w:rsidRPr="00DE6769">
        <w:rPr>
          <w:rFonts w:eastAsia="Times New Roman" w:cs="Helvetica"/>
          <w:color w:val="575757"/>
          <w:sz w:val="24"/>
          <w:szCs w:val="24"/>
        </w:rPr>
        <w:t>.</w:t>
      </w:r>
    </w:p>
    <w:p w:rsidR="0089468B" w:rsidRPr="00DE6769" w:rsidRDefault="0089468B" w:rsidP="0089468B">
      <w:pPr>
        <w:shd w:val="clear" w:color="auto" w:fill="FFFFFF"/>
        <w:spacing w:after="300" w:line="240" w:lineRule="auto"/>
        <w:rPr>
          <w:rFonts w:eastAsia="Times New Roman" w:cs="Helvetica"/>
          <w:color w:val="575757"/>
          <w:sz w:val="24"/>
          <w:szCs w:val="24"/>
        </w:rPr>
      </w:pPr>
      <w:r w:rsidRPr="00DE6769">
        <w:rPr>
          <w:rFonts w:eastAsia="Times New Roman" w:cs="Helvetica"/>
          <w:color w:val="575757"/>
          <w:sz w:val="24"/>
          <w:szCs w:val="24"/>
        </w:rPr>
        <w:t> </w:t>
      </w:r>
    </w:p>
    <w:p w:rsidR="0089468B" w:rsidRPr="00DE6769" w:rsidRDefault="00414FF4" w:rsidP="0089468B">
      <w:pPr>
        <w:shd w:val="clear" w:color="auto" w:fill="FFFFFF"/>
        <w:spacing w:before="450" w:after="300" w:line="240" w:lineRule="auto"/>
        <w:outlineLvl w:val="1"/>
        <w:rPr>
          <w:rFonts w:eastAsia="Times New Roman" w:cs="Helvetica"/>
          <w:b/>
          <w:bCs/>
          <w:color w:val="333333"/>
          <w:sz w:val="34"/>
          <w:szCs w:val="34"/>
        </w:rPr>
      </w:pPr>
      <w:bookmarkStart w:id="8" w:name="9"/>
      <w:r>
        <w:rPr>
          <w:rFonts w:eastAsia="Times New Roman" w:cs="Helvetica"/>
          <w:b/>
          <w:bCs/>
          <w:color w:val="CD3333"/>
          <w:sz w:val="34"/>
          <w:szCs w:val="34"/>
          <w:lang w:val="bg-BG"/>
        </w:rPr>
        <w:t>Дейности с регулирани цени</w:t>
      </w:r>
      <w:r w:rsidR="0089468B" w:rsidRPr="00DE6769">
        <w:rPr>
          <w:rFonts w:eastAsia="Times New Roman" w:cs="Helvetica"/>
          <w:b/>
          <w:bCs/>
          <w:color w:val="CD3333"/>
          <w:sz w:val="34"/>
          <w:szCs w:val="34"/>
        </w:rPr>
        <w:t xml:space="preserve"> (</w:t>
      </w:r>
      <w:r w:rsidR="00E55BC3">
        <w:rPr>
          <w:rFonts w:eastAsia="Times New Roman" w:cs="Helvetica"/>
          <w:b/>
          <w:bCs/>
          <w:color w:val="CD3333"/>
          <w:sz w:val="34"/>
          <w:szCs w:val="34"/>
          <w:lang w:val="bg-BG"/>
        </w:rPr>
        <w:t>устно предоставена актуална информация</w:t>
      </w:r>
      <w:r w:rsidR="0089468B" w:rsidRPr="00DE6769">
        <w:rPr>
          <w:rFonts w:eastAsia="Times New Roman" w:cs="Helvetica"/>
          <w:b/>
          <w:bCs/>
          <w:color w:val="CD3333"/>
          <w:sz w:val="34"/>
          <w:szCs w:val="34"/>
        </w:rPr>
        <w:t>)</w:t>
      </w:r>
      <w:bookmarkEnd w:id="8"/>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30 януари 2020 г.</w:t>
      </w:r>
      <w:r w:rsidRPr="00DE6769">
        <w:rPr>
          <w:rFonts w:eastAsia="Times New Roman" w:cs="Helvetica"/>
          <w:color w:val="575757"/>
          <w:sz w:val="24"/>
          <w:szCs w:val="24"/>
        </w:rPr>
        <w:t xml:space="preserve"> </w:t>
      </w:r>
      <w:r w:rsidRPr="007268F9">
        <w:rPr>
          <w:rFonts w:ascii="Calibri" w:eastAsia="Times New Roman" w:hAnsi="Calibri" w:cs="Helvetica"/>
          <w:color w:val="575757"/>
          <w:sz w:val="24"/>
          <w:szCs w:val="24"/>
          <w:lang w:val="bg-BG"/>
        </w:rPr>
        <w:t xml:space="preserve">Съветът проведе заседание, за да </w:t>
      </w:r>
      <w:r>
        <w:rPr>
          <w:rFonts w:ascii="Calibri" w:eastAsia="Times New Roman" w:hAnsi="Calibri" w:cs="Helvetica"/>
          <w:color w:val="575757"/>
          <w:sz w:val="24"/>
          <w:szCs w:val="24"/>
          <w:lang w:val="bg-BG"/>
        </w:rPr>
        <w:t>бъде запознат с</w:t>
      </w:r>
      <w:r w:rsidRPr="007268F9">
        <w:rPr>
          <w:rFonts w:eastAsia="Times New Roman" w:cs="Helvetica"/>
          <w:color w:val="575757"/>
          <w:sz w:val="24"/>
          <w:szCs w:val="24"/>
          <w:lang w:val="bg-BG"/>
        </w:rPr>
        <w:t xml:space="preserve"> </w:t>
      </w:r>
      <w:r>
        <w:rPr>
          <w:rFonts w:eastAsia="Times New Roman" w:cs="Helvetica"/>
          <w:color w:val="575757"/>
          <w:sz w:val="24"/>
          <w:szCs w:val="24"/>
          <w:lang w:val="bg-BG"/>
        </w:rPr>
        <w:t>актуална информация</w:t>
      </w:r>
      <w:r w:rsidRPr="00DE6769">
        <w:rPr>
          <w:rFonts w:eastAsia="Times New Roman" w:cs="Helvetica"/>
          <w:color w:val="575757"/>
          <w:sz w:val="24"/>
          <w:szCs w:val="24"/>
        </w:rPr>
        <w:t xml:space="preserve"> </w:t>
      </w:r>
      <w:r w:rsidR="00963A69">
        <w:rPr>
          <w:rFonts w:eastAsia="Times New Roman" w:cs="Helvetica"/>
          <w:color w:val="575757"/>
          <w:sz w:val="24"/>
          <w:szCs w:val="24"/>
          <w:lang w:val="bg-BG"/>
        </w:rPr>
        <w:t>относно напредъка, отбелязан от екипа във връзка с подготовката на проект за обсъждане на предложенията на Съвета, които да предоставят на потребителите на финансовите отчети по-качествена информация относно правата и задълженията на компанията, възникващи от нейните дейности с регулирани цени</w:t>
      </w:r>
      <w:r w:rsidR="0089468B" w:rsidRPr="00DE6769">
        <w:rPr>
          <w:rFonts w:eastAsia="Times New Roman" w:cs="Helvetica"/>
          <w:color w:val="575757"/>
          <w:sz w:val="24"/>
          <w:szCs w:val="24"/>
        </w:rPr>
        <w:t>.</w:t>
      </w:r>
    </w:p>
    <w:p w:rsidR="0089468B" w:rsidRPr="00DE6769" w:rsidRDefault="00DE6769"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rPr>
        <w:t>Следващ етап</w:t>
      </w:r>
    </w:p>
    <w:p w:rsidR="0089468B" w:rsidRPr="00DE6769" w:rsidRDefault="00963A69"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Към настоящия момент Съветът очаква да публикува проект за обсъждане във връзка с направените предложения през втората половина на</w:t>
      </w:r>
      <w:r w:rsidR="0089468B" w:rsidRPr="00DE6769">
        <w:rPr>
          <w:rFonts w:eastAsia="Times New Roman" w:cs="Helvetica"/>
          <w:color w:val="575757"/>
          <w:sz w:val="24"/>
          <w:szCs w:val="24"/>
        </w:rPr>
        <w:t xml:space="preserve"> 2020</w:t>
      </w:r>
      <w:r>
        <w:rPr>
          <w:rFonts w:eastAsia="Times New Roman" w:cs="Helvetica"/>
          <w:color w:val="575757"/>
          <w:sz w:val="24"/>
          <w:szCs w:val="24"/>
          <w:lang w:val="bg-BG"/>
        </w:rPr>
        <w:t xml:space="preserve"> г</w:t>
      </w:r>
      <w:r w:rsidR="0089468B" w:rsidRPr="00DE6769">
        <w:rPr>
          <w:rFonts w:eastAsia="Times New Roman" w:cs="Helvetica"/>
          <w:color w:val="575757"/>
          <w:sz w:val="24"/>
          <w:szCs w:val="24"/>
        </w:rPr>
        <w:t>.</w:t>
      </w:r>
    </w:p>
    <w:p w:rsidR="0089468B" w:rsidRPr="00DE6769" w:rsidRDefault="0089468B" w:rsidP="0089468B">
      <w:pPr>
        <w:shd w:val="clear" w:color="auto" w:fill="FFFFFF"/>
        <w:spacing w:after="300" w:line="240" w:lineRule="auto"/>
        <w:rPr>
          <w:rFonts w:eastAsia="Times New Roman" w:cs="Helvetica"/>
          <w:color w:val="575757"/>
          <w:sz w:val="24"/>
          <w:szCs w:val="24"/>
        </w:rPr>
      </w:pPr>
      <w:r w:rsidRPr="00DE6769">
        <w:rPr>
          <w:rFonts w:eastAsia="Times New Roman" w:cs="Helvetica"/>
          <w:color w:val="575757"/>
          <w:sz w:val="24"/>
          <w:szCs w:val="24"/>
        </w:rPr>
        <w:t> </w:t>
      </w:r>
    </w:p>
    <w:p w:rsidR="0089468B" w:rsidRPr="00DE6769" w:rsidRDefault="00414FF4" w:rsidP="0089468B">
      <w:pPr>
        <w:shd w:val="clear" w:color="auto" w:fill="FFFFFF"/>
        <w:spacing w:before="450" w:after="300" w:line="240" w:lineRule="auto"/>
        <w:outlineLvl w:val="1"/>
        <w:rPr>
          <w:rFonts w:eastAsia="Times New Roman" w:cs="Helvetica"/>
          <w:b/>
          <w:bCs/>
          <w:color w:val="333333"/>
          <w:sz w:val="34"/>
          <w:szCs w:val="34"/>
        </w:rPr>
      </w:pPr>
      <w:bookmarkStart w:id="9" w:name="10"/>
      <w:r w:rsidRPr="00414FF4">
        <w:rPr>
          <w:rFonts w:eastAsia="Times New Roman" w:cs="Helvetica"/>
          <w:b/>
          <w:bCs/>
          <w:color w:val="CD3333"/>
          <w:sz w:val="34"/>
          <w:szCs w:val="34"/>
          <w:lang w:val="bg-BG"/>
        </w:rPr>
        <w:t>Реформата на референтните лихвени проценти и ефектът й върху финансовото отчитане</w:t>
      </w:r>
      <w:r w:rsidR="0089468B" w:rsidRPr="00414FF4">
        <w:rPr>
          <w:rFonts w:eastAsia="Times New Roman" w:cs="Helvetica"/>
          <w:b/>
          <w:bCs/>
          <w:color w:val="CD3333"/>
          <w:sz w:val="34"/>
          <w:szCs w:val="34"/>
          <w:lang w:val="bg-BG"/>
        </w:rPr>
        <w:t>—</w:t>
      </w:r>
      <w:r w:rsidRPr="00414FF4">
        <w:rPr>
          <w:rFonts w:eastAsia="Times New Roman" w:cs="Helvetica"/>
          <w:b/>
          <w:bCs/>
          <w:color w:val="CD3333"/>
          <w:sz w:val="34"/>
          <w:szCs w:val="34"/>
          <w:lang w:val="bg-BG"/>
        </w:rPr>
        <w:t>Фаза</w:t>
      </w:r>
      <w:r w:rsidR="0089468B" w:rsidRPr="00414FF4">
        <w:rPr>
          <w:rFonts w:eastAsia="Times New Roman" w:cs="Helvetica"/>
          <w:b/>
          <w:bCs/>
          <w:color w:val="CD3333"/>
          <w:sz w:val="34"/>
          <w:szCs w:val="34"/>
          <w:lang w:val="bg-BG"/>
        </w:rPr>
        <w:t xml:space="preserve"> 2 (</w:t>
      </w:r>
      <w:r w:rsidR="00DE6769" w:rsidRPr="00414FF4">
        <w:rPr>
          <w:rFonts w:eastAsia="Times New Roman" w:cs="Helvetica"/>
          <w:b/>
          <w:bCs/>
          <w:color w:val="CD3333"/>
          <w:sz w:val="34"/>
          <w:szCs w:val="34"/>
          <w:lang w:val="bg-BG"/>
        </w:rPr>
        <w:t>Документ по програмата</w:t>
      </w:r>
      <w:r w:rsidR="0089468B" w:rsidRPr="00414FF4">
        <w:rPr>
          <w:rFonts w:eastAsia="Times New Roman" w:cs="Helvetica"/>
          <w:b/>
          <w:bCs/>
          <w:color w:val="CD3333"/>
          <w:sz w:val="34"/>
          <w:szCs w:val="34"/>
          <w:lang w:val="bg-BG"/>
        </w:rPr>
        <w:t xml:space="preserve"> 14</w:t>
      </w:r>
      <w:r w:rsidR="0089468B" w:rsidRPr="00DE6769">
        <w:rPr>
          <w:rFonts w:eastAsia="Times New Roman" w:cs="Helvetica"/>
          <w:b/>
          <w:bCs/>
          <w:color w:val="CD3333"/>
          <w:sz w:val="34"/>
          <w:szCs w:val="34"/>
        </w:rPr>
        <w:t>)</w:t>
      </w:r>
      <w:bookmarkEnd w:id="9"/>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30 януари 2020 г.</w:t>
      </w:r>
      <w:r w:rsidRPr="00DE6769">
        <w:rPr>
          <w:rFonts w:eastAsia="Times New Roman" w:cs="Helvetica"/>
          <w:color w:val="575757"/>
          <w:sz w:val="24"/>
          <w:szCs w:val="24"/>
        </w:rPr>
        <w:t xml:space="preserve"> </w:t>
      </w:r>
      <w:r w:rsidRPr="007268F9">
        <w:rPr>
          <w:rFonts w:ascii="Calibri" w:eastAsia="Times New Roman" w:hAnsi="Calibri" w:cs="Helvetica"/>
          <w:color w:val="575757"/>
          <w:sz w:val="24"/>
          <w:szCs w:val="24"/>
          <w:lang w:val="bg-BG"/>
        </w:rPr>
        <w:t xml:space="preserve">Съветът проведе заседание, за да </w:t>
      </w:r>
      <w:r>
        <w:rPr>
          <w:rFonts w:ascii="Calibri" w:eastAsia="Times New Roman" w:hAnsi="Calibri" w:cs="Helvetica"/>
          <w:color w:val="575757"/>
          <w:sz w:val="24"/>
          <w:szCs w:val="24"/>
          <w:lang w:val="bg-BG"/>
        </w:rPr>
        <w:t xml:space="preserve">обсъди </w:t>
      </w:r>
      <w:r w:rsidR="00335FF2">
        <w:rPr>
          <w:rFonts w:eastAsia="Times New Roman" w:cs="Helvetica"/>
          <w:color w:val="575757"/>
          <w:sz w:val="24"/>
          <w:szCs w:val="24"/>
          <w:lang w:val="bg-BG"/>
        </w:rPr>
        <w:t>следните проблемни въпроси, които биха могли да възникнат в резултат на реформата на референтните лихвени проценти</w:t>
      </w:r>
      <w:r w:rsidR="0089468B" w:rsidRPr="00DE6769">
        <w:rPr>
          <w:rFonts w:eastAsia="Times New Roman" w:cs="Helvetica"/>
          <w:color w:val="575757"/>
          <w:sz w:val="24"/>
          <w:szCs w:val="24"/>
        </w:rPr>
        <w:t>:</w:t>
      </w:r>
    </w:p>
    <w:p w:rsidR="0089468B" w:rsidRPr="00DE6769" w:rsidRDefault="00335FF2" w:rsidP="0089468B">
      <w:pPr>
        <w:numPr>
          <w:ilvl w:val="0"/>
          <w:numId w:val="16"/>
        </w:numPr>
        <w:shd w:val="clear" w:color="auto" w:fill="FFFFFF"/>
        <w:spacing w:before="75" w:after="75" w:line="240" w:lineRule="auto"/>
        <w:ind w:left="495"/>
        <w:rPr>
          <w:rFonts w:eastAsia="Times New Roman" w:cs="Helvetica"/>
          <w:color w:val="575757"/>
          <w:sz w:val="24"/>
          <w:szCs w:val="24"/>
        </w:rPr>
      </w:pPr>
      <w:proofErr w:type="gramStart"/>
      <w:r>
        <w:rPr>
          <w:rFonts w:eastAsia="Times New Roman" w:cs="Helvetica"/>
          <w:color w:val="575757"/>
          <w:sz w:val="24"/>
          <w:szCs w:val="24"/>
          <w:lang w:val="bg-BG"/>
        </w:rPr>
        <w:t>взаимовръзката</w:t>
      </w:r>
      <w:proofErr w:type="gramEnd"/>
      <w:r>
        <w:rPr>
          <w:rFonts w:eastAsia="Times New Roman" w:cs="Helvetica"/>
          <w:color w:val="575757"/>
          <w:sz w:val="24"/>
          <w:szCs w:val="24"/>
          <w:lang w:val="bg-BG"/>
        </w:rPr>
        <w:t xml:space="preserve"> между взетите до настоящия момент в порядък на работна хипотеза решения на Съвета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във Фаза</w:t>
      </w:r>
      <w:r w:rsidR="0089468B" w:rsidRPr="00DE6769">
        <w:rPr>
          <w:rFonts w:eastAsia="Times New Roman" w:cs="Helvetica"/>
          <w:color w:val="575757"/>
          <w:sz w:val="24"/>
          <w:szCs w:val="24"/>
        </w:rPr>
        <w:t xml:space="preserve"> 2 </w:t>
      </w:r>
      <w:r>
        <w:rPr>
          <w:rFonts w:eastAsia="Times New Roman" w:cs="Helvetica"/>
          <w:color w:val="575757"/>
          <w:sz w:val="24"/>
          <w:szCs w:val="24"/>
          <w:lang w:val="bg-BG"/>
        </w:rPr>
        <w:t>на проекта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 xml:space="preserve">и </w:t>
      </w:r>
      <w:r w:rsidR="00E55BC3">
        <w:rPr>
          <w:rFonts w:eastAsia="Times New Roman" w:cs="Helvetica"/>
          <w:color w:val="575757"/>
          <w:sz w:val="24"/>
          <w:szCs w:val="24"/>
          <w:lang w:val="bg-BG"/>
        </w:rPr>
        <w:t>края</w:t>
      </w:r>
      <w:r>
        <w:rPr>
          <w:rFonts w:eastAsia="Times New Roman" w:cs="Helvetica"/>
          <w:color w:val="575757"/>
          <w:sz w:val="24"/>
          <w:szCs w:val="24"/>
          <w:lang w:val="bg-BG"/>
        </w:rPr>
        <w:t xml:space="preserve"> на изискванията за прилагане за измененията във Фаза</w:t>
      </w:r>
      <w:r w:rsidR="0089468B" w:rsidRPr="00DE6769">
        <w:rPr>
          <w:rFonts w:eastAsia="Times New Roman" w:cs="Helvetica"/>
          <w:color w:val="575757"/>
          <w:sz w:val="24"/>
          <w:szCs w:val="24"/>
        </w:rPr>
        <w:t xml:space="preserve"> 1 </w:t>
      </w:r>
      <w:r>
        <w:rPr>
          <w:rFonts w:eastAsia="Times New Roman" w:cs="Helvetica"/>
          <w:color w:val="575757"/>
          <w:sz w:val="24"/>
          <w:szCs w:val="24"/>
          <w:lang w:val="bg-BG"/>
        </w:rPr>
        <w:t>по отношение на</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9 </w:t>
      </w:r>
      <w:r w:rsidRPr="00335FF2">
        <w:rPr>
          <w:rFonts w:eastAsia="Times New Roman" w:cs="Helvetica"/>
          <w:i/>
          <w:iCs/>
          <w:color w:val="575757"/>
          <w:sz w:val="24"/>
          <w:szCs w:val="24"/>
          <w:lang w:val="bg-BG"/>
        </w:rPr>
        <w:t xml:space="preserve">Финансови инструменти </w:t>
      </w:r>
      <w:r>
        <w:rPr>
          <w:rFonts w:eastAsia="Times New Roman" w:cs="Helvetica"/>
          <w:color w:val="575757"/>
          <w:sz w:val="24"/>
          <w:szCs w:val="24"/>
          <w:lang w:val="bg-BG"/>
        </w:rPr>
        <w:t>и</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МСС</w:t>
      </w:r>
      <w:r w:rsidR="0089468B" w:rsidRPr="00DE6769">
        <w:rPr>
          <w:rFonts w:eastAsia="Times New Roman" w:cs="Helvetica"/>
          <w:color w:val="575757"/>
          <w:sz w:val="24"/>
          <w:szCs w:val="24"/>
        </w:rPr>
        <w:t xml:space="preserve"> 39 </w:t>
      </w:r>
      <w:r>
        <w:rPr>
          <w:rFonts w:eastAsia="Times New Roman" w:cs="Helvetica"/>
          <w:i/>
          <w:iCs/>
          <w:color w:val="575757"/>
          <w:sz w:val="24"/>
          <w:szCs w:val="24"/>
          <w:lang w:val="bg-BG"/>
        </w:rPr>
        <w:t>Финансови инструменти</w:t>
      </w:r>
      <w:r w:rsidR="0089468B" w:rsidRPr="00DE6769">
        <w:rPr>
          <w:rFonts w:eastAsia="Times New Roman" w:cs="Helvetica"/>
          <w:i/>
          <w:iCs/>
          <w:color w:val="575757"/>
          <w:sz w:val="24"/>
          <w:szCs w:val="24"/>
        </w:rPr>
        <w:t xml:space="preserve">: </w:t>
      </w:r>
      <w:r>
        <w:rPr>
          <w:rFonts w:eastAsia="Times New Roman" w:cs="Helvetica"/>
          <w:i/>
          <w:iCs/>
          <w:color w:val="575757"/>
          <w:sz w:val="24"/>
          <w:szCs w:val="24"/>
          <w:lang w:val="bg-BG"/>
        </w:rPr>
        <w:t>признаване и оценяване</w:t>
      </w:r>
      <w:r w:rsidR="0089468B" w:rsidRPr="00DE6769">
        <w:rPr>
          <w:rFonts w:eastAsia="Times New Roman" w:cs="Helvetica"/>
          <w:color w:val="575757"/>
          <w:sz w:val="24"/>
          <w:szCs w:val="24"/>
        </w:rPr>
        <w:t>;</w:t>
      </w:r>
    </w:p>
    <w:p w:rsidR="0089468B" w:rsidRPr="00DE6769" w:rsidRDefault="00335FF2" w:rsidP="0089468B">
      <w:pPr>
        <w:numPr>
          <w:ilvl w:val="0"/>
          <w:numId w:val="16"/>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lastRenderedPageBreak/>
        <w:t>потенциалния ефект от реформата на референтните лихвени проценти върху</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стандартите, различен от ефекта, отнасящ се до счетоводното отчитане на финансовите инструменти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335FF2" w:rsidP="0089468B">
      <w:pPr>
        <w:numPr>
          <w:ilvl w:val="0"/>
          <w:numId w:val="16"/>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потенциалните изисквания за оповестяване, които да съпътстват взетите в порядък на работна хипотеза решения на Съвета във връзка с Фаза 2 на проекта</w:t>
      </w:r>
      <w:r w:rsidR="0089468B" w:rsidRPr="00DE6769">
        <w:rPr>
          <w:rFonts w:eastAsia="Times New Roman" w:cs="Helvetica"/>
          <w:color w:val="575757"/>
          <w:sz w:val="24"/>
          <w:szCs w:val="24"/>
        </w:rPr>
        <w:t>.</w:t>
      </w:r>
    </w:p>
    <w:p w:rsidR="0089468B" w:rsidRPr="00DE6769" w:rsidRDefault="00DE6769"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Документ по програмата</w:t>
      </w:r>
      <w:r w:rsidR="0089468B" w:rsidRPr="00DE6769">
        <w:rPr>
          <w:rFonts w:eastAsia="Times New Roman" w:cs="Helvetica"/>
          <w:color w:val="575757"/>
          <w:sz w:val="24"/>
          <w:szCs w:val="24"/>
        </w:rPr>
        <w:t xml:space="preserve"> 14 </w:t>
      </w:r>
      <w:r w:rsidR="00335FF2">
        <w:rPr>
          <w:rFonts w:eastAsia="Times New Roman" w:cs="Helvetica"/>
          <w:color w:val="575757"/>
          <w:sz w:val="24"/>
          <w:szCs w:val="24"/>
          <w:lang w:val="bg-BG"/>
        </w:rPr>
        <w:t>предоставя единствено с информационна цел обобщение на</w:t>
      </w:r>
      <w:r w:rsidR="0089468B" w:rsidRPr="00DE6769">
        <w:rPr>
          <w:rFonts w:eastAsia="Times New Roman" w:cs="Helvetica"/>
          <w:color w:val="575757"/>
          <w:sz w:val="24"/>
          <w:szCs w:val="24"/>
        </w:rPr>
        <w:t xml:space="preserve"> </w:t>
      </w:r>
      <w:r w:rsidR="00335FF2" w:rsidRPr="00335FF2">
        <w:rPr>
          <w:rFonts w:eastAsia="Times New Roman" w:cs="Helvetica"/>
          <w:color w:val="575757"/>
          <w:sz w:val="24"/>
          <w:szCs w:val="24"/>
          <w:lang w:val="bg-BG"/>
        </w:rPr>
        <w:t xml:space="preserve">взетите </w:t>
      </w:r>
      <w:r w:rsidR="00335FF2">
        <w:rPr>
          <w:rFonts w:eastAsia="Times New Roman" w:cs="Helvetica"/>
          <w:color w:val="575757"/>
          <w:sz w:val="24"/>
          <w:szCs w:val="24"/>
          <w:lang w:val="bg-BG"/>
        </w:rPr>
        <w:t xml:space="preserve">до момента </w:t>
      </w:r>
      <w:r w:rsidR="00335FF2" w:rsidRPr="00335FF2">
        <w:rPr>
          <w:rFonts w:eastAsia="Times New Roman" w:cs="Helvetica"/>
          <w:color w:val="575757"/>
          <w:sz w:val="24"/>
          <w:szCs w:val="24"/>
          <w:lang w:val="bg-BG"/>
        </w:rPr>
        <w:t>в порядък на работна хипотеза решения на Съвета</w:t>
      </w:r>
      <w:r w:rsidR="0089468B" w:rsidRPr="00DE6769">
        <w:rPr>
          <w:rFonts w:eastAsia="Times New Roman" w:cs="Helvetica"/>
          <w:color w:val="575757"/>
          <w:sz w:val="24"/>
          <w:szCs w:val="24"/>
        </w:rPr>
        <w:t>.</w:t>
      </w:r>
    </w:p>
    <w:p w:rsidR="0089468B" w:rsidRPr="00DE6769" w:rsidRDefault="00335FF2"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lang w:val="bg-BG"/>
        </w:rPr>
        <w:t>Край на прилагането</w:t>
      </w:r>
      <w:r w:rsidR="0089468B" w:rsidRPr="00DE6769">
        <w:rPr>
          <w:rFonts w:eastAsia="Times New Roman" w:cs="Helvetica"/>
          <w:b/>
          <w:bCs/>
          <w:i/>
          <w:iCs/>
          <w:color w:val="333333"/>
          <w:sz w:val="27"/>
          <w:szCs w:val="27"/>
        </w:rPr>
        <w:t>―</w:t>
      </w:r>
      <w:r>
        <w:rPr>
          <w:rFonts w:eastAsia="Times New Roman" w:cs="Helvetica"/>
          <w:b/>
          <w:bCs/>
          <w:i/>
          <w:iCs/>
          <w:color w:val="333333"/>
          <w:sz w:val="27"/>
          <w:szCs w:val="27"/>
          <w:lang w:val="bg-BG"/>
        </w:rPr>
        <w:t>изключения във Фаза</w:t>
      </w:r>
      <w:r w:rsidR="0089468B" w:rsidRPr="00DE6769">
        <w:rPr>
          <w:rFonts w:eastAsia="Times New Roman" w:cs="Helvetica"/>
          <w:b/>
          <w:bCs/>
          <w:i/>
          <w:iCs/>
          <w:color w:val="333333"/>
          <w:sz w:val="27"/>
          <w:szCs w:val="27"/>
        </w:rPr>
        <w:t xml:space="preserve"> 1</w:t>
      </w:r>
      <w:r>
        <w:rPr>
          <w:rFonts w:eastAsia="Times New Roman" w:cs="Helvetica"/>
          <w:b/>
          <w:bCs/>
          <w:i/>
          <w:iCs/>
          <w:color w:val="333333"/>
          <w:sz w:val="27"/>
          <w:szCs w:val="27"/>
          <w:lang w:val="bg-BG"/>
        </w:rPr>
        <w:t xml:space="preserve"> </w:t>
      </w:r>
      <w:r w:rsidR="0089468B" w:rsidRPr="00DE6769">
        <w:rPr>
          <w:rFonts w:eastAsia="Times New Roman" w:cs="Helvetica"/>
          <w:b/>
          <w:bCs/>
          <w:color w:val="333333"/>
          <w:sz w:val="24"/>
          <w:szCs w:val="24"/>
        </w:rPr>
        <w:t>(</w:t>
      </w:r>
      <w:r w:rsidR="00DE6769">
        <w:rPr>
          <w:rFonts w:eastAsia="Times New Roman" w:cs="Helvetica"/>
          <w:b/>
          <w:bCs/>
          <w:color w:val="333333"/>
          <w:sz w:val="24"/>
          <w:szCs w:val="24"/>
        </w:rPr>
        <w:t>Документ по програмата</w:t>
      </w:r>
      <w:r w:rsidR="0089468B" w:rsidRPr="00DE6769">
        <w:rPr>
          <w:rFonts w:eastAsia="Times New Roman" w:cs="Helvetica"/>
          <w:b/>
          <w:bCs/>
          <w:color w:val="333333"/>
          <w:sz w:val="24"/>
          <w:szCs w:val="24"/>
        </w:rPr>
        <w:t xml:space="preserve"> 14A)</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w:t>
      </w:r>
    </w:p>
    <w:p w:rsidR="0089468B" w:rsidRPr="00DE6769" w:rsidRDefault="00335FF2" w:rsidP="0089468B">
      <w:pPr>
        <w:numPr>
          <w:ilvl w:val="0"/>
          <w:numId w:val="17"/>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измени</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МСС</w:t>
      </w:r>
      <w:r w:rsidR="0089468B" w:rsidRPr="00DE6769">
        <w:rPr>
          <w:rFonts w:eastAsia="Times New Roman" w:cs="Helvetica"/>
          <w:color w:val="575757"/>
          <w:sz w:val="24"/>
          <w:szCs w:val="24"/>
        </w:rPr>
        <w:t xml:space="preserve"> 39, </w:t>
      </w:r>
      <w:r w:rsidR="00122A41">
        <w:rPr>
          <w:rFonts w:eastAsia="Times New Roman" w:cs="Helvetica"/>
          <w:color w:val="575757"/>
          <w:sz w:val="24"/>
          <w:szCs w:val="24"/>
          <w:lang w:val="bg-BG"/>
        </w:rPr>
        <w:t>само за целите на оценяване на ретроспективната ефективност</w:t>
      </w:r>
      <w:r w:rsidR="0089468B" w:rsidRPr="00DE6769">
        <w:rPr>
          <w:rFonts w:eastAsia="Times New Roman" w:cs="Helvetica"/>
          <w:color w:val="575757"/>
          <w:sz w:val="24"/>
          <w:szCs w:val="24"/>
        </w:rPr>
        <w:t xml:space="preserve">, </w:t>
      </w:r>
      <w:r w:rsidR="00122A41">
        <w:rPr>
          <w:rFonts w:eastAsia="Times New Roman" w:cs="Helvetica"/>
          <w:color w:val="575757"/>
          <w:sz w:val="24"/>
          <w:szCs w:val="24"/>
          <w:lang w:val="bg-BG"/>
        </w:rPr>
        <w:t>така че да изисква</w:t>
      </w:r>
      <w:r w:rsidR="0089468B" w:rsidRPr="00DE6769">
        <w:rPr>
          <w:rFonts w:eastAsia="Times New Roman" w:cs="Helvetica"/>
          <w:color w:val="575757"/>
          <w:sz w:val="24"/>
          <w:szCs w:val="24"/>
        </w:rPr>
        <w:t xml:space="preserve"> </w:t>
      </w:r>
      <w:r w:rsidR="00122A41">
        <w:rPr>
          <w:rFonts w:eastAsia="Times New Roman" w:cs="Helvetica"/>
          <w:color w:val="575757"/>
          <w:sz w:val="24"/>
          <w:szCs w:val="24"/>
          <w:lang w:val="bg-BG"/>
        </w:rPr>
        <w:t>предприятията</w:t>
      </w:r>
      <w:r w:rsidR="0089468B" w:rsidRPr="00DE6769">
        <w:rPr>
          <w:rFonts w:eastAsia="Times New Roman" w:cs="Helvetica"/>
          <w:color w:val="575757"/>
          <w:sz w:val="24"/>
          <w:szCs w:val="24"/>
        </w:rPr>
        <w:t xml:space="preserve"> </w:t>
      </w:r>
      <w:r w:rsidR="00122A41">
        <w:rPr>
          <w:rFonts w:eastAsia="Times New Roman" w:cs="Helvetica"/>
          <w:color w:val="575757"/>
          <w:sz w:val="24"/>
          <w:szCs w:val="24"/>
          <w:lang w:val="bg-BG"/>
        </w:rPr>
        <w:t>да коригира до нула кумулативните промени в справедливата стойност</w:t>
      </w:r>
      <w:r w:rsidR="0089468B" w:rsidRPr="00DE6769">
        <w:rPr>
          <w:rFonts w:eastAsia="Times New Roman" w:cs="Helvetica"/>
          <w:color w:val="575757"/>
          <w:sz w:val="24"/>
          <w:szCs w:val="24"/>
        </w:rPr>
        <w:t xml:space="preserve"> </w:t>
      </w:r>
      <w:r w:rsidR="00122A41">
        <w:rPr>
          <w:rFonts w:eastAsia="Times New Roman" w:cs="Helvetica"/>
          <w:color w:val="575757"/>
          <w:sz w:val="24"/>
          <w:szCs w:val="24"/>
          <w:lang w:val="bg-BG"/>
        </w:rPr>
        <w:t xml:space="preserve">на хеджиращия инструмент и хеджираната позиция към датата, когато изключението от ретроспективното оценяване в параграф </w:t>
      </w:r>
      <w:r w:rsidR="0089468B" w:rsidRPr="00DE6769">
        <w:rPr>
          <w:rFonts w:eastAsia="Times New Roman" w:cs="Helvetica"/>
          <w:color w:val="575757"/>
          <w:sz w:val="24"/>
          <w:szCs w:val="24"/>
        </w:rPr>
        <w:t>102</w:t>
      </w:r>
      <w:r w:rsidR="00122A41">
        <w:rPr>
          <w:rFonts w:eastAsia="Times New Roman" w:cs="Helvetica"/>
          <w:color w:val="575757"/>
          <w:sz w:val="24"/>
          <w:szCs w:val="24"/>
          <w:lang w:val="bg-BG"/>
        </w:rPr>
        <w:t>Ж</w:t>
      </w:r>
      <w:r w:rsidR="0089468B" w:rsidRPr="00DE6769">
        <w:rPr>
          <w:rFonts w:eastAsia="Times New Roman" w:cs="Helvetica"/>
          <w:color w:val="575757"/>
          <w:sz w:val="24"/>
          <w:szCs w:val="24"/>
        </w:rPr>
        <w:t xml:space="preserve"> </w:t>
      </w:r>
      <w:r w:rsidR="00122A41">
        <w:rPr>
          <w:rFonts w:eastAsia="Times New Roman" w:cs="Helvetica"/>
          <w:color w:val="575757"/>
          <w:sz w:val="24"/>
          <w:szCs w:val="24"/>
          <w:lang w:val="bg-BG"/>
        </w:rPr>
        <w:t>от</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МСС</w:t>
      </w:r>
      <w:r w:rsidR="0089468B" w:rsidRPr="00DE6769">
        <w:rPr>
          <w:rFonts w:eastAsia="Times New Roman" w:cs="Helvetica"/>
          <w:color w:val="575757"/>
          <w:sz w:val="24"/>
          <w:szCs w:val="24"/>
        </w:rPr>
        <w:t xml:space="preserve"> 39 </w:t>
      </w:r>
      <w:r w:rsidR="00122A41">
        <w:rPr>
          <w:rFonts w:eastAsia="Times New Roman" w:cs="Helvetica"/>
          <w:color w:val="575757"/>
          <w:sz w:val="24"/>
          <w:szCs w:val="24"/>
          <w:lang w:val="bg-BG"/>
        </w:rPr>
        <w:t>спира да е приложимо</w:t>
      </w:r>
      <w:r w:rsidR="0089468B" w:rsidRPr="00DE6769">
        <w:rPr>
          <w:rFonts w:eastAsia="Times New Roman" w:cs="Helvetica"/>
          <w:color w:val="575757"/>
          <w:sz w:val="24"/>
          <w:szCs w:val="24"/>
        </w:rPr>
        <w:t xml:space="preserve">; </w:t>
      </w:r>
      <w:r w:rsidR="00122A41">
        <w:rPr>
          <w:rFonts w:eastAsia="Times New Roman" w:cs="Helvetica"/>
          <w:color w:val="575757"/>
          <w:sz w:val="24"/>
          <w:szCs w:val="24"/>
          <w:lang w:val="bg-BG"/>
        </w:rPr>
        <w:t>и</w:t>
      </w:r>
    </w:p>
    <w:p w:rsidR="0089468B" w:rsidRPr="00DE6769" w:rsidRDefault="00335FF2" w:rsidP="0089468B">
      <w:pPr>
        <w:numPr>
          <w:ilvl w:val="0"/>
          <w:numId w:val="17"/>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не прави изменения</w:t>
      </w:r>
      <w:r w:rsidR="0089468B" w:rsidRPr="00DE6769">
        <w:rPr>
          <w:rFonts w:eastAsia="Times New Roman" w:cs="Helvetica"/>
          <w:color w:val="575757"/>
          <w:sz w:val="24"/>
          <w:szCs w:val="24"/>
        </w:rPr>
        <w:t xml:space="preserve"> </w:t>
      </w:r>
      <w:r w:rsidR="00122A41">
        <w:rPr>
          <w:rFonts w:eastAsia="Times New Roman" w:cs="Helvetica"/>
          <w:color w:val="575757"/>
          <w:sz w:val="24"/>
          <w:szCs w:val="24"/>
          <w:lang w:val="bg-BG"/>
        </w:rPr>
        <w:t>до изтичане на изискванията за прилагане по отношение на изключенията във Фаза</w:t>
      </w:r>
      <w:r w:rsidR="0089468B" w:rsidRPr="00DE6769">
        <w:rPr>
          <w:rFonts w:eastAsia="Times New Roman" w:cs="Helvetica"/>
          <w:color w:val="575757"/>
          <w:sz w:val="24"/>
          <w:szCs w:val="24"/>
        </w:rPr>
        <w:t xml:space="preserve"> 1 </w:t>
      </w:r>
      <w:r w:rsidR="00122A41">
        <w:rPr>
          <w:rFonts w:eastAsia="Times New Roman" w:cs="Helvetica"/>
          <w:color w:val="575757"/>
          <w:sz w:val="24"/>
          <w:szCs w:val="24"/>
          <w:lang w:val="bg-BG"/>
        </w:rPr>
        <w:t>във връзка с</w:t>
      </w:r>
      <w:r w:rsidR="0089468B" w:rsidRPr="00DE6769">
        <w:rPr>
          <w:rFonts w:eastAsia="Times New Roman" w:cs="Helvetica"/>
          <w:color w:val="575757"/>
          <w:sz w:val="24"/>
          <w:szCs w:val="24"/>
        </w:rPr>
        <w:t xml:space="preserve"> </w:t>
      </w:r>
      <w:r w:rsidR="00122A41">
        <w:rPr>
          <w:rFonts w:eastAsia="Times New Roman" w:cs="Helvetica"/>
          <w:color w:val="575757"/>
          <w:sz w:val="24"/>
          <w:szCs w:val="24"/>
          <w:lang w:val="bg-BG"/>
        </w:rPr>
        <w:t>изискването за голяма вероятност по отношение на</w:t>
      </w:r>
      <w:r w:rsidR="0089468B" w:rsidRPr="00DE6769">
        <w:rPr>
          <w:rFonts w:eastAsia="Times New Roman" w:cs="Helvetica"/>
          <w:color w:val="575757"/>
          <w:sz w:val="24"/>
          <w:szCs w:val="24"/>
        </w:rPr>
        <w:t xml:space="preserve"> </w:t>
      </w:r>
      <w:r w:rsidR="00122A41">
        <w:rPr>
          <w:rFonts w:eastAsia="Times New Roman" w:cs="Helvetica"/>
          <w:color w:val="575757"/>
          <w:sz w:val="24"/>
          <w:szCs w:val="24"/>
          <w:lang w:val="bg-BG"/>
        </w:rPr>
        <w:t>хеджирането на паричен поток</w:t>
      </w:r>
      <w:r w:rsidR="0089468B" w:rsidRPr="00DE6769">
        <w:rPr>
          <w:rFonts w:eastAsia="Times New Roman" w:cs="Helvetica"/>
          <w:color w:val="575757"/>
          <w:sz w:val="24"/>
          <w:szCs w:val="24"/>
        </w:rPr>
        <w:t xml:space="preserve"> </w:t>
      </w:r>
      <w:r w:rsidR="00122A41">
        <w:rPr>
          <w:rFonts w:eastAsia="Times New Roman" w:cs="Helvetica"/>
          <w:color w:val="575757"/>
          <w:sz w:val="24"/>
          <w:szCs w:val="24"/>
          <w:lang w:val="bg-BG"/>
        </w:rPr>
        <w:t>и перспективните оценявания в</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9 </w:t>
      </w:r>
      <w:r w:rsidR="00122A41">
        <w:rPr>
          <w:rFonts w:eastAsia="Times New Roman" w:cs="Helvetica"/>
          <w:color w:val="575757"/>
          <w:sz w:val="24"/>
          <w:szCs w:val="24"/>
          <w:lang w:val="bg-BG"/>
        </w:rPr>
        <w:t>и</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МСС</w:t>
      </w:r>
      <w:r w:rsidR="0089468B" w:rsidRPr="00DE6769">
        <w:rPr>
          <w:rFonts w:eastAsia="Times New Roman" w:cs="Helvetica"/>
          <w:color w:val="575757"/>
          <w:sz w:val="24"/>
          <w:szCs w:val="24"/>
        </w:rPr>
        <w:t xml:space="preserve"> 39.</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Всичките четиринадесет членове на Съвета изразиха съгласие с тези решения</w:t>
      </w:r>
      <w:r w:rsidR="0089468B" w:rsidRPr="00DE6769">
        <w:rPr>
          <w:rFonts w:eastAsia="Times New Roman" w:cs="Helvetica"/>
          <w:color w:val="575757"/>
          <w:sz w:val="24"/>
          <w:szCs w:val="24"/>
        </w:rPr>
        <w:t>.</w:t>
      </w:r>
    </w:p>
    <w:p w:rsidR="0089468B" w:rsidRPr="00DE6769" w:rsidRDefault="00122A41"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lang w:val="bg-BG"/>
        </w:rPr>
        <w:t>Други</w:t>
      </w:r>
      <w:r w:rsidR="0089468B" w:rsidRPr="00DE6769">
        <w:rPr>
          <w:rFonts w:eastAsia="Times New Roman" w:cs="Helvetica"/>
          <w:b/>
          <w:bCs/>
          <w:i/>
          <w:iCs/>
          <w:color w:val="333333"/>
          <w:sz w:val="27"/>
          <w:szCs w:val="27"/>
        </w:rPr>
        <w:t xml:space="preserve"> </w:t>
      </w:r>
      <w:r w:rsidR="00DE6769">
        <w:rPr>
          <w:rFonts w:eastAsia="Times New Roman" w:cs="Helvetica"/>
          <w:b/>
          <w:bCs/>
          <w:i/>
          <w:iCs/>
          <w:color w:val="333333"/>
          <w:sz w:val="27"/>
          <w:szCs w:val="27"/>
        </w:rPr>
        <w:t>МСФО</w:t>
      </w:r>
      <w:r w:rsidR="0089468B" w:rsidRPr="00DE6769">
        <w:rPr>
          <w:rFonts w:eastAsia="Times New Roman" w:cs="Helvetica"/>
          <w:b/>
          <w:bCs/>
          <w:i/>
          <w:iCs/>
          <w:color w:val="333333"/>
          <w:sz w:val="27"/>
          <w:szCs w:val="27"/>
        </w:rPr>
        <w:t xml:space="preserve"> </w:t>
      </w:r>
      <w:r>
        <w:rPr>
          <w:rFonts w:eastAsia="Times New Roman" w:cs="Helvetica"/>
          <w:b/>
          <w:bCs/>
          <w:i/>
          <w:iCs/>
          <w:color w:val="333333"/>
          <w:sz w:val="27"/>
          <w:szCs w:val="27"/>
          <w:lang w:val="bg-BG"/>
        </w:rPr>
        <w:t xml:space="preserve">стандарти </w:t>
      </w:r>
      <w:r w:rsidR="0089468B" w:rsidRPr="00DE6769">
        <w:rPr>
          <w:rFonts w:eastAsia="Times New Roman" w:cs="Helvetica"/>
          <w:b/>
          <w:bCs/>
          <w:color w:val="333333"/>
          <w:sz w:val="24"/>
          <w:szCs w:val="24"/>
        </w:rPr>
        <w:t>(</w:t>
      </w:r>
      <w:r w:rsidR="00DE6769">
        <w:rPr>
          <w:rFonts w:eastAsia="Times New Roman" w:cs="Helvetica"/>
          <w:b/>
          <w:bCs/>
          <w:color w:val="333333"/>
          <w:sz w:val="24"/>
          <w:szCs w:val="24"/>
        </w:rPr>
        <w:t>Документ по програмата</w:t>
      </w:r>
      <w:r w:rsidR="0089468B" w:rsidRPr="00DE6769">
        <w:rPr>
          <w:rFonts w:eastAsia="Times New Roman" w:cs="Helvetica"/>
          <w:b/>
          <w:bCs/>
          <w:color w:val="333333"/>
          <w:sz w:val="24"/>
          <w:szCs w:val="24"/>
        </w:rPr>
        <w:t xml:space="preserve"> 14</w:t>
      </w:r>
      <w:r>
        <w:rPr>
          <w:rFonts w:eastAsia="Times New Roman" w:cs="Helvetica"/>
          <w:b/>
          <w:bCs/>
          <w:color w:val="333333"/>
          <w:sz w:val="24"/>
          <w:szCs w:val="24"/>
          <w:lang w:val="bg-BG"/>
        </w:rPr>
        <w:t>Б</w:t>
      </w:r>
      <w:r w:rsidR="0089468B" w:rsidRPr="00DE6769">
        <w:rPr>
          <w:rFonts w:eastAsia="Times New Roman" w:cs="Helvetica"/>
          <w:b/>
          <w:bCs/>
          <w:color w:val="333333"/>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 xml:space="preserve"> </w:t>
      </w:r>
      <w:r w:rsidR="00122A41">
        <w:rPr>
          <w:rFonts w:eastAsia="Times New Roman" w:cs="Helvetica"/>
          <w:color w:val="575757"/>
          <w:sz w:val="24"/>
          <w:szCs w:val="24"/>
          <w:lang w:val="bg-BG"/>
        </w:rPr>
        <w:t>да измени</w:t>
      </w:r>
      <w:r w:rsidR="0089468B" w:rsidRPr="00DE6769">
        <w:rPr>
          <w:rFonts w:eastAsia="Times New Roman" w:cs="Helvetica"/>
          <w:color w:val="575757"/>
          <w:sz w:val="24"/>
          <w:szCs w:val="24"/>
        </w:rPr>
        <w:t>:</w:t>
      </w:r>
    </w:p>
    <w:p w:rsidR="0089468B" w:rsidRPr="00DE6769" w:rsidRDefault="00DE6769" w:rsidP="0089468B">
      <w:pPr>
        <w:numPr>
          <w:ilvl w:val="0"/>
          <w:numId w:val="18"/>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rPr>
        <w:t>МСФО</w:t>
      </w:r>
      <w:r w:rsidR="0089468B" w:rsidRPr="00DE6769">
        <w:rPr>
          <w:rFonts w:eastAsia="Times New Roman" w:cs="Helvetica"/>
          <w:color w:val="575757"/>
          <w:sz w:val="24"/>
          <w:szCs w:val="24"/>
        </w:rPr>
        <w:t xml:space="preserve"> 16 </w:t>
      </w:r>
      <w:r w:rsidR="00722994">
        <w:rPr>
          <w:rFonts w:eastAsia="Times New Roman" w:cs="Helvetica"/>
          <w:i/>
          <w:iCs/>
          <w:color w:val="575757"/>
          <w:sz w:val="24"/>
          <w:szCs w:val="24"/>
          <w:lang w:val="bg-BG"/>
        </w:rPr>
        <w:t>Лизинг,</w:t>
      </w:r>
      <w:r w:rsidR="0089468B" w:rsidRPr="00DE6769">
        <w:rPr>
          <w:rFonts w:eastAsia="Times New Roman" w:cs="Helvetica"/>
          <w:i/>
          <w:iCs/>
          <w:color w:val="575757"/>
          <w:sz w:val="24"/>
          <w:szCs w:val="24"/>
        </w:rPr>
        <w:t> </w:t>
      </w:r>
      <w:r w:rsidR="00722994">
        <w:rPr>
          <w:rFonts w:eastAsia="Times New Roman" w:cs="Helvetica"/>
          <w:color w:val="575757"/>
          <w:sz w:val="24"/>
          <w:szCs w:val="24"/>
          <w:lang w:val="bg-BG"/>
        </w:rPr>
        <w:t>така че да изисква</w:t>
      </w:r>
      <w:r w:rsidR="0089468B" w:rsidRPr="00DE6769">
        <w:rPr>
          <w:rFonts w:eastAsia="Times New Roman" w:cs="Helvetica"/>
          <w:color w:val="575757"/>
          <w:sz w:val="24"/>
          <w:szCs w:val="24"/>
        </w:rPr>
        <w:t xml:space="preserve"> </w:t>
      </w:r>
      <w:r w:rsidR="00722994">
        <w:rPr>
          <w:rFonts w:eastAsia="Times New Roman" w:cs="Helvetica"/>
          <w:color w:val="575757"/>
          <w:sz w:val="24"/>
          <w:szCs w:val="24"/>
          <w:lang w:val="bg-BG"/>
        </w:rPr>
        <w:t>лизингополучателят да прилага параграфи</w:t>
      </w:r>
      <w:r w:rsidR="0089468B" w:rsidRPr="00DE6769">
        <w:rPr>
          <w:rFonts w:eastAsia="Times New Roman" w:cs="Helvetica"/>
          <w:color w:val="575757"/>
          <w:sz w:val="24"/>
          <w:szCs w:val="24"/>
        </w:rPr>
        <w:t xml:space="preserve"> 42(</w:t>
      </w:r>
      <w:r w:rsidR="00722994">
        <w:rPr>
          <w:rFonts w:eastAsia="Times New Roman" w:cs="Helvetica"/>
          <w:color w:val="575757"/>
          <w:sz w:val="24"/>
          <w:szCs w:val="24"/>
          <w:lang w:val="bg-BG"/>
        </w:rPr>
        <w:t>б</w:t>
      </w:r>
      <w:r w:rsidR="0089468B" w:rsidRPr="00DE6769">
        <w:rPr>
          <w:rFonts w:eastAsia="Times New Roman" w:cs="Helvetica"/>
          <w:color w:val="575757"/>
          <w:sz w:val="24"/>
          <w:szCs w:val="24"/>
        </w:rPr>
        <w:t xml:space="preserve">) </w:t>
      </w:r>
      <w:r w:rsidR="00722994">
        <w:rPr>
          <w:rFonts w:eastAsia="Times New Roman" w:cs="Helvetica"/>
          <w:color w:val="575757"/>
          <w:sz w:val="24"/>
          <w:szCs w:val="24"/>
          <w:lang w:val="bg-BG"/>
        </w:rPr>
        <w:t>и</w:t>
      </w:r>
      <w:r w:rsidR="0089468B" w:rsidRPr="00DE6769">
        <w:rPr>
          <w:rFonts w:eastAsia="Times New Roman" w:cs="Helvetica"/>
          <w:color w:val="575757"/>
          <w:sz w:val="24"/>
          <w:szCs w:val="24"/>
        </w:rPr>
        <w:t xml:space="preserve"> 43 </w:t>
      </w:r>
      <w:r w:rsidR="00722994">
        <w:rPr>
          <w:rFonts w:eastAsia="Times New Roman" w:cs="Helvetica"/>
          <w:color w:val="575757"/>
          <w:sz w:val="24"/>
          <w:szCs w:val="24"/>
          <w:lang w:val="bg-BG"/>
        </w:rPr>
        <w:t>от</w:t>
      </w:r>
      <w:r w:rsidR="0089468B" w:rsidRPr="00DE6769">
        <w:rPr>
          <w:rFonts w:eastAsia="Times New Roman" w:cs="Helvetica"/>
          <w:color w:val="575757"/>
          <w:sz w:val="24"/>
          <w:szCs w:val="24"/>
        </w:rPr>
        <w:t xml:space="preserve"> </w:t>
      </w:r>
      <w:r>
        <w:rPr>
          <w:rFonts w:eastAsia="Times New Roman" w:cs="Helvetica"/>
          <w:color w:val="575757"/>
          <w:sz w:val="24"/>
          <w:szCs w:val="24"/>
        </w:rPr>
        <w:t>МСФО</w:t>
      </w:r>
      <w:r w:rsidR="0089468B" w:rsidRPr="00DE6769">
        <w:rPr>
          <w:rFonts w:eastAsia="Times New Roman" w:cs="Helvetica"/>
          <w:color w:val="575757"/>
          <w:sz w:val="24"/>
          <w:szCs w:val="24"/>
        </w:rPr>
        <w:t xml:space="preserve"> 16</w:t>
      </w:r>
      <w:r w:rsidR="00722994">
        <w:rPr>
          <w:rFonts w:eastAsia="Times New Roman" w:cs="Helvetica"/>
          <w:color w:val="575757"/>
          <w:sz w:val="24"/>
          <w:szCs w:val="24"/>
          <w:lang w:val="bg-BG"/>
        </w:rPr>
        <w:t>, за да отчита счетоводно модификации на лизинга</w:t>
      </w:r>
      <w:r w:rsidR="0089468B" w:rsidRPr="00DE6769">
        <w:rPr>
          <w:rFonts w:eastAsia="Times New Roman" w:cs="Helvetica"/>
          <w:color w:val="575757"/>
          <w:sz w:val="24"/>
          <w:szCs w:val="24"/>
        </w:rPr>
        <w:t xml:space="preserve"> </w:t>
      </w:r>
      <w:r w:rsidR="00722994">
        <w:rPr>
          <w:rFonts w:eastAsia="Times New Roman" w:cs="Helvetica"/>
          <w:color w:val="575757"/>
          <w:sz w:val="24"/>
          <w:szCs w:val="24"/>
          <w:lang w:val="bg-BG"/>
        </w:rPr>
        <w:t>по отношение референтния лихвен процент, на който се базират лизинговите плащания, които се изискват като пряко следствие от реформата на референтните лихвени проценти</w:t>
      </w:r>
      <w:r w:rsidR="0089468B" w:rsidRPr="00DE6769">
        <w:rPr>
          <w:rFonts w:eastAsia="Times New Roman" w:cs="Helvetica"/>
          <w:color w:val="575757"/>
          <w:sz w:val="24"/>
          <w:szCs w:val="24"/>
        </w:rPr>
        <w:t xml:space="preserve"> </w:t>
      </w:r>
      <w:r w:rsidR="00722994">
        <w:rPr>
          <w:rFonts w:eastAsia="Times New Roman" w:cs="Helvetica"/>
          <w:color w:val="575757"/>
          <w:sz w:val="24"/>
          <w:szCs w:val="24"/>
          <w:lang w:val="bg-BG"/>
        </w:rPr>
        <w:t>и са извършени на икономически еквивалентна база</w:t>
      </w:r>
      <w:r w:rsidR="0089468B" w:rsidRPr="00DE6769">
        <w:rPr>
          <w:rFonts w:eastAsia="Times New Roman" w:cs="Helvetica"/>
          <w:color w:val="575757"/>
          <w:sz w:val="24"/>
          <w:szCs w:val="24"/>
        </w:rPr>
        <w:t xml:space="preserve"> (</w:t>
      </w:r>
      <w:r w:rsidR="00722994">
        <w:rPr>
          <w:rFonts w:eastAsia="Times New Roman" w:cs="Helvetica"/>
          <w:color w:val="575757"/>
          <w:sz w:val="24"/>
          <w:szCs w:val="24"/>
          <w:lang w:val="bg-BG"/>
        </w:rPr>
        <w:t xml:space="preserve">модификации, пряко изисквани от </w:t>
      </w:r>
      <w:r w:rsidR="00722994" w:rsidRPr="00722994">
        <w:rPr>
          <w:rFonts w:eastAsia="Times New Roman" w:cs="Helvetica"/>
          <w:color w:val="575757"/>
          <w:sz w:val="24"/>
          <w:szCs w:val="24"/>
          <w:lang w:val="bg-BG"/>
        </w:rPr>
        <w:t>реформата на референтните лихвени проценти</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Всичките четиринадесет членове на Съвета изразиха съгласие с това решение</w:t>
      </w:r>
      <w:r w:rsidR="0089468B" w:rsidRPr="00DE6769">
        <w:rPr>
          <w:rFonts w:eastAsia="Times New Roman" w:cs="Helvetica"/>
          <w:color w:val="575757"/>
          <w:sz w:val="24"/>
          <w:szCs w:val="24"/>
        </w:rPr>
        <w:t>.</w:t>
      </w:r>
    </w:p>
    <w:p w:rsidR="0089468B" w:rsidRPr="00DE6769" w:rsidRDefault="00DE6769" w:rsidP="0089468B">
      <w:pPr>
        <w:numPr>
          <w:ilvl w:val="0"/>
          <w:numId w:val="18"/>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rPr>
        <w:t>МСФО</w:t>
      </w:r>
      <w:r w:rsidR="0089468B" w:rsidRPr="00DE6769">
        <w:rPr>
          <w:rFonts w:eastAsia="Times New Roman" w:cs="Helvetica"/>
          <w:color w:val="575757"/>
          <w:sz w:val="24"/>
          <w:szCs w:val="24"/>
        </w:rPr>
        <w:t xml:space="preserve"> 4</w:t>
      </w:r>
      <w:r w:rsidR="00722994">
        <w:rPr>
          <w:rFonts w:eastAsia="Times New Roman" w:cs="Helvetica"/>
          <w:color w:val="575757"/>
          <w:sz w:val="24"/>
          <w:szCs w:val="24"/>
          <w:lang w:val="bg-BG"/>
        </w:rPr>
        <w:t xml:space="preserve"> </w:t>
      </w:r>
      <w:r w:rsidR="00722994">
        <w:rPr>
          <w:rFonts w:eastAsia="Times New Roman" w:cs="Helvetica"/>
          <w:i/>
          <w:iCs/>
          <w:color w:val="575757"/>
          <w:sz w:val="24"/>
          <w:szCs w:val="24"/>
          <w:lang w:val="bg-BG"/>
        </w:rPr>
        <w:t>Застрахователни договори,</w:t>
      </w:r>
      <w:r w:rsidR="00722994">
        <w:rPr>
          <w:rFonts w:eastAsia="Times New Roman" w:cs="Helvetica"/>
          <w:color w:val="575757"/>
          <w:sz w:val="24"/>
          <w:szCs w:val="24"/>
        </w:rPr>
        <w:t xml:space="preserve"> </w:t>
      </w:r>
      <w:r w:rsidR="00722994" w:rsidRPr="00722994">
        <w:rPr>
          <w:rFonts w:eastAsia="Times New Roman" w:cs="Helvetica"/>
          <w:color w:val="575757"/>
          <w:sz w:val="24"/>
          <w:szCs w:val="24"/>
          <w:lang w:val="bg-BG"/>
        </w:rPr>
        <w:t>така че да изисква</w:t>
      </w:r>
      <w:r w:rsidR="00722994" w:rsidRPr="00722994">
        <w:rPr>
          <w:rFonts w:eastAsia="Times New Roman" w:cs="Helvetica"/>
          <w:color w:val="575757"/>
          <w:sz w:val="24"/>
          <w:szCs w:val="24"/>
        </w:rPr>
        <w:t xml:space="preserve"> </w:t>
      </w:r>
      <w:r w:rsidR="00722994">
        <w:rPr>
          <w:rFonts w:eastAsia="Times New Roman" w:cs="Helvetica"/>
          <w:color w:val="575757"/>
          <w:sz w:val="24"/>
          <w:szCs w:val="24"/>
          <w:lang w:val="bg-BG"/>
        </w:rPr>
        <w:t>застрахователи, които прилагат временното изключване от изискванията на</w:t>
      </w:r>
      <w:r w:rsidR="0089468B" w:rsidRPr="00DE6769">
        <w:rPr>
          <w:rFonts w:eastAsia="Times New Roman" w:cs="Helvetica"/>
          <w:color w:val="575757"/>
          <w:sz w:val="24"/>
          <w:szCs w:val="24"/>
        </w:rPr>
        <w:t xml:space="preserve"> </w:t>
      </w:r>
      <w:r>
        <w:rPr>
          <w:rFonts w:eastAsia="Times New Roman" w:cs="Helvetica"/>
          <w:color w:val="575757"/>
          <w:sz w:val="24"/>
          <w:szCs w:val="24"/>
        </w:rPr>
        <w:t>МСФО</w:t>
      </w:r>
      <w:r w:rsidR="0089468B" w:rsidRPr="00DE6769">
        <w:rPr>
          <w:rFonts w:eastAsia="Times New Roman" w:cs="Helvetica"/>
          <w:color w:val="575757"/>
          <w:sz w:val="24"/>
          <w:szCs w:val="24"/>
        </w:rPr>
        <w:t xml:space="preserve"> 9 </w:t>
      </w:r>
      <w:r w:rsidR="00722994">
        <w:rPr>
          <w:rFonts w:eastAsia="Times New Roman" w:cs="Helvetica"/>
          <w:color w:val="575757"/>
          <w:sz w:val="24"/>
          <w:szCs w:val="24"/>
          <w:lang w:val="bg-BG"/>
        </w:rPr>
        <w:t>да прилагат измененията, произтичащи в резултат на взетите в порядък на работна хипотеза решения на Съвета във Фаза</w:t>
      </w:r>
      <w:r w:rsidR="0089468B" w:rsidRPr="00DE6769">
        <w:rPr>
          <w:rFonts w:eastAsia="Times New Roman" w:cs="Helvetica"/>
          <w:color w:val="575757"/>
          <w:sz w:val="24"/>
          <w:szCs w:val="24"/>
        </w:rPr>
        <w:t xml:space="preserve"> 2 </w:t>
      </w:r>
      <w:r w:rsidR="00722994">
        <w:rPr>
          <w:rFonts w:eastAsia="Times New Roman" w:cs="Helvetica"/>
          <w:color w:val="575757"/>
          <w:sz w:val="24"/>
          <w:szCs w:val="24"/>
          <w:lang w:val="bg-BG"/>
        </w:rPr>
        <w:t>от проекта при счетоводното отчитане на модификации, пряко изисквани от</w:t>
      </w:r>
      <w:r w:rsidR="0089468B" w:rsidRPr="00DE6769">
        <w:rPr>
          <w:rFonts w:eastAsia="Times New Roman" w:cs="Helvetica"/>
          <w:color w:val="575757"/>
          <w:sz w:val="24"/>
          <w:szCs w:val="24"/>
        </w:rPr>
        <w:t xml:space="preserve"> </w:t>
      </w:r>
      <w:r w:rsidR="00722994" w:rsidRPr="00722994">
        <w:rPr>
          <w:rFonts w:eastAsia="Times New Roman" w:cs="Helvetica"/>
          <w:color w:val="575757"/>
          <w:sz w:val="24"/>
          <w:szCs w:val="24"/>
          <w:lang w:val="bg-BG"/>
        </w:rPr>
        <w:t>реформата на референтните лихвени проценти</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Тринадесет от четиринадесетте членове на Съвета изразиха съгласие, а един - несъгласие с това решение</w:t>
      </w:r>
      <w:r w:rsidR="0089468B" w:rsidRPr="00DE6769">
        <w:rPr>
          <w:rFonts w:eastAsia="Times New Roman" w:cs="Helvetica"/>
          <w:color w:val="575757"/>
          <w:sz w:val="24"/>
          <w:szCs w:val="24"/>
        </w:rPr>
        <w:t>.</w:t>
      </w:r>
    </w:p>
    <w:p w:rsidR="0089468B" w:rsidRPr="00DE6769" w:rsidRDefault="00722994" w:rsidP="0089468B">
      <w:pPr>
        <w:shd w:val="clear" w:color="auto" w:fill="FFFFFF"/>
        <w:spacing w:after="300" w:line="240" w:lineRule="auto"/>
        <w:rPr>
          <w:rFonts w:eastAsia="Times New Roman" w:cs="Helvetica"/>
          <w:color w:val="575757"/>
          <w:sz w:val="24"/>
          <w:szCs w:val="24"/>
        </w:rPr>
      </w:pPr>
      <w:r w:rsidRPr="00722994">
        <w:rPr>
          <w:rFonts w:eastAsia="Times New Roman" w:cs="Helvetica"/>
          <w:color w:val="575757"/>
          <w:sz w:val="24"/>
          <w:szCs w:val="24"/>
        </w:rPr>
        <w:t xml:space="preserve">Съветът реши </w:t>
      </w:r>
      <w:r>
        <w:rPr>
          <w:rFonts w:eastAsia="Times New Roman" w:cs="Helvetica"/>
          <w:color w:val="575757"/>
          <w:sz w:val="24"/>
          <w:szCs w:val="24"/>
          <w:lang w:val="bg-BG"/>
        </w:rPr>
        <w:t xml:space="preserve">също така </w:t>
      </w:r>
      <w:r w:rsidRPr="00722994">
        <w:rPr>
          <w:rFonts w:eastAsia="Times New Roman" w:cs="Helvetica"/>
          <w:color w:val="575757"/>
          <w:sz w:val="24"/>
          <w:szCs w:val="24"/>
        </w:rPr>
        <w:t>в порядък на работна хипотеза</w:t>
      </w:r>
      <w:r>
        <w:rPr>
          <w:rFonts w:eastAsia="Times New Roman" w:cs="Helvetica"/>
          <w:color w:val="575757"/>
          <w:sz w:val="24"/>
          <w:szCs w:val="24"/>
          <w:lang w:val="bg-BG"/>
        </w:rPr>
        <w:t>, че в контекста на реформата на референтните лихвени проценти няма да бъдат правени изменения по отношение на</w:t>
      </w:r>
      <w:r w:rsidR="0089468B" w:rsidRPr="00DE6769">
        <w:rPr>
          <w:rFonts w:eastAsia="Times New Roman" w:cs="Helvetica"/>
          <w:color w:val="575757"/>
          <w:sz w:val="24"/>
          <w:szCs w:val="24"/>
        </w:rPr>
        <w:t>:</w:t>
      </w:r>
    </w:p>
    <w:p w:rsidR="0089468B" w:rsidRPr="00DE6769" w:rsidRDefault="00DE6769" w:rsidP="0089468B">
      <w:pPr>
        <w:numPr>
          <w:ilvl w:val="0"/>
          <w:numId w:val="19"/>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rPr>
        <w:lastRenderedPageBreak/>
        <w:t>МСФО</w:t>
      </w:r>
      <w:r w:rsidR="0089468B" w:rsidRPr="00DE6769">
        <w:rPr>
          <w:rFonts w:eastAsia="Times New Roman" w:cs="Helvetica"/>
          <w:color w:val="575757"/>
          <w:sz w:val="24"/>
          <w:szCs w:val="24"/>
        </w:rPr>
        <w:t xml:space="preserve"> 13 </w:t>
      </w:r>
      <w:r w:rsidR="00722994">
        <w:rPr>
          <w:rFonts w:eastAsia="Times New Roman" w:cs="Helvetica"/>
          <w:i/>
          <w:iCs/>
          <w:color w:val="575757"/>
          <w:sz w:val="24"/>
          <w:szCs w:val="24"/>
          <w:lang w:val="bg-BG"/>
        </w:rPr>
        <w:t xml:space="preserve">Оценяване по справедлива стойност, </w:t>
      </w:r>
      <w:r w:rsidR="00722994">
        <w:rPr>
          <w:rFonts w:eastAsia="Times New Roman" w:cs="Helvetica"/>
          <w:color w:val="575757"/>
          <w:sz w:val="24"/>
          <w:szCs w:val="24"/>
          <w:lang w:val="bg-BG"/>
        </w:rPr>
        <w:t>тъй като стандартът предоставя достатъчно насоки, за да се определи дали и кога финансов актив или финансов пасив следва да бъде прехвърлен към различно ниво от йерархията на справедливите стойности</w:t>
      </w:r>
      <w:r w:rsidR="0089468B" w:rsidRPr="00DE6769">
        <w:rPr>
          <w:rFonts w:eastAsia="Times New Roman" w:cs="Helvetica"/>
          <w:color w:val="575757"/>
          <w:sz w:val="24"/>
          <w:szCs w:val="24"/>
        </w:rPr>
        <w:t xml:space="preserve">. </w:t>
      </w:r>
      <w:r w:rsidR="00722994">
        <w:rPr>
          <w:rFonts w:eastAsia="Times New Roman" w:cs="Helvetica"/>
          <w:color w:val="575757"/>
          <w:sz w:val="24"/>
          <w:szCs w:val="24"/>
          <w:lang w:val="bg-BG"/>
        </w:rPr>
        <w:t>Тези прехвърляния отразяват икономическия ефект от реформата на референтните лихвени проценти</w:t>
      </w:r>
      <w:r w:rsidR="0089468B" w:rsidRPr="00DE6769">
        <w:rPr>
          <w:rFonts w:eastAsia="Times New Roman" w:cs="Helvetica"/>
          <w:color w:val="575757"/>
          <w:sz w:val="24"/>
          <w:szCs w:val="24"/>
        </w:rPr>
        <w:t xml:space="preserve">, </w:t>
      </w:r>
      <w:r w:rsidR="00722994">
        <w:rPr>
          <w:rFonts w:eastAsia="Times New Roman" w:cs="Helvetica"/>
          <w:color w:val="575757"/>
          <w:sz w:val="24"/>
          <w:szCs w:val="24"/>
          <w:lang w:val="bg-BG"/>
        </w:rPr>
        <w:t>следователно предоставят полезна информация за потребителите на финансовите отчети</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Всичките четиринадесет членове на Съвета изразиха съгласие с това решение</w:t>
      </w:r>
      <w:r w:rsidR="0089468B" w:rsidRPr="00DE6769">
        <w:rPr>
          <w:rFonts w:eastAsia="Times New Roman" w:cs="Helvetica"/>
          <w:color w:val="575757"/>
          <w:sz w:val="24"/>
          <w:szCs w:val="24"/>
        </w:rPr>
        <w:t>.</w:t>
      </w:r>
    </w:p>
    <w:p w:rsidR="0089468B" w:rsidRPr="00DE6769" w:rsidRDefault="00DE6769" w:rsidP="0089468B">
      <w:pPr>
        <w:numPr>
          <w:ilvl w:val="0"/>
          <w:numId w:val="19"/>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rPr>
        <w:t>МСФО</w:t>
      </w:r>
      <w:r w:rsidR="0089468B" w:rsidRPr="00DE6769">
        <w:rPr>
          <w:rFonts w:eastAsia="Times New Roman" w:cs="Helvetica"/>
          <w:color w:val="575757"/>
          <w:sz w:val="24"/>
          <w:szCs w:val="24"/>
        </w:rPr>
        <w:t xml:space="preserve"> 17 </w:t>
      </w:r>
      <w:r w:rsidR="00722994">
        <w:rPr>
          <w:rFonts w:eastAsia="Times New Roman" w:cs="Helvetica"/>
          <w:i/>
          <w:iCs/>
          <w:color w:val="575757"/>
          <w:sz w:val="24"/>
          <w:szCs w:val="24"/>
          <w:lang w:val="bg-BG"/>
        </w:rPr>
        <w:t xml:space="preserve">Застрахователни договори, </w:t>
      </w:r>
      <w:r w:rsidR="00722994" w:rsidRPr="00722994">
        <w:rPr>
          <w:rFonts w:eastAsia="Times New Roman" w:cs="Helvetica"/>
          <w:color w:val="575757"/>
          <w:sz w:val="24"/>
          <w:szCs w:val="24"/>
          <w:lang w:val="bg-BG"/>
        </w:rPr>
        <w:t>тъй като стандартът предоставя</w:t>
      </w:r>
      <w:r w:rsidR="00722994">
        <w:rPr>
          <w:rFonts w:eastAsia="Times New Roman" w:cs="Helvetica"/>
          <w:color w:val="575757"/>
          <w:sz w:val="24"/>
          <w:szCs w:val="24"/>
          <w:lang w:val="bg-BG"/>
        </w:rPr>
        <w:t xml:space="preserve"> адекватна база</w:t>
      </w:r>
      <w:r w:rsidR="00046B4C">
        <w:rPr>
          <w:rFonts w:eastAsia="Times New Roman" w:cs="Helvetica"/>
          <w:color w:val="575757"/>
          <w:sz w:val="24"/>
          <w:szCs w:val="24"/>
          <w:lang w:val="bg-BG"/>
        </w:rPr>
        <w:t>, за да може предприятието да отчита счетоводно модификации на застрахователния договор в контекста на реформата на референтните лихвени проценти</w:t>
      </w:r>
      <w:r w:rsidR="0089468B" w:rsidRPr="00DE6769">
        <w:rPr>
          <w:rFonts w:eastAsia="Times New Roman" w:cs="Helvetica"/>
          <w:color w:val="575757"/>
          <w:sz w:val="24"/>
          <w:szCs w:val="24"/>
        </w:rPr>
        <w:t xml:space="preserve">. </w:t>
      </w:r>
      <w:r w:rsidR="005C010E">
        <w:rPr>
          <w:rFonts w:eastAsia="Times New Roman" w:cs="Helvetica"/>
          <w:color w:val="575757"/>
          <w:sz w:val="24"/>
          <w:szCs w:val="24"/>
          <w:lang w:val="bg-BG"/>
        </w:rPr>
        <w:t>Това счетоводно отчитане води в резултат до полезна информация за потребителите на финансовите отчети</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Тринадесет от четиринадесетте членове на Съвета изразиха съгласие</w:t>
      </w:r>
      <w:r w:rsidR="003D0750" w:rsidRPr="00DE6769">
        <w:rPr>
          <w:rFonts w:eastAsia="Times New Roman" w:cs="Helvetica"/>
          <w:color w:val="575757"/>
          <w:sz w:val="24"/>
          <w:szCs w:val="24"/>
        </w:rPr>
        <w:t xml:space="preserve"> </w:t>
      </w:r>
      <w:r w:rsidR="003D0750">
        <w:rPr>
          <w:rFonts w:eastAsia="Times New Roman" w:cs="Helvetica"/>
          <w:color w:val="575757"/>
          <w:sz w:val="24"/>
          <w:szCs w:val="24"/>
          <w:lang w:val="bg-BG"/>
        </w:rPr>
        <w:t>с това решение</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Един от членовете на Съвета отсъстваше</w:t>
      </w:r>
      <w:r w:rsidR="0089468B" w:rsidRPr="00DE6769">
        <w:rPr>
          <w:rFonts w:eastAsia="Times New Roman" w:cs="Helvetica"/>
          <w:color w:val="575757"/>
          <w:sz w:val="24"/>
          <w:szCs w:val="24"/>
        </w:rPr>
        <w:t>.</w:t>
      </w:r>
    </w:p>
    <w:p w:rsidR="0089468B" w:rsidRPr="00DE6769" w:rsidRDefault="005C010E" w:rsidP="0089468B">
      <w:pPr>
        <w:numPr>
          <w:ilvl w:val="0"/>
          <w:numId w:val="19"/>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сега съществуващите изисквания в</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стандартите, отнасящи се до дисконтовите проценти, тъй като те вече предоставят адекватни насоки, за да се определи подходящото счетоводно третиране на потенциалния ефект от промени в дисконтовите проценти, произтичащи от заменянето на референтни лихвени проценти</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Всичките четиринадесет членове на Съвета изразиха съгласие с това решение</w:t>
      </w:r>
      <w:r w:rsidR="0089468B" w:rsidRPr="00DE6769">
        <w:rPr>
          <w:rFonts w:eastAsia="Times New Roman" w:cs="Helvetica"/>
          <w:color w:val="575757"/>
          <w:sz w:val="24"/>
          <w:szCs w:val="24"/>
        </w:rPr>
        <w:t>.</w:t>
      </w:r>
    </w:p>
    <w:p w:rsidR="0089468B" w:rsidRPr="00DE6769" w:rsidRDefault="005C010E"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lang w:val="bg-BG"/>
        </w:rPr>
        <w:t xml:space="preserve">Оповестяване </w:t>
      </w:r>
      <w:r w:rsidR="0089468B" w:rsidRPr="00DE6769">
        <w:rPr>
          <w:rFonts w:eastAsia="Times New Roman" w:cs="Helvetica"/>
          <w:b/>
          <w:bCs/>
          <w:color w:val="333333"/>
          <w:sz w:val="24"/>
          <w:szCs w:val="24"/>
        </w:rPr>
        <w:t>(</w:t>
      </w:r>
      <w:r w:rsidR="00DE6769">
        <w:rPr>
          <w:rFonts w:eastAsia="Times New Roman" w:cs="Helvetica"/>
          <w:b/>
          <w:bCs/>
          <w:color w:val="333333"/>
          <w:sz w:val="24"/>
          <w:szCs w:val="24"/>
        </w:rPr>
        <w:t>Документ по програмата</w:t>
      </w:r>
      <w:r w:rsidR="0089468B" w:rsidRPr="00DE6769">
        <w:rPr>
          <w:rFonts w:eastAsia="Times New Roman" w:cs="Helvetica"/>
          <w:b/>
          <w:bCs/>
          <w:color w:val="333333"/>
          <w:sz w:val="24"/>
          <w:szCs w:val="24"/>
        </w:rPr>
        <w:t xml:space="preserve"> 14</w:t>
      </w:r>
      <w:r>
        <w:rPr>
          <w:rFonts w:eastAsia="Times New Roman" w:cs="Helvetica"/>
          <w:b/>
          <w:bCs/>
          <w:color w:val="333333"/>
          <w:sz w:val="24"/>
          <w:szCs w:val="24"/>
          <w:lang w:val="bg-BG"/>
        </w:rPr>
        <w:t>В</w:t>
      </w:r>
      <w:r w:rsidR="0089468B" w:rsidRPr="00DE6769">
        <w:rPr>
          <w:rFonts w:eastAsia="Times New Roman" w:cs="Helvetica"/>
          <w:b/>
          <w:bCs/>
          <w:color w:val="333333"/>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 xml:space="preserve"> </w:t>
      </w:r>
      <w:r w:rsidR="005C010E">
        <w:rPr>
          <w:rFonts w:eastAsia="Times New Roman" w:cs="Helvetica"/>
          <w:color w:val="575757"/>
          <w:sz w:val="24"/>
          <w:szCs w:val="24"/>
          <w:lang w:val="bg-BG"/>
        </w:rPr>
        <w:t>да измени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7</w:t>
      </w:r>
      <w:r w:rsidR="005C010E">
        <w:rPr>
          <w:rFonts w:eastAsia="Times New Roman" w:cs="Helvetica"/>
          <w:color w:val="575757"/>
          <w:sz w:val="24"/>
          <w:szCs w:val="24"/>
          <w:lang w:val="bg-BG"/>
        </w:rPr>
        <w:t xml:space="preserve"> </w:t>
      </w:r>
      <w:r w:rsidR="005C010E">
        <w:rPr>
          <w:rFonts w:eastAsia="Times New Roman" w:cs="Helvetica"/>
          <w:i/>
          <w:iCs/>
          <w:color w:val="575757"/>
          <w:sz w:val="24"/>
          <w:szCs w:val="24"/>
          <w:lang w:val="bg-BG"/>
        </w:rPr>
        <w:t>Финансови инструменти</w:t>
      </w:r>
      <w:r w:rsidR="0089468B" w:rsidRPr="00DE6769">
        <w:rPr>
          <w:rFonts w:eastAsia="Times New Roman" w:cs="Helvetica"/>
          <w:i/>
          <w:iCs/>
          <w:color w:val="575757"/>
          <w:sz w:val="24"/>
          <w:szCs w:val="24"/>
        </w:rPr>
        <w:t xml:space="preserve">: </w:t>
      </w:r>
      <w:r w:rsidR="005C010E">
        <w:rPr>
          <w:rFonts w:eastAsia="Times New Roman" w:cs="Helvetica"/>
          <w:i/>
          <w:iCs/>
          <w:color w:val="575757"/>
          <w:sz w:val="24"/>
          <w:szCs w:val="24"/>
          <w:lang w:val="bg-BG"/>
        </w:rPr>
        <w:t xml:space="preserve">оповестяване, </w:t>
      </w:r>
      <w:r w:rsidR="005C010E">
        <w:rPr>
          <w:rFonts w:eastAsia="Times New Roman" w:cs="Helvetica"/>
          <w:color w:val="575757"/>
          <w:sz w:val="24"/>
          <w:szCs w:val="24"/>
          <w:lang w:val="bg-BG"/>
        </w:rPr>
        <w:t>така че да изисква предприятието да предоставя оповестявания, които позволяват на потребителите на финансовите отчети да разберат</w:t>
      </w:r>
      <w:r w:rsidR="0089468B" w:rsidRPr="00DE6769">
        <w:rPr>
          <w:rFonts w:eastAsia="Times New Roman" w:cs="Helvetica"/>
          <w:color w:val="575757"/>
          <w:sz w:val="24"/>
          <w:szCs w:val="24"/>
        </w:rPr>
        <w:t>:</w:t>
      </w:r>
    </w:p>
    <w:p w:rsidR="0089468B" w:rsidRPr="00DE6769" w:rsidRDefault="005C010E" w:rsidP="0089468B">
      <w:pPr>
        <w:numPr>
          <w:ilvl w:val="0"/>
          <w:numId w:val="20"/>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 xml:space="preserve">естеството и </w:t>
      </w:r>
      <w:r w:rsidR="00542458">
        <w:rPr>
          <w:rFonts w:eastAsia="Times New Roman" w:cs="Helvetica"/>
          <w:color w:val="575757"/>
          <w:sz w:val="24"/>
          <w:szCs w:val="24"/>
          <w:lang w:val="bg-BG"/>
        </w:rPr>
        <w:t>мащаба</w:t>
      </w:r>
      <w:r>
        <w:rPr>
          <w:rFonts w:eastAsia="Times New Roman" w:cs="Helvetica"/>
          <w:color w:val="575757"/>
          <w:sz w:val="24"/>
          <w:szCs w:val="24"/>
          <w:lang w:val="bg-BG"/>
        </w:rPr>
        <w:t xml:space="preserve"> на рисковете, произтичащи от реформата на референтните лихвени проценти</w:t>
      </w:r>
      <w:r w:rsidR="00542458">
        <w:rPr>
          <w:rFonts w:eastAsia="Times New Roman" w:cs="Helvetica"/>
          <w:color w:val="575757"/>
          <w:sz w:val="24"/>
          <w:szCs w:val="24"/>
          <w:lang w:val="bg-BG"/>
        </w:rPr>
        <w:t>, на които е изложено предприятието</w:t>
      </w:r>
      <w:r w:rsidR="0089468B" w:rsidRPr="00DE6769">
        <w:rPr>
          <w:rFonts w:eastAsia="Times New Roman" w:cs="Helvetica"/>
          <w:color w:val="575757"/>
          <w:sz w:val="24"/>
          <w:szCs w:val="24"/>
        </w:rPr>
        <w:t xml:space="preserve">, </w:t>
      </w:r>
      <w:r w:rsidR="00542458">
        <w:rPr>
          <w:rFonts w:eastAsia="Times New Roman" w:cs="Helvetica"/>
          <w:color w:val="575757"/>
          <w:sz w:val="24"/>
          <w:szCs w:val="24"/>
          <w:lang w:val="bg-BG"/>
        </w:rPr>
        <w:t>и как предприятието управлява тези рискове</w:t>
      </w:r>
      <w:r w:rsidR="0089468B" w:rsidRPr="00DE6769">
        <w:rPr>
          <w:rFonts w:eastAsia="Times New Roman" w:cs="Helvetica"/>
          <w:color w:val="575757"/>
          <w:sz w:val="24"/>
          <w:szCs w:val="24"/>
        </w:rPr>
        <w:t xml:space="preserve">; </w:t>
      </w:r>
      <w:r w:rsidR="00542458">
        <w:rPr>
          <w:rFonts w:eastAsia="Times New Roman" w:cs="Helvetica"/>
          <w:color w:val="575757"/>
          <w:sz w:val="24"/>
          <w:szCs w:val="24"/>
          <w:lang w:val="bg-BG"/>
        </w:rPr>
        <w:t>и</w:t>
      </w:r>
    </w:p>
    <w:p w:rsidR="0089468B" w:rsidRPr="00DE6769" w:rsidRDefault="00542458" w:rsidP="0089468B">
      <w:pPr>
        <w:numPr>
          <w:ilvl w:val="0"/>
          <w:numId w:val="20"/>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напредъка на предприятието в завършване на прехода от референтни лихвени проценти към алтернативни референтни проценти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 как предприятието управлява този преход</w:t>
      </w:r>
      <w:r w:rsidR="0089468B" w:rsidRPr="00DE6769">
        <w:rPr>
          <w:rFonts w:eastAsia="Times New Roman" w:cs="Helvetica"/>
          <w:color w:val="575757"/>
          <w:sz w:val="24"/>
          <w:szCs w:val="24"/>
        </w:rPr>
        <w:t>.</w:t>
      </w:r>
    </w:p>
    <w:p w:rsidR="0089468B" w:rsidRPr="00DE6769" w:rsidRDefault="00542458"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За да постигне тази цел</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предприятието оповестява информация относно</w:t>
      </w:r>
      <w:r w:rsidR="0089468B" w:rsidRPr="00DE6769">
        <w:rPr>
          <w:rFonts w:eastAsia="Times New Roman" w:cs="Helvetica"/>
          <w:color w:val="575757"/>
          <w:sz w:val="24"/>
          <w:szCs w:val="24"/>
        </w:rPr>
        <w:t>:</w:t>
      </w:r>
    </w:p>
    <w:p w:rsidR="0089468B" w:rsidRPr="00DE6769" w:rsidRDefault="00542458" w:rsidP="0089468B">
      <w:pPr>
        <w:numPr>
          <w:ilvl w:val="0"/>
          <w:numId w:val="21"/>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как то управлява прехода от</w:t>
      </w:r>
      <w:r w:rsidR="0089468B" w:rsidRPr="00DE6769">
        <w:rPr>
          <w:rFonts w:eastAsia="Times New Roman" w:cs="Helvetica"/>
          <w:color w:val="575757"/>
          <w:sz w:val="24"/>
          <w:szCs w:val="24"/>
        </w:rPr>
        <w:t xml:space="preserve"> </w:t>
      </w:r>
      <w:r w:rsidRPr="00542458">
        <w:rPr>
          <w:rFonts w:eastAsia="Times New Roman" w:cs="Helvetica"/>
          <w:color w:val="575757"/>
          <w:sz w:val="24"/>
          <w:szCs w:val="24"/>
          <w:lang w:val="bg-BG"/>
        </w:rPr>
        <w:t>референтни лихвени проценти към алтернативни референтни проценти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 отбелязания към отчетната дата напредък</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както и рисковете, произтичащи от този преход</w:t>
      </w:r>
      <w:r w:rsidR="0089468B" w:rsidRPr="00DE6769">
        <w:rPr>
          <w:rFonts w:eastAsia="Times New Roman" w:cs="Helvetica"/>
          <w:color w:val="575757"/>
          <w:sz w:val="24"/>
          <w:szCs w:val="24"/>
        </w:rPr>
        <w:t>;</w:t>
      </w:r>
    </w:p>
    <w:p w:rsidR="0089468B" w:rsidRPr="00DE6769" w:rsidRDefault="00542458" w:rsidP="0089468B">
      <w:pPr>
        <w:numPr>
          <w:ilvl w:val="0"/>
          <w:numId w:val="21"/>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балансовата стойност на финансови активи и финансови пасиви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включително номиналната стойност на деривативите</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които продължават да се съотнасят към референтни лихвени проценти, обект на реформата, дезагрегирани по съществени референтни лихвени проценти</w:t>
      </w:r>
      <w:r w:rsidR="0089468B" w:rsidRPr="00DE6769">
        <w:rPr>
          <w:rFonts w:eastAsia="Times New Roman" w:cs="Helvetica"/>
          <w:color w:val="575757"/>
          <w:sz w:val="24"/>
          <w:szCs w:val="24"/>
        </w:rPr>
        <w:t>;</w:t>
      </w:r>
    </w:p>
    <w:p w:rsidR="0089468B" w:rsidRPr="00DE6769" w:rsidRDefault="00542458" w:rsidP="0089468B">
      <w:pPr>
        <w:numPr>
          <w:ilvl w:val="0"/>
          <w:numId w:val="21"/>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по отношение на всеки съществен алтернативен референтен процент, на който е изложено предприятието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 xml:space="preserve">обяснение относно това как предприятието е определило </w:t>
      </w:r>
      <w:r>
        <w:rPr>
          <w:rFonts w:eastAsia="Times New Roman" w:cs="Helvetica"/>
          <w:color w:val="575757"/>
          <w:sz w:val="24"/>
          <w:szCs w:val="24"/>
          <w:lang w:val="bg-BG"/>
        </w:rPr>
        <w:lastRenderedPageBreak/>
        <w:t>базовия лихвен процент и уместните корекции на този процент, за да оцени дали модификациите на договорните парични потоци, са изисквани като пряко следствие от реформата на референтните лихвени проценти,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 са били извършени на икономически еквивалентна база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542458" w:rsidP="0089468B">
      <w:pPr>
        <w:numPr>
          <w:ilvl w:val="0"/>
          <w:numId w:val="21"/>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до степента, в която</w:t>
      </w:r>
      <w:r w:rsidR="0089468B" w:rsidRPr="00DE6769">
        <w:rPr>
          <w:rFonts w:eastAsia="Times New Roman" w:cs="Helvetica"/>
          <w:color w:val="575757"/>
          <w:sz w:val="24"/>
          <w:szCs w:val="24"/>
        </w:rPr>
        <w:t xml:space="preserve"> </w:t>
      </w:r>
      <w:r w:rsidRPr="00542458">
        <w:rPr>
          <w:rFonts w:eastAsia="Times New Roman" w:cs="Helvetica"/>
          <w:color w:val="575757"/>
          <w:sz w:val="24"/>
          <w:szCs w:val="24"/>
          <w:lang w:val="bg-BG"/>
        </w:rPr>
        <w:t>реформата на референтните лихвени проценти</w:t>
      </w:r>
      <w:r w:rsidRPr="00542458">
        <w:rPr>
          <w:rFonts w:eastAsia="Times New Roman" w:cs="Helvetica"/>
          <w:color w:val="575757"/>
          <w:sz w:val="24"/>
          <w:szCs w:val="24"/>
        </w:rPr>
        <w:t xml:space="preserve"> </w:t>
      </w:r>
      <w:r>
        <w:rPr>
          <w:rFonts w:eastAsia="Times New Roman" w:cs="Helvetica"/>
          <w:color w:val="575757"/>
          <w:sz w:val="24"/>
          <w:szCs w:val="24"/>
          <w:lang w:val="bg-BG"/>
        </w:rPr>
        <w:t>е довела до промени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в стратегията за управление на риска на предприятието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описание на тези промени и как предприятието управлява въпросните рискове</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Всичките четиринадесет членове на Съвета изразиха съгласие с тези решения</w:t>
      </w:r>
      <w:r w:rsidR="0089468B" w:rsidRPr="00DE6769">
        <w:rPr>
          <w:rFonts w:eastAsia="Times New Roman" w:cs="Helvetica"/>
          <w:color w:val="575757"/>
          <w:sz w:val="24"/>
          <w:szCs w:val="24"/>
        </w:rPr>
        <w:t>.</w:t>
      </w:r>
    </w:p>
    <w:p w:rsidR="0089468B" w:rsidRPr="00DE6769" w:rsidRDefault="00DE6769"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rPr>
        <w:t>Следващи етапи</w:t>
      </w:r>
    </w:p>
    <w:p w:rsidR="0089468B" w:rsidRPr="00DE6769" w:rsidRDefault="00542458"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следващи свои заседания Съветът ще обсъди</w:t>
      </w:r>
      <w:r w:rsidR="0089468B" w:rsidRPr="00DE6769">
        <w:rPr>
          <w:rFonts w:eastAsia="Times New Roman" w:cs="Helvetica"/>
          <w:color w:val="575757"/>
          <w:sz w:val="24"/>
          <w:szCs w:val="24"/>
        </w:rPr>
        <w:t>:</w:t>
      </w:r>
    </w:p>
    <w:p w:rsidR="0089468B" w:rsidRPr="00DE6769" w:rsidRDefault="00542458" w:rsidP="0089468B">
      <w:pPr>
        <w:numPr>
          <w:ilvl w:val="0"/>
          <w:numId w:val="22"/>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края на прилагането на измененията, предложени във Фаза</w:t>
      </w:r>
      <w:r w:rsidR="0089468B" w:rsidRPr="00DE6769">
        <w:rPr>
          <w:rFonts w:eastAsia="Times New Roman" w:cs="Helvetica"/>
          <w:color w:val="575757"/>
          <w:sz w:val="24"/>
          <w:szCs w:val="24"/>
        </w:rPr>
        <w:t xml:space="preserve"> 2 </w:t>
      </w:r>
      <w:r>
        <w:rPr>
          <w:rFonts w:eastAsia="Times New Roman" w:cs="Helvetica"/>
          <w:color w:val="575757"/>
          <w:sz w:val="24"/>
          <w:szCs w:val="24"/>
          <w:lang w:val="bg-BG"/>
        </w:rPr>
        <w:t>на проекта</w:t>
      </w:r>
      <w:r w:rsidR="0089468B" w:rsidRPr="00DE6769">
        <w:rPr>
          <w:rFonts w:eastAsia="Times New Roman" w:cs="Helvetica"/>
          <w:color w:val="575757"/>
          <w:sz w:val="24"/>
          <w:szCs w:val="24"/>
        </w:rPr>
        <w:t>;</w:t>
      </w:r>
    </w:p>
    <w:p w:rsidR="0089468B" w:rsidRPr="00DE6769" w:rsidRDefault="00922F08" w:rsidP="0089468B">
      <w:pPr>
        <w:numPr>
          <w:ilvl w:val="0"/>
          <w:numId w:val="22"/>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доброволно или задължително прилагане на предложените изменения</w:t>
      </w:r>
      <w:r w:rsidR="0089468B" w:rsidRPr="00DE6769">
        <w:rPr>
          <w:rFonts w:eastAsia="Times New Roman" w:cs="Helvetica"/>
          <w:color w:val="575757"/>
          <w:sz w:val="24"/>
          <w:szCs w:val="24"/>
        </w:rPr>
        <w:t>;</w:t>
      </w:r>
    </w:p>
    <w:p w:rsidR="0089468B" w:rsidRPr="00DE6769" w:rsidRDefault="00922F08" w:rsidP="0089468B">
      <w:pPr>
        <w:numPr>
          <w:ilvl w:val="0"/>
          <w:numId w:val="22"/>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преход и дата на влизане в сила на предложените изменения</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922F08" w:rsidP="0089468B">
      <w:pPr>
        <w:numPr>
          <w:ilvl w:val="0"/>
          <w:numId w:val="22"/>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стъпките от регламентираната процедура</w:t>
      </w:r>
      <w:r w:rsidR="0089468B" w:rsidRPr="00DE6769">
        <w:rPr>
          <w:rFonts w:eastAsia="Times New Roman" w:cs="Helvetica"/>
          <w:color w:val="575757"/>
          <w:sz w:val="24"/>
          <w:szCs w:val="24"/>
        </w:rPr>
        <w:t>.</w:t>
      </w:r>
    </w:p>
    <w:p w:rsidR="0089468B" w:rsidRPr="00DE6769" w:rsidRDefault="0089468B" w:rsidP="0089468B">
      <w:pPr>
        <w:shd w:val="clear" w:color="auto" w:fill="FFFFFF"/>
        <w:spacing w:after="300" w:line="240" w:lineRule="auto"/>
        <w:rPr>
          <w:rFonts w:eastAsia="Times New Roman" w:cs="Helvetica"/>
          <w:color w:val="575757"/>
          <w:sz w:val="24"/>
          <w:szCs w:val="24"/>
        </w:rPr>
      </w:pPr>
      <w:r w:rsidRPr="00DE6769">
        <w:rPr>
          <w:rFonts w:eastAsia="Times New Roman" w:cs="Helvetica"/>
          <w:color w:val="575757"/>
          <w:sz w:val="24"/>
          <w:szCs w:val="24"/>
        </w:rPr>
        <w:t> </w:t>
      </w:r>
    </w:p>
    <w:p w:rsidR="0089468B" w:rsidRPr="00DE6769" w:rsidRDefault="00922F08" w:rsidP="0089468B">
      <w:pPr>
        <w:shd w:val="clear" w:color="auto" w:fill="FFFFFF"/>
        <w:spacing w:before="450" w:after="300" w:line="240" w:lineRule="auto"/>
        <w:outlineLvl w:val="1"/>
        <w:rPr>
          <w:rFonts w:eastAsia="Times New Roman" w:cs="Helvetica"/>
          <w:b/>
          <w:bCs/>
          <w:color w:val="333333"/>
          <w:sz w:val="34"/>
          <w:szCs w:val="34"/>
        </w:rPr>
      </w:pPr>
      <w:bookmarkStart w:id="10" w:name="11"/>
      <w:r>
        <w:rPr>
          <w:rFonts w:eastAsia="Times New Roman" w:cs="Helvetica"/>
          <w:b/>
          <w:bCs/>
          <w:color w:val="CD3333"/>
          <w:sz w:val="34"/>
          <w:szCs w:val="34"/>
          <w:lang w:val="bg-BG"/>
        </w:rPr>
        <w:t xml:space="preserve">Изменения в </w:t>
      </w:r>
      <w:r w:rsidR="00DE6769">
        <w:rPr>
          <w:rFonts w:eastAsia="Times New Roman" w:cs="Helvetica"/>
          <w:b/>
          <w:bCs/>
          <w:color w:val="CD3333"/>
          <w:sz w:val="34"/>
          <w:szCs w:val="34"/>
        </w:rPr>
        <w:t>МСФО</w:t>
      </w:r>
      <w:r w:rsidR="0089468B" w:rsidRPr="00DE6769">
        <w:rPr>
          <w:rFonts w:eastAsia="Times New Roman" w:cs="Helvetica"/>
          <w:b/>
          <w:bCs/>
          <w:color w:val="CD3333"/>
          <w:sz w:val="34"/>
          <w:szCs w:val="34"/>
        </w:rPr>
        <w:t xml:space="preserve"> 17</w:t>
      </w:r>
      <w:r>
        <w:rPr>
          <w:rFonts w:eastAsia="Times New Roman" w:cs="Helvetica"/>
          <w:b/>
          <w:bCs/>
          <w:color w:val="CD3333"/>
          <w:sz w:val="34"/>
          <w:szCs w:val="34"/>
          <w:lang w:val="bg-BG"/>
        </w:rPr>
        <w:t xml:space="preserve"> </w:t>
      </w:r>
      <w:r>
        <w:rPr>
          <w:rFonts w:eastAsia="Times New Roman" w:cs="Helvetica"/>
          <w:b/>
          <w:bCs/>
          <w:i/>
          <w:iCs/>
          <w:color w:val="CD3333"/>
          <w:sz w:val="34"/>
          <w:szCs w:val="34"/>
          <w:lang w:val="bg-BG"/>
        </w:rPr>
        <w:t xml:space="preserve">Застрахователни договори </w:t>
      </w:r>
      <w:r w:rsidR="0089468B" w:rsidRPr="00DE6769">
        <w:rPr>
          <w:rFonts w:eastAsia="Times New Roman" w:cs="Helvetica"/>
          <w:b/>
          <w:bCs/>
          <w:color w:val="CD3333"/>
          <w:sz w:val="34"/>
          <w:szCs w:val="34"/>
        </w:rPr>
        <w:t>(</w:t>
      </w:r>
      <w:r w:rsidR="00DE6769">
        <w:rPr>
          <w:rFonts w:eastAsia="Times New Roman" w:cs="Helvetica"/>
          <w:b/>
          <w:bCs/>
          <w:color w:val="CD3333"/>
          <w:sz w:val="34"/>
          <w:szCs w:val="34"/>
        </w:rPr>
        <w:t>Документ по програмата</w:t>
      </w:r>
      <w:r w:rsidR="0089468B" w:rsidRPr="00DE6769">
        <w:rPr>
          <w:rFonts w:eastAsia="Times New Roman" w:cs="Helvetica"/>
          <w:b/>
          <w:bCs/>
          <w:color w:val="CD3333"/>
          <w:sz w:val="34"/>
          <w:szCs w:val="34"/>
        </w:rPr>
        <w:t xml:space="preserve"> 2)</w:t>
      </w:r>
      <w:bookmarkEnd w:id="10"/>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30 януари 2020 г.</w:t>
      </w:r>
      <w:r w:rsidRPr="00DE6769">
        <w:rPr>
          <w:rFonts w:eastAsia="Times New Roman" w:cs="Helvetica"/>
          <w:color w:val="575757"/>
          <w:sz w:val="24"/>
          <w:szCs w:val="24"/>
        </w:rPr>
        <w:t xml:space="preserve"> </w:t>
      </w:r>
      <w:r w:rsidRPr="007268F9">
        <w:rPr>
          <w:rFonts w:ascii="Calibri" w:eastAsia="Times New Roman" w:hAnsi="Calibri" w:cs="Helvetica"/>
          <w:color w:val="575757"/>
          <w:sz w:val="24"/>
          <w:szCs w:val="24"/>
          <w:lang w:val="bg-BG"/>
        </w:rPr>
        <w:t xml:space="preserve">Съветът проведе заседание, за да </w:t>
      </w:r>
      <w:r>
        <w:rPr>
          <w:rFonts w:ascii="Calibri" w:eastAsia="Times New Roman" w:hAnsi="Calibri" w:cs="Helvetica"/>
          <w:color w:val="575757"/>
          <w:sz w:val="24"/>
          <w:szCs w:val="24"/>
          <w:lang w:val="bg-BG"/>
        </w:rPr>
        <w:t xml:space="preserve">обсъди </w:t>
      </w:r>
      <w:r w:rsidR="00922F08">
        <w:rPr>
          <w:rFonts w:eastAsia="Times New Roman" w:cs="Helvetica"/>
          <w:color w:val="575757"/>
          <w:sz w:val="24"/>
          <w:szCs w:val="24"/>
          <w:lang w:val="bg-BG"/>
        </w:rPr>
        <w:t xml:space="preserve">становищата, получени като обратна информация във връзка с проекта за обсъждане </w:t>
      </w:r>
      <w:r w:rsidR="00922F08">
        <w:rPr>
          <w:rFonts w:eastAsia="Times New Roman" w:cs="Helvetica"/>
          <w:i/>
          <w:iCs/>
          <w:color w:val="575757"/>
          <w:sz w:val="24"/>
          <w:szCs w:val="24"/>
          <w:lang w:val="bg-BG"/>
        </w:rPr>
        <w:t>Изменения в</w:t>
      </w:r>
      <w:r w:rsidR="0089468B" w:rsidRPr="00DE6769">
        <w:rPr>
          <w:rFonts w:eastAsia="Times New Roman" w:cs="Helvetica"/>
          <w:i/>
          <w:iCs/>
          <w:color w:val="575757"/>
          <w:sz w:val="24"/>
          <w:szCs w:val="24"/>
        </w:rPr>
        <w:t xml:space="preserve"> </w:t>
      </w:r>
      <w:r w:rsidR="00DE6769">
        <w:rPr>
          <w:rFonts w:eastAsia="Times New Roman" w:cs="Helvetica"/>
          <w:i/>
          <w:iCs/>
          <w:color w:val="575757"/>
          <w:sz w:val="24"/>
          <w:szCs w:val="24"/>
        </w:rPr>
        <w:t>МСФО</w:t>
      </w:r>
      <w:r w:rsidR="0089468B" w:rsidRPr="00DE6769">
        <w:rPr>
          <w:rFonts w:eastAsia="Times New Roman" w:cs="Helvetica"/>
          <w:i/>
          <w:iCs/>
          <w:color w:val="575757"/>
          <w:sz w:val="24"/>
          <w:szCs w:val="24"/>
        </w:rPr>
        <w:t xml:space="preserve"> 17</w:t>
      </w:r>
      <w:r w:rsidR="00922F08">
        <w:rPr>
          <w:rFonts w:eastAsia="Times New Roman" w:cs="Helvetica"/>
          <w:i/>
          <w:iCs/>
          <w:color w:val="575757"/>
          <w:sz w:val="24"/>
          <w:szCs w:val="24"/>
          <w:lang w:val="bg-BG"/>
        </w:rPr>
        <w:t xml:space="preserve">, </w:t>
      </w:r>
      <w:r w:rsidR="00922F08">
        <w:rPr>
          <w:rFonts w:eastAsia="Times New Roman" w:cs="Helvetica"/>
          <w:color w:val="575757"/>
          <w:sz w:val="24"/>
          <w:szCs w:val="24"/>
          <w:lang w:val="bg-BG"/>
        </w:rPr>
        <w:t>отнасящи се до</w:t>
      </w:r>
      <w:r w:rsidR="0089468B" w:rsidRPr="00DE6769">
        <w:rPr>
          <w:rFonts w:eastAsia="Times New Roman" w:cs="Helvetica"/>
          <w:color w:val="575757"/>
          <w:sz w:val="24"/>
          <w:szCs w:val="24"/>
        </w:rPr>
        <w:t>:</w:t>
      </w:r>
    </w:p>
    <w:p w:rsidR="0089468B" w:rsidRPr="00DE6769" w:rsidRDefault="00922F08" w:rsidP="0089468B">
      <w:pPr>
        <w:numPr>
          <w:ilvl w:val="0"/>
          <w:numId w:val="23"/>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изключване от обхвата на</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w:t>
      </w:r>
      <w:r>
        <w:rPr>
          <w:rFonts w:eastAsia="Times New Roman" w:cs="Helvetica"/>
          <w:color w:val="575757"/>
          <w:sz w:val="24"/>
          <w:szCs w:val="24"/>
          <w:lang w:val="bg-BG"/>
        </w:rPr>
        <w:t xml:space="preserve"> </w:t>
      </w:r>
      <w:r>
        <w:rPr>
          <w:rFonts w:eastAsia="Times New Roman" w:cs="Helvetica"/>
          <w:i/>
          <w:iCs/>
          <w:color w:val="575757"/>
          <w:sz w:val="24"/>
          <w:szCs w:val="24"/>
          <w:lang w:val="bg-BG"/>
        </w:rPr>
        <w:t xml:space="preserve">Застрахователни договори </w:t>
      </w:r>
      <w:r>
        <w:rPr>
          <w:rFonts w:eastAsia="Times New Roman" w:cs="Helvetica"/>
          <w:color w:val="575757"/>
          <w:sz w:val="24"/>
          <w:szCs w:val="24"/>
          <w:lang w:val="bg-BG"/>
        </w:rPr>
        <w:t>на някои договори за кредитни карти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Документ по програмата</w:t>
      </w:r>
      <w:r w:rsidR="0089468B" w:rsidRPr="00DE6769">
        <w:rPr>
          <w:rFonts w:eastAsia="Times New Roman" w:cs="Helvetica"/>
          <w:color w:val="575757"/>
          <w:sz w:val="24"/>
          <w:szCs w:val="24"/>
        </w:rPr>
        <w:t xml:space="preserve"> 2A);</w:t>
      </w:r>
    </w:p>
    <w:p w:rsidR="0089468B" w:rsidRPr="00DE6769" w:rsidRDefault="00922F08" w:rsidP="0089468B">
      <w:pPr>
        <w:numPr>
          <w:ilvl w:val="0"/>
          <w:numId w:val="23"/>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преход</w:t>
      </w:r>
      <w:r w:rsidR="0089468B" w:rsidRPr="00DE6769">
        <w:rPr>
          <w:rFonts w:eastAsia="Times New Roman" w:cs="Helvetica"/>
          <w:color w:val="575757"/>
          <w:sz w:val="24"/>
          <w:szCs w:val="24"/>
        </w:rPr>
        <w:t>—</w:t>
      </w:r>
      <w:r>
        <w:rPr>
          <w:rFonts w:eastAsia="Times New Roman" w:cs="Helvetica"/>
          <w:color w:val="575757"/>
          <w:sz w:val="24"/>
          <w:szCs w:val="24"/>
          <w:lang w:val="bg-BG"/>
        </w:rPr>
        <w:t>забраната за ретроспективно прилагане на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опцията за смекчаване на риска</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Документ по програмата</w:t>
      </w:r>
      <w:r w:rsidR="0089468B" w:rsidRPr="00DE6769">
        <w:rPr>
          <w:rFonts w:eastAsia="Times New Roman" w:cs="Helvetica"/>
          <w:color w:val="575757"/>
          <w:sz w:val="24"/>
          <w:szCs w:val="24"/>
        </w:rPr>
        <w:t xml:space="preserve"> 2</w:t>
      </w:r>
      <w:r>
        <w:rPr>
          <w:rFonts w:eastAsia="Times New Roman" w:cs="Helvetica"/>
          <w:color w:val="575757"/>
          <w:sz w:val="24"/>
          <w:szCs w:val="24"/>
          <w:lang w:val="bg-BG"/>
        </w:rPr>
        <w:t>Б</w:t>
      </w:r>
      <w:r w:rsidR="0089468B" w:rsidRPr="00DE6769">
        <w:rPr>
          <w:rFonts w:eastAsia="Times New Roman" w:cs="Helvetica"/>
          <w:color w:val="575757"/>
          <w:sz w:val="24"/>
          <w:szCs w:val="24"/>
        </w:rPr>
        <w:t>);</w:t>
      </w:r>
    </w:p>
    <w:p w:rsidR="0089468B" w:rsidRPr="00DE6769" w:rsidRDefault="00922F08" w:rsidP="0089468B">
      <w:pPr>
        <w:numPr>
          <w:ilvl w:val="0"/>
          <w:numId w:val="23"/>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бизнес комбинации</w:t>
      </w:r>
      <w:r w:rsidR="0089468B" w:rsidRPr="00DE6769">
        <w:rPr>
          <w:rFonts w:eastAsia="Times New Roman" w:cs="Helvetica"/>
          <w:color w:val="575757"/>
          <w:sz w:val="24"/>
          <w:szCs w:val="24"/>
        </w:rPr>
        <w:t>—</w:t>
      </w:r>
      <w:r>
        <w:rPr>
          <w:rFonts w:eastAsia="Times New Roman" w:cs="Helvetica"/>
          <w:color w:val="575757"/>
          <w:sz w:val="24"/>
          <w:szCs w:val="24"/>
          <w:lang w:val="bg-BG"/>
        </w:rPr>
        <w:t>договори, придобити в периода на уреждането им</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Документ по програмата</w:t>
      </w:r>
      <w:r w:rsidR="0089468B" w:rsidRPr="00DE6769">
        <w:rPr>
          <w:rFonts w:eastAsia="Times New Roman" w:cs="Helvetica"/>
          <w:color w:val="575757"/>
          <w:sz w:val="24"/>
          <w:szCs w:val="24"/>
        </w:rPr>
        <w:t xml:space="preserve"> 2</w:t>
      </w:r>
      <w:r>
        <w:rPr>
          <w:rFonts w:eastAsia="Times New Roman" w:cs="Helvetica"/>
          <w:color w:val="575757"/>
          <w:sz w:val="24"/>
          <w:szCs w:val="24"/>
          <w:lang w:val="bg-BG"/>
        </w:rPr>
        <w:t>В</w:t>
      </w:r>
      <w:r w:rsidR="0089468B" w:rsidRPr="00DE6769">
        <w:rPr>
          <w:rFonts w:eastAsia="Times New Roman" w:cs="Helvetica"/>
          <w:color w:val="575757"/>
          <w:sz w:val="24"/>
          <w:szCs w:val="24"/>
        </w:rPr>
        <w:t>);</w:t>
      </w:r>
    </w:p>
    <w:p w:rsidR="0089468B" w:rsidRPr="00DE6769" w:rsidRDefault="00922F08" w:rsidP="0089468B">
      <w:pPr>
        <w:numPr>
          <w:ilvl w:val="0"/>
          <w:numId w:val="23"/>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междинни финансови отчети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Документ по програмата</w:t>
      </w:r>
      <w:r w:rsidR="0089468B" w:rsidRPr="00DE6769">
        <w:rPr>
          <w:rFonts w:eastAsia="Times New Roman" w:cs="Helvetica"/>
          <w:color w:val="575757"/>
          <w:sz w:val="24"/>
          <w:szCs w:val="24"/>
        </w:rPr>
        <w:t xml:space="preserve"> 2</w:t>
      </w:r>
      <w:r>
        <w:rPr>
          <w:rFonts w:eastAsia="Times New Roman" w:cs="Helvetica"/>
          <w:color w:val="575757"/>
          <w:sz w:val="24"/>
          <w:szCs w:val="24"/>
          <w:lang w:val="bg-BG"/>
        </w:rPr>
        <w:t>Г</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922F08" w:rsidP="0089468B">
      <w:pPr>
        <w:numPr>
          <w:ilvl w:val="0"/>
          <w:numId w:val="23"/>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актив за парични потоци за придобиване на застраховане</w:t>
      </w:r>
      <w:r w:rsidR="0089468B" w:rsidRPr="00DE6769">
        <w:rPr>
          <w:rFonts w:eastAsia="Times New Roman" w:cs="Helvetica"/>
          <w:color w:val="575757"/>
          <w:sz w:val="24"/>
          <w:szCs w:val="24"/>
        </w:rPr>
        <w:t>—</w:t>
      </w:r>
      <w:r>
        <w:rPr>
          <w:rFonts w:eastAsia="Times New Roman" w:cs="Helvetica"/>
          <w:color w:val="575757"/>
          <w:sz w:val="24"/>
          <w:szCs w:val="24"/>
          <w:lang w:val="bg-BG"/>
        </w:rPr>
        <w:t>преход и бизнес комбинации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Документ по програмата</w:t>
      </w:r>
      <w:r w:rsidR="0089468B" w:rsidRPr="00DE6769">
        <w:rPr>
          <w:rFonts w:eastAsia="Times New Roman" w:cs="Helvetica"/>
          <w:color w:val="575757"/>
          <w:sz w:val="24"/>
          <w:szCs w:val="24"/>
        </w:rPr>
        <w:t xml:space="preserve"> 2</w:t>
      </w:r>
      <w:r>
        <w:rPr>
          <w:rFonts w:eastAsia="Times New Roman" w:cs="Helvetica"/>
          <w:color w:val="575757"/>
          <w:sz w:val="24"/>
          <w:szCs w:val="24"/>
          <w:lang w:val="bg-BG"/>
        </w:rPr>
        <w:t>Д</w:t>
      </w:r>
      <w:r w:rsidR="0089468B" w:rsidRPr="00DE6769">
        <w:rPr>
          <w:rFonts w:eastAsia="Times New Roman" w:cs="Helvetica"/>
          <w:color w:val="575757"/>
          <w:sz w:val="24"/>
          <w:szCs w:val="24"/>
        </w:rPr>
        <w:t>).</w:t>
      </w:r>
    </w:p>
    <w:p w:rsidR="0089468B" w:rsidRPr="00DE6769" w:rsidRDefault="003916F9"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lang w:val="bg-BG"/>
        </w:rPr>
        <w:t>И</w:t>
      </w:r>
      <w:r w:rsidRPr="003916F9">
        <w:rPr>
          <w:rFonts w:eastAsia="Times New Roman" w:cs="Helvetica"/>
          <w:b/>
          <w:bCs/>
          <w:i/>
          <w:iCs/>
          <w:color w:val="333333"/>
          <w:sz w:val="27"/>
          <w:szCs w:val="27"/>
          <w:lang w:val="bg-BG"/>
        </w:rPr>
        <w:t>зключване от обхвата на</w:t>
      </w:r>
      <w:r w:rsidRPr="003916F9">
        <w:rPr>
          <w:rFonts w:eastAsia="Times New Roman" w:cs="Helvetica"/>
          <w:b/>
          <w:bCs/>
          <w:i/>
          <w:iCs/>
          <w:color w:val="333333"/>
          <w:sz w:val="27"/>
          <w:szCs w:val="27"/>
        </w:rPr>
        <w:t xml:space="preserve"> МСФО 17</w:t>
      </w:r>
      <w:r w:rsidRPr="003916F9">
        <w:rPr>
          <w:rFonts w:eastAsia="Times New Roman" w:cs="Helvetica"/>
          <w:b/>
          <w:bCs/>
          <w:i/>
          <w:iCs/>
          <w:color w:val="333333"/>
          <w:sz w:val="27"/>
          <w:szCs w:val="27"/>
          <w:lang w:val="bg-BG"/>
        </w:rPr>
        <w:t xml:space="preserve"> на някои договори за кредитни карти</w:t>
      </w:r>
      <w:r w:rsidRPr="003916F9">
        <w:rPr>
          <w:rFonts w:eastAsia="Times New Roman" w:cs="Helvetica"/>
          <w:b/>
          <w:bCs/>
          <w:i/>
          <w:iCs/>
          <w:color w:val="333333"/>
          <w:sz w:val="27"/>
          <w:szCs w:val="27"/>
        </w:rPr>
        <w:t xml:space="preserve"> </w:t>
      </w:r>
      <w:r w:rsidR="0089468B" w:rsidRPr="00DE6769">
        <w:rPr>
          <w:rFonts w:eastAsia="Times New Roman" w:cs="Helvetica"/>
          <w:b/>
          <w:bCs/>
          <w:color w:val="333333"/>
          <w:sz w:val="24"/>
          <w:szCs w:val="24"/>
        </w:rPr>
        <w:t>(</w:t>
      </w:r>
      <w:r w:rsidR="00DE6769">
        <w:rPr>
          <w:rFonts w:eastAsia="Times New Roman" w:cs="Helvetica"/>
          <w:b/>
          <w:bCs/>
          <w:color w:val="333333"/>
          <w:sz w:val="24"/>
          <w:szCs w:val="24"/>
        </w:rPr>
        <w:t>Документ по програмата</w:t>
      </w:r>
      <w:r w:rsidR="0089468B" w:rsidRPr="00DE6769">
        <w:rPr>
          <w:rFonts w:eastAsia="Times New Roman" w:cs="Helvetica"/>
          <w:b/>
          <w:bCs/>
          <w:color w:val="333333"/>
          <w:sz w:val="24"/>
          <w:szCs w:val="24"/>
        </w:rPr>
        <w:t xml:space="preserve"> 2A)</w:t>
      </w:r>
    </w:p>
    <w:p w:rsidR="0089468B" w:rsidRPr="00DE6769" w:rsidRDefault="003D0750" w:rsidP="0089468B">
      <w:pPr>
        <w:shd w:val="clear" w:color="auto" w:fill="FFFFFF"/>
        <w:spacing w:after="300" w:line="240" w:lineRule="auto"/>
        <w:rPr>
          <w:rFonts w:eastAsia="Times New Roman" w:cs="Helvetica"/>
          <w:color w:val="575757"/>
          <w:sz w:val="24"/>
          <w:szCs w:val="24"/>
        </w:rPr>
      </w:pPr>
      <w:proofErr w:type="gramStart"/>
      <w:r>
        <w:rPr>
          <w:rFonts w:eastAsia="Times New Roman" w:cs="Helvetica"/>
          <w:color w:val="575757"/>
          <w:sz w:val="24"/>
          <w:szCs w:val="24"/>
        </w:rPr>
        <w:lastRenderedPageBreak/>
        <w:t>Съветът реши в порядък на работна хипотеза</w:t>
      </w:r>
      <w:r w:rsidR="0089468B" w:rsidRPr="00DE6769">
        <w:rPr>
          <w:rFonts w:eastAsia="Times New Roman" w:cs="Helvetica"/>
          <w:color w:val="575757"/>
          <w:sz w:val="24"/>
          <w:szCs w:val="24"/>
        </w:rPr>
        <w:t xml:space="preserve"> </w:t>
      </w:r>
      <w:r w:rsidR="003916F9">
        <w:rPr>
          <w:rFonts w:eastAsia="Times New Roman" w:cs="Helvetica"/>
          <w:color w:val="575757"/>
          <w:sz w:val="24"/>
          <w:szCs w:val="24"/>
          <w:lang w:val="bg-BG"/>
        </w:rPr>
        <w:t>да потвърди</w:t>
      </w:r>
      <w:r w:rsidR="00FD7800">
        <w:rPr>
          <w:rFonts w:eastAsia="Times New Roman" w:cs="Helvetica"/>
          <w:color w:val="575757"/>
          <w:sz w:val="24"/>
          <w:szCs w:val="24"/>
          <w:lang w:val="bg-BG"/>
        </w:rPr>
        <w:t>,</w:t>
      </w:r>
      <w:r w:rsidR="003916F9">
        <w:rPr>
          <w:rFonts w:eastAsia="Times New Roman" w:cs="Helvetica"/>
          <w:color w:val="575757"/>
          <w:sz w:val="24"/>
          <w:szCs w:val="24"/>
          <w:lang w:val="bg-BG"/>
        </w:rPr>
        <w:t xml:space="preserve"> </w:t>
      </w:r>
      <w:r w:rsidR="00FD7800">
        <w:rPr>
          <w:rFonts w:eastAsia="Times New Roman" w:cs="Helvetica"/>
          <w:color w:val="575757"/>
          <w:sz w:val="24"/>
          <w:szCs w:val="24"/>
          <w:lang w:val="bg-BG"/>
        </w:rPr>
        <w:t xml:space="preserve">с известни промени, </w:t>
      </w:r>
      <w:r w:rsidR="003916F9">
        <w:rPr>
          <w:rFonts w:eastAsia="Times New Roman" w:cs="Helvetica"/>
          <w:color w:val="575757"/>
          <w:sz w:val="24"/>
          <w:szCs w:val="24"/>
          <w:lang w:val="bg-BG"/>
        </w:rPr>
        <w:t>предложеното изключване от обхвата на</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 </w:t>
      </w:r>
      <w:r w:rsidR="003916F9">
        <w:rPr>
          <w:rFonts w:eastAsia="Times New Roman" w:cs="Helvetica"/>
          <w:color w:val="575757"/>
          <w:sz w:val="24"/>
          <w:szCs w:val="24"/>
          <w:lang w:val="bg-BG"/>
        </w:rPr>
        <w:t>водещо в резултат до следното изискване</w:t>
      </w:r>
      <w:r w:rsidR="0089468B" w:rsidRPr="00DE6769">
        <w:rPr>
          <w:rFonts w:eastAsia="Times New Roman" w:cs="Helvetica"/>
          <w:color w:val="575757"/>
          <w:sz w:val="24"/>
          <w:szCs w:val="24"/>
        </w:rPr>
        <w:t>.</w:t>
      </w:r>
      <w:proofErr w:type="gramEnd"/>
    </w:p>
    <w:p w:rsidR="0089468B" w:rsidRPr="00DE6769" w:rsidRDefault="003916F9"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От предприятието се изисква да изключи от обхвата на</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 </w:t>
      </w:r>
      <w:r>
        <w:rPr>
          <w:rFonts w:eastAsia="Times New Roman" w:cs="Helvetica"/>
          <w:color w:val="575757"/>
          <w:sz w:val="24"/>
          <w:szCs w:val="24"/>
          <w:lang w:val="bg-BG"/>
        </w:rPr>
        <w:t>договори за кредитни карти, които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отговарят на дефиницията за застрахователен договор, ако и само ако предприятието не отразява оценка на застрахователния риск, свързан с конкретен клиент, при определяне цената на договора с този клиент</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Ако предприятието предоставя на клиента застрахователно покритие като част от договорните условия на такъв договор за кредитна карта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от предприятието се изисква</w:t>
      </w:r>
      <w:r w:rsidR="0089468B" w:rsidRPr="00DE6769">
        <w:rPr>
          <w:rFonts w:eastAsia="Times New Roman" w:cs="Helvetica"/>
          <w:color w:val="575757"/>
          <w:sz w:val="24"/>
          <w:szCs w:val="24"/>
        </w:rPr>
        <w:t>:</w:t>
      </w:r>
    </w:p>
    <w:p w:rsidR="0089468B" w:rsidRPr="00DE6769" w:rsidRDefault="003916F9" w:rsidP="0089468B">
      <w:pPr>
        <w:numPr>
          <w:ilvl w:val="0"/>
          <w:numId w:val="24"/>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отдели този компонент на застрахователно покритие и да приложи спрямо него</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 </w:t>
      </w:r>
      <w:r>
        <w:rPr>
          <w:rFonts w:eastAsia="Times New Roman" w:cs="Helvetica"/>
          <w:color w:val="575757"/>
          <w:sz w:val="24"/>
          <w:szCs w:val="24"/>
          <w:lang w:val="bg-BG"/>
        </w:rPr>
        <w:t>и</w:t>
      </w:r>
    </w:p>
    <w:p w:rsidR="0089468B" w:rsidRPr="00DE6769" w:rsidRDefault="003916F9" w:rsidP="0089468B">
      <w:pPr>
        <w:numPr>
          <w:ilvl w:val="0"/>
          <w:numId w:val="24"/>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приложи други приложими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стандарти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като например</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9</w:t>
      </w:r>
      <w:r>
        <w:rPr>
          <w:rFonts w:eastAsia="Times New Roman" w:cs="Helvetica"/>
          <w:color w:val="575757"/>
          <w:sz w:val="24"/>
          <w:szCs w:val="24"/>
          <w:lang w:val="bg-BG"/>
        </w:rPr>
        <w:t xml:space="preserve"> </w:t>
      </w:r>
      <w:r>
        <w:rPr>
          <w:rFonts w:eastAsia="Times New Roman" w:cs="Helvetica"/>
          <w:i/>
          <w:iCs/>
          <w:color w:val="575757"/>
          <w:sz w:val="24"/>
          <w:szCs w:val="24"/>
          <w:lang w:val="bg-BG"/>
        </w:rPr>
        <w:t>Финансови инструменти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спрямо останалите компоненти на договора за кредитна карта</w:t>
      </w:r>
      <w:r w:rsidR="0089468B" w:rsidRPr="00DE6769">
        <w:rPr>
          <w:rFonts w:eastAsia="Times New Roman" w:cs="Helvetica"/>
          <w:color w:val="575757"/>
          <w:sz w:val="24"/>
          <w:szCs w:val="24"/>
        </w:rPr>
        <w:t>.</w:t>
      </w:r>
    </w:p>
    <w:p w:rsidR="0089468B" w:rsidRPr="00DE6769" w:rsidRDefault="003916F9" w:rsidP="0089468B">
      <w:pPr>
        <w:shd w:val="clear" w:color="auto" w:fill="FFFFFF"/>
        <w:spacing w:after="300" w:line="240" w:lineRule="auto"/>
        <w:rPr>
          <w:rFonts w:eastAsia="Times New Roman" w:cs="Helvetica"/>
          <w:color w:val="575757"/>
          <w:sz w:val="24"/>
          <w:szCs w:val="24"/>
        </w:rPr>
      </w:pPr>
      <w:r w:rsidRPr="003916F9">
        <w:rPr>
          <w:rFonts w:eastAsia="Times New Roman" w:cs="Helvetica"/>
          <w:color w:val="575757"/>
          <w:sz w:val="24"/>
          <w:szCs w:val="24"/>
        </w:rPr>
        <w:t xml:space="preserve">Съветът реши </w:t>
      </w:r>
      <w:r>
        <w:rPr>
          <w:rFonts w:eastAsia="Times New Roman" w:cs="Helvetica"/>
          <w:color w:val="575757"/>
          <w:sz w:val="24"/>
          <w:szCs w:val="24"/>
          <w:lang w:val="bg-BG"/>
        </w:rPr>
        <w:t xml:space="preserve">също така </w:t>
      </w:r>
      <w:r w:rsidRPr="003916F9">
        <w:rPr>
          <w:rFonts w:eastAsia="Times New Roman" w:cs="Helvetica"/>
          <w:color w:val="575757"/>
          <w:sz w:val="24"/>
          <w:szCs w:val="24"/>
        </w:rPr>
        <w:t xml:space="preserve">в порядък на работна хипотеза </w:t>
      </w:r>
      <w:r>
        <w:rPr>
          <w:rFonts w:eastAsia="Times New Roman" w:cs="Helvetica"/>
          <w:color w:val="575757"/>
          <w:sz w:val="24"/>
          <w:szCs w:val="24"/>
          <w:lang w:val="bg-BG"/>
        </w:rPr>
        <w:t xml:space="preserve">да разпростре това изменение и спрямо други договори, които предоставят кредитни или платежни механизми, сходни с такива договори за кредитни карти, ако тези договори отговарят на дефиницията за застрахователен договор и предприятието не отразява </w:t>
      </w:r>
      <w:r w:rsidRPr="003916F9">
        <w:rPr>
          <w:rFonts w:eastAsia="Times New Roman" w:cs="Helvetica"/>
          <w:color w:val="575757"/>
          <w:sz w:val="24"/>
          <w:szCs w:val="24"/>
          <w:lang w:val="bg-BG"/>
        </w:rPr>
        <w:t>оценка на застрахователния риск, свързан с конкретен клиент, при определяне цената на договора с този клиент</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Всичките четиринадесет членове на Съвета изразиха съгласие с това решение</w:t>
      </w:r>
      <w:r w:rsidR="0089468B" w:rsidRPr="00DE6769">
        <w:rPr>
          <w:rFonts w:eastAsia="Times New Roman" w:cs="Helvetica"/>
          <w:color w:val="575757"/>
          <w:sz w:val="24"/>
          <w:szCs w:val="24"/>
        </w:rPr>
        <w:t>.</w:t>
      </w:r>
    </w:p>
    <w:p w:rsidR="0089468B" w:rsidRPr="00DE6769" w:rsidRDefault="003916F9"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lang w:val="bg-BG"/>
        </w:rPr>
        <w:t>Преход</w:t>
      </w:r>
      <w:r w:rsidRPr="003916F9">
        <w:rPr>
          <w:rFonts w:eastAsia="Times New Roman" w:cs="Helvetica"/>
          <w:b/>
          <w:bCs/>
          <w:i/>
          <w:iCs/>
          <w:color w:val="333333"/>
          <w:sz w:val="27"/>
          <w:szCs w:val="27"/>
        </w:rPr>
        <w:t>—</w:t>
      </w:r>
      <w:r w:rsidRPr="003916F9">
        <w:rPr>
          <w:rFonts w:eastAsia="Times New Roman" w:cs="Helvetica"/>
          <w:b/>
          <w:bCs/>
          <w:i/>
          <w:iCs/>
          <w:color w:val="333333"/>
          <w:sz w:val="27"/>
          <w:szCs w:val="27"/>
          <w:lang w:val="bg-BG"/>
        </w:rPr>
        <w:t>забраната за ретроспективно прилагане на</w:t>
      </w:r>
      <w:r w:rsidRPr="003916F9">
        <w:rPr>
          <w:rFonts w:eastAsia="Times New Roman" w:cs="Helvetica"/>
          <w:b/>
          <w:bCs/>
          <w:i/>
          <w:iCs/>
          <w:color w:val="333333"/>
          <w:sz w:val="27"/>
          <w:szCs w:val="27"/>
        </w:rPr>
        <w:t xml:space="preserve"> </w:t>
      </w:r>
      <w:r w:rsidRPr="003916F9">
        <w:rPr>
          <w:rFonts w:eastAsia="Times New Roman" w:cs="Helvetica"/>
          <w:b/>
          <w:bCs/>
          <w:i/>
          <w:iCs/>
          <w:color w:val="333333"/>
          <w:sz w:val="27"/>
          <w:szCs w:val="27"/>
          <w:lang w:val="bg-BG"/>
        </w:rPr>
        <w:t>опцията за смекчаване на риска</w:t>
      </w:r>
      <w:r w:rsidRPr="003916F9">
        <w:rPr>
          <w:rFonts w:eastAsia="Times New Roman" w:cs="Helvetica"/>
          <w:b/>
          <w:bCs/>
          <w:i/>
          <w:iCs/>
          <w:color w:val="333333"/>
          <w:sz w:val="27"/>
          <w:szCs w:val="27"/>
        </w:rPr>
        <w:t xml:space="preserve"> </w:t>
      </w:r>
      <w:r w:rsidR="0089468B" w:rsidRPr="00DE6769">
        <w:rPr>
          <w:rFonts w:eastAsia="Times New Roman" w:cs="Helvetica"/>
          <w:b/>
          <w:bCs/>
          <w:color w:val="333333"/>
          <w:sz w:val="24"/>
          <w:szCs w:val="24"/>
        </w:rPr>
        <w:t>(</w:t>
      </w:r>
      <w:r w:rsidR="00DE6769">
        <w:rPr>
          <w:rFonts w:eastAsia="Times New Roman" w:cs="Helvetica"/>
          <w:b/>
          <w:bCs/>
          <w:color w:val="333333"/>
          <w:sz w:val="24"/>
          <w:szCs w:val="24"/>
        </w:rPr>
        <w:t>Документ по програмата</w:t>
      </w:r>
      <w:r w:rsidR="0089468B" w:rsidRPr="00DE6769">
        <w:rPr>
          <w:rFonts w:eastAsia="Times New Roman" w:cs="Helvetica"/>
          <w:b/>
          <w:bCs/>
          <w:color w:val="333333"/>
          <w:sz w:val="24"/>
          <w:szCs w:val="24"/>
        </w:rPr>
        <w:t xml:space="preserve"> 2</w:t>
      </w:r>
      <w:r>
        <w:rPr>
          <w:rFonts w:eastAsia="Times New Roman" w:cs="Helvetica"/>
          <w:b/>
          <w:bCs/>
          <w:color w:val="333333"/>
          <w:sz w:val="24"/>
          <w:szCs w:val="24"/>
          <w:lang w:val="bg-BG"/>
        </w:rPr>
        <w:t>Б</w:t>
      </w:r>
      <w:r w:rsidR="0089468B" w:rsidRPr="00DE6769">
        <w:rPr>
          <w:rFonts w:eastAsia="Times New Roman" w:cs="Helvetica"/>
          <w:b/>
          <w:bCs/>
          <w:color w:val="333333"/>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 xml:space="preserve"> </w:t>
      </w:r>
      <w:r w:rsidR="00530412">
        <w:rPr>
          <w:rFonts w:eastAsia="Times New Roman" w:cs="Helvetica"/>
          <w:color w:val="575757"/>
          <w:sz w:val="24"/>
          <w:szCs w:val="24"/>
          <w:lang w:val="bg-BG"/>
        </w:rPr>
        <w:t>да запази без изменение забраната в</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 </w:t>
      </w:r>
      <w:r w:rsidR="00530412">
        <w:rPr>
          <w:rFonts w:eastAsia="Times New Roman" w:cs="Helvetica"/>
          <w:color w:val="575757"/>
          <w:sz w:val="24"/>
          <w:szCs w:val="24"/>
          <w:lang w:val="bg-BG"/>
        </w:rPr>
        <w:t>за ретроспективно прилагане на опцията за смекчаване на риска</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Тринадесет от четиринадесетте членове на Съвета изразиха съгласие</w:t>
      </w:r>
      <w:r w:rsidRPr="00DE6769">
        <w:rPr>
          <w:rFonts w:eastAsia="Times New Roman" w:cs="Helvetica"/>
          <w:color w:val="575757"/>
          <w:sz w:val="24"/>
          <w:szCs w:val="24"/>
        </w:rPr>
        <w:t xml:space="preserve"> </w:t>
      </w:r>
      <w:r>
        <w:rPr>
          <w:rFonts w:eastAsia="Times New Roman" w:cs="Helvetica"/>
          <w:color w:val="575757"/>
          <w:sz w:val="24"/>
          <w:szCs w:val="24"/>
          <w:lang w:val="bg-BG"/>
        </w:rPr>
        <w:t>с това решение</w:t>
      </w:r>
      <w:r w:rsidR="0089468B" w:rsidRPr="00DE6769">
        <w:rPr>
          <w:rFonts w:eastAsia="Times New Roman" w:cs="Helvetica"/>
          <w:color w:val="575757"/>
          <w:sz w:val="24"/>
          <w:szCs w:val="24"/>
        </w:rPr>
        <w:t>.</w:t>
      </w:r>
    </w:p>
    <w:p w:rsidR="0089468B" w:rsidRPr="00DE6769" w:rsidRDefault="00530412"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lang w:val="bg-BG"/>
        </w:rPr>
        <w:t>Б</w:t>
      </w:r>
      <w:r w:rsidRPr="00530412">
        <w:rPr>
          <w:rFonts w:eastAsia="Times New Roman" w:cs="Helvetica"/>
          <w:b/>
          <w:bCs/>
          <w:i/>
          <w:iCs/>
          <w:color w:val="333333"/>
          <w:sz w:val="27"/>
          <w:szCs w:val="27"/>
          <w:lang w:val="bg-BG"/>
        </w:rPr>
        <w:t>изнес комбинации</w:t>
      </w:r>
      <w:r w:rsidRPr="00530412">
        <w:rPr>
          <w:rFonts w:eastAsia="Times New Roman" w:cs="Helvetica"/>
          <w:b/>
          <w:bCs/>
          <w:i/>
          <w:iCs/>
          <w:color w:val="333333"/>
          <w:sz w:val="27"/>
          <w:szCs w:val="27"/>
        </w:rPr>
        <w:t>—</w:t>
      </w:r>
      <w:r w:rsidRPr="00530412">
        <w:rPr>
          <w:rFonts w:eastAsia="Times New Roman" w:cs="Helvetica"/>
          <w:b/>
          <w:bCs/>
          <w:i/>
          <w:iCs/>
          <w:color w:val="333333"/>
          <w:sz w:val="27"/>
          <w:szCs w:val="27"/>
          <w:lang w:val="bg-BG"/>
        </w:rPr>
        <w:t>договори, придобити в периода на уреждането им</w:t>
      </w:r>
      <w:r w:rsidRPr="00530412">
        <w:rPr>
          <w:rFonts w:eastAsia="Times New Roman" w:cs="Helvetica"/>
          <w:b/>
          <w:bCs/>
          <w:i/>
          <w:iCs/>
          <w:color w:val="333333"/>
          <w:sz w:val="27"/>
          <w:szCs w:val="27"/>
        </w:rPr>
        <w:t xml:space="preserve"> </w:t>
      </w:r>
      <w:r w:rsidR="0089468B" w:rsidRPr="00DE6769">
        <w:rPr>
          <w:rFonts w:eastAsia="Times New Roman" w:cs="Helvetica"/>
          <w:b/>
          <w:bCs/>
          <w:color w:val="333333"/>
          <w:sz w:val="24"/>
          <w:szCs w:val="24"/>
        </w:rPr>
        <w:t>(</w:t>
      </w:r>
      <w:r w:rsidR="00DE6769">
        <w:rPr>
          <w:rFonts w:eastAsia="Times New Roman" w:cs="Helvetica"/>
          <w:b/>
          <w:bCs/>
          <w:color w:val="333333"/>
          <w:sz w:val="24"/>
          <w:szCs w:val="24"/>
        </w:rPr>
        <w:t>Документ по програмата</w:t>
      </w:r>
      <w:r w:rsidR="0089468B" w:rsidRPr="00DE6769">
        <w:rPr>
          <w:rFonts w:eastAsia="Times New Roman" w:cs="Helvetica"/>
          <w:b/>
          <w:bCs/>
          <w:color w:val="333333"/>
          <w:sz w:val="24"/>
          <w:szCs w:val="24"/>
        </w:rPr>
        <w:t xml:space="preserve"> 2</w:t>
      </w:r>
      <w:r>
        <w:rPr>
          <w:rFonts w:eastAsia="Times New Roman" w:cs="Helvetica"/>
          <w:b/>
          <w:bCs/>
          <w:color w:val="333333"/>
          <w:sz w:val="24"/>
          <w:szCs w:val="24"/>
          <w:lang w:val="bg-BG"/>
        </w:rPr>
        <w:t>В</w:t>
      </w:r>
      <w:r w:rsidR="0089468B" w:rsidRPr="00DE6769">
        <w:rPr>
          <w:rFonts w:eastAsia="Times New Roman" w:cs="Helvetica"/>
          <w:b/>
          <w:bCs/>
          <w:color w:val="333333"/>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 xml:space="preserve"> </w:t>
      </w:r>
      <w:r w:rsidR="00530412" w:rsidRPr="00530412">
        <w:rPr>
          <w:rFonts w:eastAsia="Times New Roman" w:cs="Helvetica"/>
          <w:color w:val="575757"/>
          <w:sz w:val="24"/>
          <w:szCs w:val="24"/>
          <w:lang w:val="bg-BG"/>
        </w:rPr>
        <w:t xml:space="preserve">да запази без изменение </w:t>
      </w:r>
      <w:r w:rsidR="00530412">
        <w:rPr>
          <w:rFonts w:eastAsia="Times New Roman" w:cs="Helvetica"/>
          <w:color w:val="575757"/>
          <w:sz w:val="24"/>
          <w:szCs w:val="24"/>
          <w:lang w:val="bg-BG"/>
        </w:rPr>
        <w:t>изискванията в</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 </w:t>
      </w:r>
      <w:r w:rsidR="00530412">
        <w:rPr>
          <w:rFonts w:eastAsia="Times New Roman" w:cs="Helvetica"/>
          <w:color w:val="575757"/>
          <w:sz w:val="24"/>
          <w:szCs w:val="24"/>
          <w:lang w:val="bg-BG"/>
        </w:rPr>
        <w:t xml:space="preserve">по отношение на застрахователни договори, придобити в периода на тяхното уреждане при прехвърляне на застрахователни договори, които не съставляват бизнес, или при бизнес комбинация, попадаща в обхвата на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3</w:t>
      </w:r>
      <w:r w:rsidR="00530412">
        <w:rPr>
          <w:rFonts w:eastAsia="Times New Roman" w:cs="Helvetica"/>
          <w:color w:val="575757"/>
          <w:sz w:val="24"/>
          <w:szCs w:val="24"/>
          <w:lang w:val="bg-BG"/>
        </w:rPr>
        <w:t xml:space="preserve"> </w:t>
      </w:r>
      <w:r w:rsidR="00530412">
        <w:rPr>
          <w:rFonts w:eastAsia="Times New Roman" w:cs="Helvetica"/>
          <w:i/>
          <w:iCs/>
          <w:color w:val="575757"/>
          <w:sz w:val="24"/>
          <w:szCs w:val="24"/>
          <w:lang w:val="bg-BG"/>
        </w:rPr>
        <w:t>Бизнес комбинации</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Всичките четиринадесет членове на Съвета изразиха съгласие с това решение</w:t>
      </w:r>
      <w:r w:rsidR="0089468B" w:rsidRPr="00DE6769">
        <w:rPr>
          <w:rFonts w:eastAsia="Times New Roman" w:cs="Helvetica"/>
          <w:color w:val="575757"/>
          <w:sz w:val="24"/>
          <w:szCs w:val="24"/>
        </w:rPr>
        <w:t>.</w:t>
      </w:r>
    </w:p>
    <w:p w:rsidR="0089468B" w:rsidRPr="00DE6769" w:rsidRDefault="00530412"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lang w:val="bg-BG"/>
        </w:rPr>
        <w:t xml:space="preserve">Междинни финансови отчети </w:t>
      </w:r>
      <w:r w:rsidR="0089468B" w:rsidRPr="00DE6769">
        <w:rPr>
          <w:rFonts w:eastAsia="Times New Roman" w:cs="Helvetica"/>
          <w:b/>
          <w:bCs/>
          <w:color w:val="333333"/>
          <w:sz w:val="24"/>
          <w:szCs w:val="24"/>
        </w:rPr>
        <w:t>(</w:t>
      </w:r>
      <w:r w:rsidR="00DE6769">
        <w:rPr>
          <w:rFonts w:eastAsia="Times New Roman" w:cs="Helvetica"/>
          <w:b/>
          <w:bCs/>
          <w:color w:val="333333"/>
          <w:sz w:val="24"/>
          <w:szCs w:val="24"/>
        </w:rPr>
        <w:t>Документ по програмата</w:t>
      </w:r>
      <w:r w:rsidR="0089468B" w:rsidRPr="00DE6769">
        <w:rPr>
          <w:rFonts w:eastAsia="Times New Roman" w:cs="Helvetica"/>
          <w:b/>
          <w:bCs/>
          <w:color w:val="333333"/>
          <w:sz w:val="24"/>
          <w:szCs w:val="24"/>
        </w:rPr>
        <w:t xml:space="preserve"> 2</w:t>
      </w:r>
      <w:r>
        <w:rPr>
          <w:rFonts w:eastAsia="Times New Roman" w:cs="Helvetica"/>
          <w:b/>
          <w:bCs/>
          <w:color w:val="333333"/>
          <w:sz w:val="24"/>
          <w:szCs w:val="24"/>
          <w:lang w:val="bg-BG"/>
        </w:rPr>
        <w:t>Г</w:t>
      </w:r>
      <w:r w:rsidR="0089468B" w:rsidRPr="00DE6769">
        <w:rPr>
          <w:rFonts w:eastAsia="Times New Roman" w:cs="Helvetica"/>
          <w:b/>
          <w:bCs/>
          <w:color w:val="333333"/>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lastRenderedPageBreak/>
        <w:t>Съветът реши в порядък на работна хипотеза</w:t>
      </w:r>
      <w:r w:rsidR="0089468B" w:rsidRPr="00DE6769">
        <w:rPr>
          <w:rFonts w:eastAsia="Times New Roman" w:cs="Helvetica"/>
          <w:color w:val="575757"/>
          <w:sz w:val="24"/>
          <w:szCs w:val="24"/>
        </w:rPr>
        <w:t xml:space="preserve"> </w:t>
      </w:r>
      <w:r w:rsidR="00530412">
        <w:rPr>
          <w:rFonts w:eastAsia="Times New Roman" w:cs="Helvetica"/>
          <w:color w:val="575757"/>
          <w:sz w:val="24"/>
          <w:szCs w:val="24"/>
          <w:lang w:val="bg-BG"/>
        </w:rPr>
        <w:t>да измени параграф</w:t>
      </w:r>
      <w:r w:rsidR="0089468B" w:rsidRPr="00DE6769">
        <w:rPr>
          <w:rFonts w:eastAsia="Times New Roman" w:cs="Helvetica"/>
          <w:color w:val="575757"/>
          <w:sz w:val="24"/>
          <w:szCs w:val="24"/>
        </w:rPr>
        <w:t xml:space="preserve"> </w:t>
      </w:r>
      <w:r w:rsidR="00530412">
        <w:rPr>
          <w:rFonts w:eastAsia="Times New Roman" w:cs="Helvetica"/>
          <w:color w:val="575757"/>
          <w:sz w:val="24"/>
          <w:szCs w:val="24"/>
          <w:lang w:val="bg-BG"/>
        </w:rPr>
        <w:t>Б</w:t>
      </w:r>
      <w:r w:rsidR="0089468B" w:rsidRPr="00DE6769">
        <w:rPr>
          <w:rFonts w:eastAsia="Times New Roman" w:cs="Helvetica"/>
          <w:color w:val="575757"/>
          <w:sz w:val="24"/>
          <w:szCs w:val="24"/>
        </w:rPr>
        <w:t xml:space="preserve">137 </w:t>
      </w:r>
      <w:r w:rsidR="00530412">
        <w:rPr>
          <w:rFonts w:eastAsia="Times New Roman" w:cs="Helvetica"/>
          <w:color w:val="575757"/>
          <w:sz w:val="24"/>
          <w:szCs w:val="24"/>
          <w:lang w:val="bg-BG"/>
        </w:rPr>
        <w:t>от</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w:t>
      </w:r>
      <w:r w:rsidR="00530412">
        <w:rPr>
          <w:rFonts w:eastAsia="Times New Roman" w:cs="Helvetica"/>
          <w:color w:val="575757"/>
          <w:sz w:val="24"/>
          <w:szCs w:val="24"/>
          <w:lang w:val="bg-BG"/>
        </w:rPr>
        <w:t>, така че да изисква предприятието</w:t>
      </w:r>
      <w:r w:rsidR="0089468B" w:rsidRPr="00DE6769">
        <w:rPr>
          <w:rFonts w:eastAsia="Times New Roman" w:cs="Helvetica"/>
          <w:color w:val="575757"/>
          <w:sz w:val="24"/>
          <w:szCs w:val="24"/>
        </w:rPr>
        <w:t>:</w:t>
      </w:r>
    </w:p>
    <w:p w:rsidR="0089468B" w:rsidRPr="00DE6769" w:rsidRDefault="00530412" w:rsidP="0089468B">
      <w:pPr>
        <w:numPr>
          <w:ilvl w:val="0"/>
          <w:numId w:val="25"/>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 xml:space="preserve">да направи избор на счетоводна политика относно това дали да промени третирането на счетоводни приблизителни оценки, извършени в предходни междинни финансови отчети при прилагането на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 </w:t>
      </w:r>
      <w:r>
        <w:rPr>
          <w:rFonts w:eastAsia="Times New Roman" w:cs="Helvetica"/>
          <w:color w:val="575757"/>
          <w:sz w:val="24"/>
          <w:szCs w:val="24"/>
          <w:lang w:val="bg-BG"/>
        </w:rPr>
        <w:t>в последващи междинни финансови отчети или в годишния отчетен период</w:t>
      </w:r>
      <w:r>
        <w:rPr>
          <w:rFonts w:eastAsia="Times New Roman" w:cs="Helvetica"/>
          <w:color w:val="575757"/>
          <w:sz w:val="24"/>
          <w:szCs w:val="24"/>
        </w:rPr>
        <w:t>;</w:t>
      </w:r>
    </w:p>
    <w:p w:rsidR="0089468B" w:rsidRPr="00DE6769" w:rsidRDefault="00530412" w:rsidP="0089468B">
      <w:pPr>
        <w:numPr>
          <w:ilvl w:val="0"/>
          <w:numId w:val="25"/>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прилага избора си на счетоводна политика по отношение на всички издадени застрахователни договори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 държани презастрахователни договори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т.е. избор на счетоводна политика на ниво предприятие</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Тринадесет от четиринадесетте членове на Съвета изразиха съгласие</w:t>
      </w:r>
      <w:r w:rsidRPr="00DE6769">
        <w:rPr>
          <w:rFonts w:eastAsia="Times New Roman" w:cs="Helvetica"/>
          <w:color w:val="575757"/>
          <w:sz w:val="24"/>
          <w:szCs w:val="24"/>
        </w:rPr>
        <w:t xml:space="preserve"> </w:t>
      </w:r>
      <w:r>
        <w:rPr>
          <w:rFonts w:eastAsia="Times New Roman" w:cs="Helvetica"/>
          <w:color w:val="575757"/>
          <w:sz w:val="24"/>
          <w:szCs w:val="24"/>
          <w:lang w:val="bg-BG"/>
        </w:rPr>
        <w:t>с това решение</w:t>
      </w:r>
      <w:r w:rsidR="0089468B" w:rsidRPr="00DE6769">
        <w:rPr>
          <w:rFonts w:eastAsia="Times New Roman" w:cs="Helvetica"/>
          <w:color w:val="575757"/>
          <w:sz w:val="24"/>
          <w:szCs w:val="24"/>
        </w:rPr>
        <w:t>.</w:t>
      </w:r>
    </w:p>
    <w:p w:rsidR="0089468B" w:rsidRPr="00DE6769" w:rsidRDefault="00530412"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lang w:val="bg-BG"/>
        </w:rPr>
        <w:t>А</w:t>
      </w:r>
      <w:r w:rsidRPr="00530412">
        <w:rPr>
          <w:rFonts w:eastAsia="Times New Roman" w:cs="Helvetica"/>
          <w:b/>
          <w:bCs/>
          <w:i/>
          <w:iCs/>
          <w:color w:val="333333"/>
          <w:sz w:val="27"/>
          <w:szCs w:val="27"/>
          <w:lang w:val="bg-BG"/>
        </w:rPr>
        <w:t>ктив за парични потоци за придобиване на застраховане</w:t>
      </w:r>
      <w:r w:rsidRPr="00530412">
        <w:rPr>
          <w:rFonts w:eastAsia="Times New Roman" w:cs="Helvetica"/>
          <w:b/>
          <w:bCs/>
          <w:i/>
          <w:iCs/>
          <w:color w:val="333333"/>
          <w:sz w:val="27"/>
          <w:szCs w:val="27"/>
        </w:rPr>
        <w:t>—</w:t>
      </w:r>
      <w:r w:rsidRPr="00530412">
        <w:rPr>
          <w:rFonts w:eastAsia="Times New Roman" w:cs="Helvetica"/>
          <w:b/>
          <w:bCs/>
          <w:i/>
          <w:iCs/>
          <w:color w:val="333333"/>
          <w:sz w:val="27"/>
          <w:szCs w:val="27"/>
          <w:lang w:val="bg-BG"/>
        </w:rPr>
        <w:t>преход и бизнес комбинации</w:t>
      </w:r>
      <w:r w:rsidRPr="00530412">
        <w:rPr>
          <w:rFonts w:eastAsia="Times New Roman" w:cs="Helvetica"/>
          <w:b/>
          <w:bCs/>
          <w:i/>
          <w:iCs/>
          <w:color w:val="333333"/>
          <w:sz w:val="27"/>
          <w:szCs w:val="27"/>
        </w:rPr>
        <w:t xml:space="preserve"> </w:t>
      </w:r>
      <w:r w:rsidR="0089468B" w:rsidRPr="00DE6769">
        <w:rPr>
          <w:rFonts w:eastAsia="Times New Roman" w:cs="Helvetica"/>
          <w:b/>
          <w:bCs/>
          <w:color w:val="333333"/>
          <w:sz w:val="24"/>
          <w:szCs w:val="24"/>
        </w:rPr>
        <w:t>(</w:t>
      </w:r>
      <w:r w:rsidR="00DE6769">
        <w:rPr>
          <w:rFonts w:eastAsia="Times New Roman" w:cs="Helvetica"/>
          <w:b/>
          <w:bCs/>
          <w:color w:val="333333"/>
          <w:sz w:val="24"/>
          <w:szCs w:val="24"/>
        </w:rPr>
        <w:t>Документ по програмата</w:t>
      </w:r>
      <w:r w:rsidR="0089468B" w:rsidRPr="00DE6769">
        <w:rPr>
          <w:rFonts w:eastAsia="Times New Roman" w:cs="Helvetica"/>
          <w:b/>
          <w:bCs/>
          <w:color w:val="333333"/>
          <w:sz w:val="24"/>
          <w:szCs w:val="24"/>
        </w:rPr>
        <w:t xml:space="preserve"> 2</w:t>
      </w:r>
      <w:r>
        <w:rPr>
          <w:rFonts w:eastAsia="Times New Roman" w:cs="Helvetica"/>
          <w:b/>
          <w:bCs/>
          <w:color w:val="333333"/>
          <w:sz w:val="24"/>
          <w:szCs w:val="24"/>
          <w:lang w:val="bg-BG"/>
        </w:rPr>
        <w:t>Д</w:t>
      </w:r>
      <w:r w:rsidR="0089468B" w:rsidRPr="00DE6769">
        <w:rPr>
          <w:rFonts w:eastAsia="Times New Roman" w:cs="Helvetica"/>
          <w:b/>
          <w:bCs/>
          <w:color w:val="333333"/>
          <w:sz w:val="24"/>
          <w:szCs w:val="24"/>
        </w:rPr>
        <w:t>)</w:t>
      </w:r>
    </w:p>
    <w:p w:rsidR="0089468B" w:rsidRPr="00DE6769" w:rsidRDefault="00530412" w:rsidP="0089468B">
      <w:pPr>
        <w:shd w:val="clear" w:color="auto" w:fill="FFFFFF"/>
        <w:spacing w:before="150" w:after="150" w:line="240" w:lineRule="auto"/>
        <w:outlineLvl w:val="3"/>
        <w:rPr>
          <w:rFonts w:eastAsia="Times New Roman" w:cs="Helvetica"/>
          <w:color w:val="575757"/>
          <w:sz w:val="27"/>
          <w:szCs w:val="27"/>
        </w:rPr>
      </w:pPr>
      <w:r>
        <w:rPr>
          <w:rFonts w:eastAsia="Times New Roman" w:cs="Helvetica"/>
          <w:i/>
          <w:iCs/>
          <w:color w:val="575757"/>
          <w:sz w:val="27"/>
          <w:szCs w:val="27"/>
          <w:lang w:val="bg-BG"/>
        </w:rPr>
        <w:t>Преминаване към</w:t>
      </w:r>
      <w:r w:rsidR="0089468B" w:rsidRPr="00DE6769">
        <w:rPr>
          <w:rFonts w:eastAsia="Times New Roman" w:cs="Helvetica"/>
          <w:i/>
          <w:iCs/>
          <w:color w:val="575757"/>
          <w:sz w:val="27"/>
          <w:szCs w:val="27"/>
        </w:rPr>
        <w:t xml:space="preserve"> </w:t>
      </w:r>
      <w:r w:rsidR="00DE6769">
        <w:rPr>
          <w:rFonts w:eastAsia="Times New Roman" w:cs="Helvetica"/>
          <w:i/>
          <w:iCs/>
          <w:color w:val="575757"/>
          <w:sz w:val="27"/>
          <w:szCs w:val="27"/>
        </w:rPr>
        <w:t>МСФО</w:t>
      </w:r>
      <w:r w:rsidR="0089468B" w:rsidRPr="00DE6769">
        <w:rPr>
          <w:rFonts w:eastAsia="Times New Roman" w:cs="Helvetica"/>
          <w:i/>
          <w:iCs/>
          <w:color w:val="575757"/>
          <w:sz w:val="27"/>
          <w:szCs w:val="27"/>
        </w:rPr>
        <w:t xml:space="preserve"> 17</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 xml:space="preserve"> </w:t>
      </w:r>
      <w:r w:rsidR="005272A7">
        <w:rPr>
          <w:rFonts w:eastAsia="Times New Roman" w:cs="Helvetica"/>
          <w:color w:val="575757"/>
          <w:sz w:val="24"/>
          <w:szCs w:val="24"/>
          <w:lang w:val="bg-BG"/>
        </w:rPr>
        <w:t>да измени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w:t>
      </w:r>
      <w:r w:rsidR="005272A7">
        <w:rPr>
          <w:rFonts w:eastAsia="Times New Roman" w:cs="Helvetica"/>
          <w:color w:val="575757"/>
          <w:sz w:val="24"/>
          <w:szCs w:val="24"/>
          <w:lang w:val="bg-BG"/>
        </w:rPr>
        <w:t>, така че да изисква предприятието да идентифицира</w:t>
      </w:r>
      <w:r w:rsidR="0089468B" w:rsidRPr="00DE6769">
        <w:rPr>
          <w:rFonts w:eastAsia="Times New Roman" w:cs="Helvetica"/>
          <w:color w:val="575757"/>
          <w:sz w:val="24"/>
          <w:szCs w:val="24"/>
        </w:rPr>
        <w:t xml:space="preserve">, </w:t>
      </w:r>
      <w:r w:rsidR="005272A7">
        <w:rPr>
          <w:rFonts w:eastAsia="Times New Roman" w:cs="Helvetica"/>
          <w:color w:val="575757"/>
          <w:sz w:val="24"/>
          <w:szCs w:val="24"/>
          <w:lang w:val="bg-BG"/>
        </w:rPr>
        <w:t>признава и оценява към датата на преминаване</w:t>
      </w:r>
      <w:r w:rsidR="0089468B" w:rsidRPr="00DE6769">
        <w:rPr>
          <w:rFonts w:eastAsia="Times New Roman" w:cs="Helvetica"/>
          <w:color w:val="575757"/>
          <w:sz w:val="24"/>
          <w:szCs w:val="24"/>
        </w:rPr>
        <w:t xml:space="preserve"> </w:t>
      </w:r>
      <w:r w:rsidR="005272A7">
        <w:rPr>
          <w:rFonts w:eastAsia="Times New Roman" w:cs="Helvetica"/>
          <w:color w:val="575757"/>
          <w:sz w:val="24"/>
          <w:szCs w:val="24"/>
          <w:lang w:val="bg-BG"/>
        </w:rPr>
        <w:t>актив за парични потоци за придобиване на застраховане по отношение на група застрахователни договори</w:t>
      </w:r>
      <w:r w:rsidR="0089468B" w:rsidRPr="00DE6769">
        <w:rPr>
          <w:rFonts w:eastAsia="Times New Roman" w:cs="Helvetica"/>
          <w:color w:val="575757"/>
          <w:sz w:val="24"/>
          <w:szCs w:val="24"/>
        </w:rPr>
        <w:t xml:space="preserve">. </w:t>
      </w:r>
      <w:r w:rsidR="005272A7">
        <w:rPr>
          <w:rFonts w:eastAsia="Times New Roman" w:cs="Helvetica"/>
          <w:color w:val="575757"/>
          <w:sz w:val="24"/>
          <w:szCs w:val="24"/>
          <w:lang w:val="bg-BG"/>
        </w:rPr>
        <w:t>Ако и само ако е практически неосъществимо за предприятието да прилага</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 </w:t>
      </w:r>
      <w:r w:rsidR="005272A7">
        <w:rPr>
          <w:rFonts w:eastAsia="Times New Roman" w:cs="Helvetica"/>
          <w:color w:val="575757"/>
          <w:sz w:val="24"/>
          <w:szCs w:val="24"/>
          <w:lang w:val="bg-BG"/>
        </w:rPr>
        <w:t>ретроспективно</w:t>
      </w:r>
      <w:r w:rsidR="0089468B" w:rsidRPr="00DE6769">
        <w:rPr>
          <w:rFonts w:eastAsia="Times New Roman" w:cs="Helvetica"/>
          <w:color w:val="575757"/>
          <w:sz w:val="24"/>
          <w:szCs w:val="24"/>
        </w:rPr>
        <w:t xml:space="preserve">, </w:t>
      </w:r>
      <w:r w:rsidR="005272A7">
        <w:rPr>
          <w:rFonts w:eastAsia="Times New Roman" w:cs="Helvetica"/>
          <w:color w:val="575757"/>
          <w:sz w:val="24"/>
          <w:szCs w:val="24"/>
          <w:lang w:val="bg-BG"/>
        </w:rPr>
        <w:t>от предприятието се изисква да оценява актив</w:t>
      </w:r>
      <w:r w:rsidR="0089468B" w:rsidRPr="00DE6769">
        <w:rPr>
          <w:rFonts w:eastAsia="Times New Roman" w:cs="Helvetica"/>
          <w:color w:val="575757"/>
          <w:sz w:val="24"/>
          <w:szCs w:val="24"/>
        </w:rPr>
        <w:t xml:space="preserve"> </w:t>
      </w:r>
      <w:r w:rsidR="005272A7" w:rsidRPr="005272A7">
        <w:rPr>
          <w:rFonts w:eastAsia="Times New Roman" w:cs="Helvetica"/>
          <w:color w:val="575757"/>
          <w:sz w:val="24"/>
          <w:szCs w:val="24"/>
          <w:lang w:val="bg-BG"/>
        </w:rPr>
        <w:t>за парични потоци за придобиване на застраховане</w:t>
      </w:r>
      <w:r w:rsidR="0089468B" w:rsidRPr="00DE6769">
        <w:rPr>
          <w:rFonts w:eastAsia="Times New Roman" w:cs="Helvetica"/>
          <w:color w:val="575757"/>
          <w:sz w:val="24"/>
          <w:szCs w:val="24"/>
        </w:rPr>
        <w:t xml:space="preserve"> </w:t>
      </w:r>
      <w:r w:rsidR="005272A7">
        <w:rPr>
          <w:rFonts w:eastAsia="Times New Roman" w:cs="Helvetica"/>
          <w:color w:val="575757"/>
          <w:sz w:val="24"/>
          <w:szCs w:val="24"/>
          <w:lang w:val="bg-BG"/>
        </w:rPr>
        <w:t>към датата на преминаване, като прилага или модифицирания ретроспективен подход или подхода на справедливата стойност</w:t>
      </w:r>
      <w:r w:rsidR="0089468B" w:rsidRPr="00DE6769">
        <w:rPr>
          <w:rFonts w:eastAsia="Times New Roman" w:cs="Helvetica"/>
          <w:color w:val="575757"/>
          <w:sz w:val="24"/>
          <w:szCs w:val="24"/>
        </w:rPr>
        <w:t>.</w:t>
      </w:r>
    </w:p>
    <w:p w:rsidR="0089468B" w:rsidRPr="00DE6769" w:rsidRDefault="005272A7" w:rsidP="0089468B">
      <w:pPr>
        <w:shd w:val="clear" w:color="auto" w:fill="FFFFFF"/>
        <w:spacing w:before="150" w:after="150" w:line="240" w:lineRule="auto"/>
        <w:outlineLvl w:val="3"/>
        <w:rPr>
          <w:rFonts w:eastAsia="Times New Roman" w:cs="Helvetica"/>
          <w:color w:val="575757"/>
          <w:sz w:val="27"/>
          <w:szCs w:val="27"/>
        </w:rPr>
      </w:pPr>
      <w:r>
        <w:rPr>
          <w:rFonts w:eastAsia="Times New Roman" w:cs="Helvetica"/>
          <w:i/>
          <w:iCs/>
          <w:color w:val="575757"/>
          <w:sz w:val="27"/>
          <w:szCs w:val="27"/>
          <w:lang w:val="bg-BG"/>
        </w:rPr>
        <w:t>Модифициран ретроспективен подход</w:t>
      </w:r>
    </w:p>
    <w:p w:rsidR="0089468B" w:rsidRPr="00DE6769" w:rsidRDefault="00295B31"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При модифицирания ретроспективен подход</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в съответствие с изискването в параграф</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В</w:t>
      </w:r>
      <w:r w:rsidR="0089468B" w:rsidRPr="00DE6769">
        <w:rPr>
          <w:rFonts w:eastAsia="Times New Roman" w:cs="Helvetica"/>
          <w:color w:val="575757"/>
          <w:sz w:val="24"/>
          <w:szCs w:val="24"/>
        </w:rPr>
        <w:t xml:space="preserve">8 </w:t>
      </w:r>
      <w:r>
        <w:rPr>
          <w:rFonts w:eastAsia="Times New Roman" w:cs="Helvetica"/>
          <w:color w:val="575757"/>
          <w:sz w:val="24"/>
          <w:szCs w:val="24"/>
          <w:lang w:val="bg-BG"/>
        </w:rPr>
        <w:t>от</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 </w:t>
      </w:r>
      <w:r w:rsidR="003D0750">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да измени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w:t>
      </w:r>
      <w:r>
        <w:rPr>
          <w:rFonts w:eastAsia="Times New Roman" w:cs="Helvetica"/>
          <w:color w:val="575757"/>
          <w:sz w:val="24"/>
          <w:szCs w:val="24"/>
          <w:lang w:val="bg-BG"/>
        </w:rPr>
        <w:t>, така че да разреши предприятието да използва описаната по-долу модификация само ако не разполага с разумна и можеща да бъде подкрепена информация, за да приложи ретроспективния подход</w:t>
      </w:r>
      <w:r w:rsidR="0089468B" w:rsidRPr="00DE6769">
        <w:rPr>
          <w:rFonts w:eastAsia="Times New Roman" w:cs="Helvetica"/>
          <w:color w:val="575757"/>
          <w:sz w:val="24"/>
          <w:szCs w:val="24"/>
        </w:rPr>
        <w:t>.</w:t>
      </w:r>
    </w:p>
    <w:p w:rsidR="0089468B" w:rsidRPr="00DE6769" w:rsidRDefault="00295B31"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Модификацията, която е на разположение в такива случаи, посочва, че от предприятието се изисква</w:t>
      </w:r>
      <w:r w:rsidR="0089468B" w:rsidRPr="00DE6769">
        <w:rPr>
          <w:rFonts w:eastAsia="Times New Roman" w:cs="Helvetica"/>
          <w:color w:val="575757"/>
          <w:sz w:val="24"/>
          <w:szCs w:val="24"/>
        </w:rPr>
        <w:t>:</w:t>
      </w:r>
    </w:p>
    <w:p w:rsidR="0089468B" w:rsidRPr="00DE6769" w:rsidRDefault="00295B31" w:rsidP="0089468B">
      <w:pPr>
        <w:numPr>
          <w:ilvl w:val="0"/>
          <w:numId w:val="26"/>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оценява актив за парични потоци за придобиване на застраховане, използвайки информацията, която е на разположение към датата на преход,</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като идентифицира сумата на паричните потоци за придобиване на застраховане, платена преди датата на преход, изключвайки сумата, отнасяща се до договорите, които са престанали да съществуват преди датата на преход</w:t>
      </w:r>
      <w:r w:rsidR="0089468B" w:rsidRPr="00DE6769">
        <w:rPr>
          <w:rFonts w:eastAsia="Times New Roman" w:cs="Helvetica"/>
          <w:color w:val="575757"/>
          <w:sz w:val="24"/>
          <w:szCs w:val="24"/>
        </w:rPr>
        <w:t>;</w:t>
      </w:r>
    </w:p>
    <w:p w:rsidR="0089468B" w:rsidRPr="00DE6769" w:rsidRDefault="00295B31" w:rsidP="0089468B">
      <w:pPr>
        <w:numPr>
          <w:ilvl w:val="0"/>
          <w:numId w:val="26"/>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разпредели идентифицираната сума, използвайки систематичен и рационален метод за разпределение, който предприятието ще прилага оттук нататък по отношение на</w:t>
      </w:r>
      <w:r w:rsidR="0089468B" w:rsidRPr="00DE6769">
        <w:rPr>
          <w:rFonts w:eastAsia="Times New Roman" w:cs="Helvetica"/>
          <w:color w:val="575757"/>
          <w:sz w:val="24"/>
          <w:szCs w:val="24"/>
        </w:rPr>
        <w:t>:</w:t>
      </w:r>
    </w:p>
    <w:p w:rsidR="0089468B" w:rsidRPr="00DE6769" w:rsidRDefault="00295B31" w:rsidP="0089468B">
      <w:pPr>
        <w:numPr>
          <w:ilvl w:val="1"/>
          <w:numId w:val="26"/>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lastRenderedPageBreak/>
        <w:t>групи застрахователни договори, които са признати към датата на преход</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295B31" w:rsidP="0089468B">
      <w:pPr>
        <w:numPr>
          <w:ilvl w:val="1"/>
          <w:numId w:val="26"/>
        </w:numPr>
        <w:shd w:val="clear" w:color="auto" w:fill="FFFFFF"/>
        <w:spacing w:before="75" w:after="75" w:line="240" w:lineRule="auto"/>
        <w:ind w:left="1215"/>
        <w:rPr>
          <w:rFonts w:eastAsia="Times New Roman" w:cs="Helvetica"/>
          <w:color w:val="575757"/>
          <w:sz w:val="24"/>
          <w:szCs w:val="24"/>
        </w:rPr>
      </w:pPr>
      <w:r w:rsidRPr="00295B31">
        <w:rPr>
          <w:rFonts w:eastAsia="Times New Roman" w:cs="Helvetica"/>
          <w:color w:val="575757"/>
          <w:sz w:val="24"/>
          <w:szCs w:val="24"/>
          <w:lang w:val="bg-BG"/>
        </w:rPr>
        <w:t xml:space="preserve">групи застрахователни договори, които </w:t>
      </w:r>
      <w:r>
        <w:rPr>
          <w:rFonts w:eastAsia="Times New Roman" w:cs="Helvetica"/>
          <w:color w:val="575757"/>
          <w:sz w:val="24"/>
          <w:szCs w:val="24"/>
          <w:lang w:val="bg-BG"/>
        </w:rPr>
        <w:t>се очаква да бъдат признати след датата на преход</w:t>
      </w:r>
      <w:r w:rsidR="0089468B" w:rsidRPr="00DE6769">
        <w:rPr>
          <w:rFonts w:eastAsia="Times New Roman" w:cs="Helvetica"/>
          <w:color w:val="575757"/>
          <w:sz w:val="24"/>
          <w:szCs w:val="24"/>
        </w:rPr>
        <w:t>;</w:t>
      </w:r>
    </w:p>
    <w:p w:rsidR="0089468B" w:rsidRPr="00DE6769" w:rsidRDefault="00295B31" w:rsidP="0089468B">
      <w:pPr>
        <w:numPr>
          <w:ilvl w:val="0"/>
          <w:numId w:val="26"/>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коригира маржа на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договорената услуга по застрахователните договори, които са признати към датата на преход, като приспадне сумата на паричните потоци за придобиване на застраховане, определена, прилагайки подточка б</w:t>
      </w:r>
      <w:r w:rsidR="0089468B" w:rsidRPr="00DE6769">
        <w:rPr>
          <w:rFonts w:eastAsia="Times New Roman" w:cs="Helvetica"/>
          <w:color w:val="575757"/>
          <w:sz w:val="24"/>
          <w:szCs w:val="24"/>
        </w:rPr>
        <w:t xml:space="preserve">(i); </w:t>
      </w:r>
      <w:r>
        <w:rPr>
          <w:rFonts w:eastAsia="Times New Roman" w:cs="Helvetica"/>
          <w:color w:val="575757"/>
          <w:sz w:val="24"/>
          <w:szCs w:val="24"/>
          <w:lang w:val="bg-BG"/>
        </w:rPr>
        <w:t>и</w:t>
      </w:r>
    </w:p>
    <w:p w:rsidR="0089468B" w:rsidRPr="00DE6769" w:rsidRDefault="00295B31" w:rsidP="0089468B">
      <w:pPr>
        <w:numPr>
          <w:ilvl w:val="0"/>
          <w:numId w:val="26"/>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признава актив за парични потоци за придобиване на застраховане по отношение на застрахователните договори, които се очаква да бъдат признати след датата на преход със сумата, определена, прилагайки подточка</w:t>
      </w:r>
      <w:r w:rsidR="0089468B" w:rsidRPr="00DE6769">
        <w:rPr>
          <w:rFonts w:eastAsia="Times New Roman" w:cs="Helvetica"/>
          <w:color w:val="575757"/>
          <w:sz w:val="24"/>
          <w:szCs w:val="24"/>
        </w:rPr>
        <w:t>(ii).</w:t>
      </w:r>
    </w:p>
    <w:p w:rsidR="0089468B" w:rsidRPr="00DE6769" w:rsidRDefault="007B343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 xml:space="preserve">Съветът реши </w:t>
      </w:r>
      <w:r>
        <w:rPr>
          <w:rFonts w:eastAsia="Times New Roman" w:cs="Helvetica"/>
          <w:color w:val="575757"/>
          <w:sz w:val="24"/>
          <w:szCs w:val="24"/>
          <w:lang w:val="bg-BG"/>
        </w:rPr>
        <w:t xml:space="preserve">също така </w:t>
      </w:r>
      <w:r>
        <w:rPr>
          <w:rFonts w:eastAsia="Times New Roman" w:cs="Helvetica"/>
          <w:color w:val="575757"/>
          <w:sz w:val="24"/>
          <w:szCs w:val="24"/>
        </w:rPr>
        <w:t>в порядък на работна хипотеза</w:t>
      </w:r>
      <w:r w:rsidRPr="00DE6769">
        <w:rPr>
          <w:rFonts w:eastAsia="Times New Roman" w:cs="Helvetica"/>
          <w:color w:val="575757"/>
          <w:sz w:val="24"/>
          <w:szCs w:val="24"/>
        </w:rPr>
        <w:t xml:space="preserve"> </w:t>
      </w:r>
      <w:r w:rsidR="00BF2E18">
        <w:rPr>
          <w:rFonts w:eastAsia="Times New Roman" w:cs="Helvetica"/>
          <w:color w:val="575757"/>
          <w:sz w:val="24"/>
          <w:szCs w:val="24"/>
          <w:lang w:val="bg-BG"/>
        </w:rPr>
        <w:t>да измени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w:t>
      </w:r>
      <w:r w:rsidR="00BF2E18">
        <w:rPr>
          <w:rFonts w:eastAsia="Times New Roman" w:cs="Helvetica"/>
          <w:color w:val="575757"/>
          <w:sz w:val="24"/>
          <w:szCs w:val="24"/>
          <w:lang w:val="bg-BG"/>
        </w:rPr>
        <w:t>, така че да позволи на предприятие, което не</w:t>
      </w:r>
      <w:r w:rsidR="0089468B" w:rsidRPr="00DE6769">
        <w:rPr>
          <w:rFonts w:eastAsia="Times New Roman" w:cs="Helvetica"/>
          <w:color w:val="575757"/>
          <w:sz w:val="24"/>
          <w:szCs w:val="24"/>
        </w:rPr>
        <w:t xml:space="preserve"> </w:t>
      </w:r>
      <w:r w:rsidR="00BF2E18" w:rsidRPr="00BF2E18">
        <w:rPr>
          <w:rFonts w:eastAsia="Times New Roman" w:cs="Helvetica"/>
          <w:color w:val="575757"/>
          <w:sz w:val="24"/>
          <w:szCs w:val="24"/>
          <w:lang w:val="bg-BG"/>
        </w:rPr>
        <w:t>разполага с разумна</w:t>
      </w:r>
      <w:r w:rsidR="00BF2E18">
        <w:rPr>
          <w:rFonts w:eastAsia="Times New Roman" w:cs="Helvetica"/>
          <w:color w:val="575757"/>
          <w:sz w:val="24"/>
          <w:szCs w:val="24"/>
          <w:lang w:val="bg-BG"/>
        </w:rPr>
        <w:t>та</w:t>
      </w:r>
      <w:r w:rsidR="00BF2E18" w:rsidRPr="00BF2E18">
        <w:rPr>
          <w:rFonts w:eastAsia="Times New Roman" w:cs="Helvetica"/>
          <w:color w:val="575757"/>
          <w:sz w:val="24"/>
          <w:szCs w:val="24"/>
          <w:lang w:val="bg-BG"/>
        </w:rPr>
        <w:t xml:space="preserve"> и можеща да бъде подкрепена информация</w:t>
      </w:r>
      <w:r w:rsidR="00BF2E18">
        <w:rPr>
          <w:rFonts w:eastAsia="Times New Roman" w:cs="Helvetica"/>
          <w:color w:val="575757"/>
          <w:sz w:val="24"/>
          <w:szCs w:val="24"/>
          <w:lang w:val="bg-BG"/>
        </w:rPr>
        <w:t>, необходима за прилагането на тази модификация, да прилага модифицирания ретроспективен подход, като определи към датата на преход</w:t>
      </w:r>
      <w:r w:rsidR="0089468B" w:rsidRPr="00DE6769">
        <w:rPr>
          <w:rFonts w:eastAsia="Times New Roman" w:cs="Helvetica"/>
          <w:color w:val="575757"/>
          <w:sz w:val="24"/>
          <w:szCs w:val="24"/>
        </w:rPr>
        <w:t>:</w:t>
      </w:r>
    </w:p>
    <w:p w:rsidR="0089468B" w:rsidRPr="00DE6769" w:rsidRDefault="00BF2E18" w:rsidP="0089468B">
      <w:pPr>
        <w:numPr>
          <w:ilvl w:val="0"/>
          <w:numId w:val="27"/>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корекция към маржа на договорената услуга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по групите застрахователни договори, които са признати към датата на преход, като нула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BF2E18" w:rsidP="0089468B">
      <w:pPr>
        <w:numPr>
          <w:ilvl w:val="0"/>
          <w:numId w:val="27"/>
        </w:numPr>
        <w:shd w:val="clear" w:color="auto" w:fill="FFFFFF"/>
        <w:spacing w:before="75" w:after="75" w:line="240" w:lineRule="auto"/>
        <w:ind w:left="495"/>
        <w:rPr>
          <w:rFonts w:eastAsia="Times New Roman" w:cs="Helvetica"/>
          <w:color w:val="575757"/>
          <w:sz w:val="24"/>
          <w:szCs w:val="24"/>
        </w:rPr>
      </w:pPr>
      <w:r w:rsidRPr="00BF2E18">
        <w:rPr>
          <w:rFonts w:eastAsia="Times New Roman" w:cs="Helvetica"/>
          <w:color w:val="575757"/>
          <w:sz w:val="24"/>
          <w:szCs w:val="24"/>
          <w:lang w:val="bg-BG"/>
        </w:rPr>
        <w:t>актив за парични потоци за придобиване на застраховане по групите застрахователни договори, които</w:t>
      </w:r>
      <w:r>
        <w:rPr>
          <w:rFonts w:eastAsia="Times New Roman" w:cs="Helvetica"/>
          <w:color w:val="575757"/>
          <w:sz w:val="24"/>
          <w:szCs w:val="24"/>
          <w:lang w:val="bg-BG"/>
        </w:rPr>
        <w:t xml:space="preserve"> се очаква да бъдат признати след датата на преход, като нула</w:t>
      </w:r>
      <w:r w:rsidR="0089468B" w:rsidRPr="00DE6769">
        <w:rPr>
          <w:rFonts w:eastAsia="Times New Roman" w:cs="Helvetica"/>
          <w:color w:val="575757"/>
          <w:sz w:val="24"/>
          <w:szCs w:val="24"/>
        </w:rPr>
        <w:t>.</w:t>
      </w:r>
    </w:p>
    <w:p w:rsidR="0089468B" w:rsidRPr="00DE6769" w:rsidRDefault="005272A7" w:rsidP="0089468B">
      <w:pPr>
        <w:shd w:val="clear" w:color="auto" w:fill="FFFFFF"/>
        <w:spacing w:before="150" w:after="150" w:line="240" w:lineRule="auto"/>
        <w:outlineLvl w:val="3"/>
        <w:rPr>
          <w:rFonts w:eastAsia="Times New Roman" w:cs="Helvetica"/>
          <w:color w:val="575757"/>
          <w:sz w:val="27"/>
          <w:szCs w:val="27"/>
        </w:rPr>
      </w:pPr>
      <w:r>
        <w:rPr>
          <w:rFonts w:eastAsia="Times New Roman" w:cs="Helvetica"/>
          <w:i/>
          <w:iCs/>
          <w:color w:val="575757"/>
          <w:sz w:val="27"/>
          <w:szCs w:val="27"/>
          <w:lang w:val="bg-BG"/>
        </w:rPr>
        <w:t>Подход на справедливата стойност</w:t>
      </w:r>
    </w:p>
    <w:p w:rsidR="0089468B" w:rsidRPr="00DE6769" w:rsidRDefault="00BF2E18"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При подхода на справедливата стойност</w:t>
      </w:r>
      <w:r w:rsidR="0089468B" w:rsidRPr="00DE6769">
        <w:rPr>
          <w:rFonts w:eastAsia="Times New Roman" w:cs="Helvetica"/>
          <w:color w:val="575757"/>
          <w:sz w:val="24"/>
          <w:szCs w:val="24"/>
        </w:rPr>
        <w:t xml:space="preserve"> </w:t>
      </w:r>
      <w:r w:rsidR="003D0750">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да измени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w:t>
      </w:r>
      <w:r>
        <w:rPr>
          <w:rFonts w:eastAsia="Times New Roman" w:cs="Helvetica"/>
          <w:color w:val="575757"/>
          <w:sz w:val="24"/>
          <w:szCs w:val="24"/>
          <w:lang w:val="bg-BG"/>
        </w:rPr>
        <w:t>, така че да изисква предприятието да признава актив за парични потоци за придобиване на застраховане, оценен като сумата на паричните потоци за придобиване на застраховане, които предприятието би понесло към датата на преход, за да придобие правата</w:t>
      </w:r>
      <w:r w:rsidR="0089468B" w:rsidRPr="00DE6769">
        <w:rPr>
          <w:rFonts w:eastAsia="Times New Roman" w:cs="Helvetica"/>
          <w:color w:val="575757"/>
          <w:sz w:val="24"/>
          <w:szCs w:val="24"/>
        </w:rPr>
        <w:t>:</w:t>
      </w:r>
    </w:p>
    <w:p w:rsidR="0089468B" w:rsidRPr="00DE6769" w:rsidRDefault="00BF2E18" w:rsidP="0089468B">
      <w:pPr>
        <w:numPr>
          <w:ilvl w:val="0"/>
          <w:numId w:val="28"/>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си възстанови паричните потоци за придобиване на застраховане от премиите по застрахователни договори, първоначално създадени преди датата на преход, които обаче все още не са признати към тази дата</w:t>
      </w:r>
      <w:r w:rsidR="0089468B" w:rsidRPr="00DE6769">
        <w:rPr>
          <w:rFonts w:eastAsia="Times New Roman" w:cs="Helvetica"/>
          <w:color w:val="575757"/>
          <w:sz w:val="24"/>
          <w:szCs w:val="24"/>
        </w:rPr>
        <w:t>;</w:t>
      </w:r>
    </w:p>
    <w:p w:rsidR="0089468B" w:rsidRPr="00DE6769" w:rsidRDefault="00D073A1" w:rsidP="0089468B">
      <w:pPr>
        <w:numPr>
          <w:ilvl w:val="0"/>
          <w:numId w:val="28"/>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придобие бъдещи договори след датата на преход, без да плаща отново парични потоци за придобиване на застраховане, които предприятието вече е платило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D073A1" w:rsidP="0089468B">
      <w:pPr>
        <w:numPr>
          <w:ilvl w:val="0"/>
          <w:numId w:val="28"/>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да получи бъдещи подновявания на</w:t>
      </w:r>
      <w:r w:rsidR="0089468B" w:rsidRPr="00DE6769">
        <w:rPr>
          <w:rFonts w:eastAsia="Times New Roman" w:cs="Helvetica"/>
          <w:color w:val="575757"/>
          <w:sz w:val="24"/>
          <w:szCs w:val="24"/>
        </w:rPr>
        <w:t>:</w:t>
      </w:r>
    </w:p>
    <w:p w:rsidR="0089468B" w:rsidRPr="00DE6769" w:rsidRDefault="00D073A1" w:rsidP="0089468B">
      <w:pPr>
        <w:numPr>
          <w:ilvl w:val="1"/>
          <w:numId w:val="28"/>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договори, признати към датата на преход</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D073A1" w:rsidP="0089468B">
      <w:pPr>
        <w:numPr>
          <w:ilvl w:val="1"/>
          <w:numId w:val="28"/>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договорите, описани в подточки</w:t>
      </w:r>
      <w:r w:rsidR="0089468B" w:rsidRPr="00DE6769">
        <w:rPr>
          <w:rFonts w:eastAsia="Times New Roman" w:cs="Helvetica"/>
          <w:color w:val="575757"/>
          <w:sz w:val="24"/>
          <w:szCs w:val="24"/>
        </w:rPr>
        <w:t xml:space="preserve"> (a) </w:t>
      </w:r>
      <w:r>
        <w:rPr>
          <w:rFonts w:eastAsia="Times New Roman" w:cs="Helvetica"/>
          <w:color w:val="575757"/>
          <w:sz w:val="24"/>
          <w:szCs w:val="24"/>
          <w:lang w:val="bg-BG"/>
        </w:rPr>
        <w:t>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б</w:t>
      </w:r>
      <w:r w:rsidR="0089468B" w:rsidRPr="00DE6769">
        <w:rPr>
          <w:rFonts w:eastAsia="Times New Roman" w:cs="Helvetica"/>
          <w:color w:val="575757"/>
          <w:sz w:val="24"/>
          <w:szCs w:val="24"/>
        </w:rPr>
        <w:t>).</w:t>
      </w:r>
    </w:p>
    <w:p w:rsidR="0089468B" w:rsidRPr="00DE6769" w:rsidRDefault="000338C2" w:rsidP="0089468B">
      <w:pPr>
        <w:shd w:val="clear" w:color="auto" w:fill="FFFFFF"/>
        <w:spacing w:before="150" w:after="150" w:line="240" w:lineRule="auto"/>
        <w:outlineLvl w:val="3"/>
        <w:rPr>
          <w:rFonts w:eastAsia="Times New Roman" w:cs="Helvetica"/>
          <w:color w:val="575757"/>
          <w:sz w:val="27"/>
          <w:szCs w:val="27"/>
        </w:rPr>
      </w:pPr>
      <w:r>
        <w:rPr>
          <w:rFonts w:eastAsia="Times New Roman" w:cs="Helvetica"/>
          <w:i/>
          <w:iCs/>
          <w:color w:val="575757"/>
          <w:sz w:val="27"/>
          <w:szCs w:val="27"/>
          <w:lang w:val="bg-BG"/>
        </w:rPr>
        <w:t>Прехвърляне на застрахователни договори и бизнес комбинации</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 xml:space="preserve"> </w:t>
      </w:r>
      <w:r w:rsidR="000338C2">
        <w:rPr>
          <w:rFonts w:eastAsia="Times New Roman" w:cs="Helvetica"/>
          <w:color w:val="575757"/>
          <w:sz w:val="24"/>
          <w:szCs w:val="24"/>
          <w:lang w:val="bg-BG"/>
        </w:rPr>
        <w:t>да измени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3 </w:t>
      </w:r>
      <w:r w:rsidR="000338C2">
        <w:rPr>
          <w:rFonts w:eastAsia="Times New Roman" w:cs="Helvetica"/>
          <w:color w:val="575757"/>
          <w:sz w:val="24"/>
          <w:szCs w:val="24"/>
          <w:lang w:val="bg-BG"/>
        </w:rPr>
        <w:t>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w:t>
      </w:r>
      <w:r w:rsidR="000338C2">
        <w:rPr>
          <w:rFonts w:eastAsia="Times New Roman" w:cs="Helvetica"/>
          <w:color w:val="575757"/>
          <w:sz w:val="24"/>
          <w:szCs w:val="24"/>
          <w:lang w:val="bg-BG"/>
        </w:rPr>
        <w:t xml:space="preserve">, така че да изисква предприятие, което придобива застрахователни договори при прехвърляне на застрахователни договори, които не съставляват бизнес, и при бизнес комбинация, попадаща в обхвата на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3</w:t>
      </w:r>
      <w:r w:rsidR="000338C2">
        <w:rPr>
          <w:rFonts w:eastAsia="Times New Roman" w:cs="Helvetica"/>
          <w:color w:val="575757"/>
          <w:sz w:val="24"/>
          <w:szCs w:val="24"/>
          <w:lang w:val="bg-BG"/>
        </w:rPr>
        <w:t>,</w:t>
      </w:r>
      <w:r w:rsidR="0089468B" w:rsidRPr="00DE6769">
        <w:rPr>
          <w:rFonts w:eastAsia="Times New Roman" w:cs="Helvetica"/>
          <w:color w:val="575757"/>
          <w:sz w:val="24"/>
          <w:szCs w:val="24"/>
        </w:rPr>
        <w:t xml:space="preserve"> </w:t>
      </w:r>
      <w:r w:rsidR="000338C2">
        <w:rPr>
          <w:rFonts w:eastAsia="Times New Roman" w:cs="Helvetica"/>
          <w:color w:val="575757"/>
          <w:sz w:val="24"/>
          <w:szCs w:val="24"/>
          <w:lang w:val="bg-BG"/>
        </w:rPr>
        <w:t>да признава отделен актив, оценен по справедлива стойност към датата на придобиване на правата</w:t>
      </w:r>
      <w:r w:rsidR="0089468B" w:rsidRPr="00DE6769">
        <w:rPr>
          <w:rFonts w:eastAsia="Times New Roman" w:cs="Helvetica"/>
          <w:color w:val="575757"/>
          <w:sz w:val="24"/>
          <w:szCs w:val="24"/>
        </w:rPr>
        <w:t>:</w:t>
      </w:r>
    </w:p>
    <w:p w:rsidR="0089468B" w:rsidRPr="00DE6769" w:rsidRDefault="000338C2" w:rsidP="0089468B">
      <w:pPr>
        <w:numPr>
          <w:ilvl w:val="0"/>
          <w:numId w:val="29"/>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lastRenderedPageBreak/>
        <w:t>за получаване на бъдещи договори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след датата на придобиване, без да се плащат отново парични потоци за придобиване на застраховане, които предприятието вече е платило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0338C2" w:rsidP="0089468B">
      <w:pPr>
        <w:numPr>
          <w:ilvl w:val="0"/>
          <w:numId w:val="29"/>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за получаване на бъдещи подновявания на</w:t>
      </w:r>
      <w:r w:rsidR="0089468B" w:rsidRPr="00DE6769">
        <w:rPr>
          <w:rFonts w:eastAsia="Times New Roman" w:cs="Helvetica"/>
          <w:color w:val="575757"/>
          <w:sz w:val="24"/>
          <w:szCs w:val="24"/>
        </w:rPr>
        <w:t>:</w:t>
      </w:r>
    </w:p>
    <w:p w:rsidR="0089468B" w:rsidRPr="00DE6769" w:rsidRDefault="000338C2" w:rsidP="0089468B">
      <w:pPr>
        <w:numPr>
          <w:ilvl w:val="1"/>
          <w:numId w:val="29"/>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договори, признати към датата на придобиване</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0338C2" w:rsidP="0089468B">
      <w:pPr>
        <w:numPr>
          <w:ilvl w:val="1"/>
          <w:numId w:val="29"/>
        </w:numPr>
        <w:shd w:val="clear" w:color="auto" w:fill="FFFFFF"/>
        <w:spacing w:before="75" w:after="75" w:line="240" w:lineRule="auto"/>
        <w:ind w:left="1215"/>
        <w:rPr>
          <w:rFonts w:eastAsia="Times New Roman" w:cs="Helvetica"/>
          <w:color w:val="575757"/>
          <w:sz w:val="24"/>
          <w:szCs w:val="24"/>
        </w:rPr>
      </w:pPr>
      <w:r>
        <w:rPr>
          <w:rFonts w:eastAsia="Times New Roman" w:cs="Helvetica"/>
          <w:color w:val="575757"/>
          <w:sz w:val="24"/>
          <w:szCs w:val="24"/>
          <w:lang w:val="bg-BG"/>
        </w:rPr>
        <w:t>договорите, описани в подточка</w:t>
      </w:r>
      <w:r w:rsidR="0089468B" w:rsidRPr="00DE6769">
        <w:rPr>
          <w:rFonts w:eastAsia="Times New Roman" w:cs="Helvetica"/>
          <w:color w:val="575757"/>
          <w:sz w:val="24"/>
          <w:szCs w:val="24"/>
        </w:rPr>
        <w:t xml:space="preserve"> (a).</w:t>
      </w:r>
    </w:p>
    <w:p w:rsidR="0089468B" w:rsidRPr="00DE6769" w:rsidRDefault="000338C2" w:rsidP="0089468B">
      <w:pPr>
        <w:shd w:val="clear" w:color="auto" w:fill="FFFFFF"/>
        <w:spacing w:before="150" w:after="150" w:line="240" w:lineRule="auto"/>
        <w:outlineLvl w:val="3"/>
        <w:rPr>
          <w:rFonts w:eastAsia="Times New Roman" w:cs="Helvetica"/>
          <w:color w:val="575757"/>
          <w:sz w:val="27"/>
          <w:szCs w:val="27"/>
        </w:rPr>
      </w:pPr>
      <w:r>
        <w:rPr>
          <w:rFonts w:eastAsia="Times New Roman" w:cs="Helvetica"/>
          <w:i/>
          <w:iCs/>
          <w:color w:val="575757"/>
          <w:sz w:val="27"/>
          <w:szCs w:val="27"/>
          <w:lang w:val="bg-BG"/>
        </w:rPr>
        <w:t>Тест за обезценка</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Съветът реши в порядък на работна хипотеза</w:t>
      </w:r>
      <w:r w:rsidR="0089468B" w:rsidRPr="00DE6769">
        <w:rPr>
          <w:rFonts w:eastAsia="Times New Roman" w:cs="Helvetica"/>
          <w:color w:val="575757"/>
          <w:sz w:val="24"/>
          <w:szCs w:val="24"/>
        </w:rPr>
        <w:t xml:space="preserve"> </w:t>
      </w:r>
      <w:r w:rsidR="000338C2">
        <w:rPr>
          <w:rFonts w:eastAsia="Times New Roman" w:cs="Helvetica"/>
          <w:color w:val="575757"/>
          <w:sz w:val="24"/>
          <w:szCs w:val="24"/>
          <w:lang w:val="bg-BG"/>
        </w:rPr>
        <w:t>да поясни, че при преход към</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17 </w:t>
      </w:r>
      <w:r w:rsidR="000338C2">
        <w:rPr>
          <w:rFonts w:eastAsia="Times New Roman" w:cs="Helvetica"/>
          <w:color w:val="575757"/>
          <w:sz w:val="24"/>
          <w:szCs w:val="24"/>
          <w:lang w:val="bg-BG"/>
        </w:rPr>
        <w:t>по отношение на активите за парични потоци за придобиване на застраховане, признати към датата на преход, от предприятието не се изисква да прилага ретроспективно изискването за оценяване на възстановимостта в параграф</w:t>
      </w:r>
      <w:r w:rsidR="0089468B" w:rsidRPr="00DE6769">
        <w:rPr>
          <w:rFonts w:eastAsia="Times New Roman" w:cs="Helvetica"/>
          <w:color w:val="575757"/>
          <w:sz w:val="24"/>
          <w:szCs w:val="24"/>
        </w:rPr>
        <w:t xml:space="preserve"> 28</w:t>
      </w:r>
      <w:r w:rsidR="000338C2">
        <w:rPr>
          <w:rFonts w:eastAsia="Times New Roman" w:cs="Helvetica"/>
          <w:color w:val="575757"/>
          <w:sz w:val="24"/>
          <w:szCs w:val="24"/>
          <w:lang w:val="bg-BG"/>
        </w:rPr>
        <w:t>Г от Проекта за обсъждане по отношение на периода преди датата на преход</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Всичките четиринадесет членове на Съвета изразиха съгласие с това решение</w:t>
      </w:r>
      <w:r w:rsidR="0089468B" w:rsidRPr="00DE6769">
        <w:rPr>
          <w:rFonts w:eastAsia="Times New Roman" w:cs="Helvetica"/>
          <w:color w:val="575757"/>
          <w:sz w:val="24"/>
          <w:szCs w:val="24"/>
        </w:rPr>
        <w:t>.</w:t>
      </w:r>
    </w:p>
    <w:p w:rsidR="0089468B" w:rsidRPr="00DE6769" w:rsidRDefault="00DE6769" w:rsidP="0089468B">
      <w:pPr>
        <w:shd w:val="clear" w:color="auto" w:fill="FFFFFF"/>
        <w:spacing w:before="300" w:after="150" w:line="240" w:lineRule="auto"/>
        <w:outlineLvl w:val="2"/>
        <w:rPr>
          <w:rFonts w:eastAsia="Times New Roman" w:cs="Helvetica"/>
          <w:b/>
          <w:bCs/>
          <w:color w:val="333333"/>
          <w:sz w:val="24"/>
          <w:szCs w:val="24"/>
        </w:rPr>
      </w:pPr>
      <w:r>
        <w:rPr>
          <w:rFonts w:eastAsia="Times New Roman" w:cs="Helvetica"/>
          <w:b/>
          <w:bCs/>
          <w:i/>
          <w:iCs/>
          <w:color w:val="333333"/>
          <w:sz w:val="27"/>
          <w:szCs w:val="27"/>
        </w:rPr>
        <w:t>Следващи етапи</w:t>
      </w:r>
    </w:p>
    <w:p w:rsidR="0089468B" w:rsidRPr="00DE6769" w:rsidRDefault="00530412"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 xml:space="preserve">На бъдещи свои заседания Съветът ще разисква повторно оставащите теми за обсъждане в отговор на обратната информация, получена във връзка с Проекта за обсъждане </w:t>
      </w:r>
      <w:r>
        <w:rPr>
          <w:rFonts w:eastAsia="Times New Roman" w:cs="Helvetica"/>
          <w:i/>
          <w:iCs/>
          <w:color w:val="575757"/>
          <w:sz w:val="24"/>
          <w:szCs w:val="24"/>
          <w:lang w:val="bg-BG"/>
        </w:rPr>
        <w:t>Изменения в</w:t>
      </w:r>
      <w:r w:rsidR="0089468B" w:rsidRPr="00DE6769">
        <w:rPr>
          <w:rFonts w:eastAsia="Times New Roman" w:cs="Helvetica"/>
          <w:i/>
          <w:iCs/>
          <w:color w:val="575757"/>
          <w:sz w:val="24"/>
          <w:szCs w:val="24"/>
        </w:rPr>
        <w:t xml:space="preserve"> </w:t>
      </w:r>
      <w:r w:rsidR="00DE6769">
        <w:rPr>
          <w:rFonts w:eastAsia="Times New Roman" w:cs="Helvetica"/>
          <w:i/>
          <w:iCs/>
          <w:color w:val="575757"/>
          <w:sz w:val="24"/>
          <w:szCs w:val="24"/>
        </w:rPr>
        <w:t>МСФО</w:t>
      </w:r>
      <w:r w:rsidR="0089468B" w:rsidRPr="00DE6769">
        <w:rPr>
          <w:rFonts w:eastAsia="Times New Roman" w:cs="Helvetica"/>
          <w:i/>
          <w:iCs/>
          <w:color w:val="575757"/>
          <w:sz w:val="24"/>
          <w:szCs w:val="24"/>
        </w:rPr>
        <w:t xml:space="preserve"> 17</w:t>
      </w:r>
      <w:r w:rsidR="0089468B" w:rsidRPr="00DE6769">
        <w:rPr>
          <w:rFonts w:eastAsia="Times New Roman" w:cs="Helvetica"/>
          <w:color w:val="575757"/>
          <w:sz w:val="24"/>
          <w:szCs w:val="24"/>
        </w:rPr>
        <w:t>.</w:t>
      </w:r>
    </w:p>
    <w:p w:rsidR="0089468B" w:rsidRPr="00DE6769" w:rsidRDefault="0089468B" w:rsidP="0089468B">
      <w:pPr>
        <w:shd w:val="clear" w:color="auto" w:fill="FFFFFF"/>
        <w:spacing w:after="300" w:line="240" w:lineRule="auto"/>
        <w:rPr>
          <w:rFonts w:eastAsia="Times New Roman" w:cs="Helvetica"/>
          <w:color w:val="575757"/>
          <w:sz w:val="24"/>
          <w:szCs w:val="24"/>
        </w:rPr>
      </w:pPr>
      <w:r w:rsidRPr="00DE6769">
        <w:rPr>
          <w:rFonts w:eastAsia="Times New Roman" w:cs="Helvetica"/>
          <w:color w:val="575757"/>
          <w:sz w:val="24"/>
          <w:szCs w:val="24"/>
        </w:rPr>
        <w:t> </w:t>
      </w:r>
    </w:p>
    <w:p w:rsidR="0089468B" w:rsidRPr="000338C2" w:rsidRDefault="000338C2" w:rsidP="0089468B">
      <w:pPr>
        <w:shd w:val="clear" w:color="auto" w:fill="FFFFFF"/>
        <w:spacing w:before="450" w:after="300" w:line="240" w:lineRule="auto"/>
        <w:outlineLvl w:val="1"/>
        <w:rPr>
          <w:rFonts w:eastAsia="Times New Roman" w:cs="Helvetica"/>
          <w:b/>
          <w:bCs/>
          <w:color w:val="333333"/>
          <w:sz w:val="34"/>
          <w:szCs w:val="34"/>
          <w:lang w:val="bg-BG"/>
        </w:rPr>
      </w:pPr>
      <w:bookmarkStart w:id="11" w:name="12"/>
      <w:r w:rsidRPr="000338C2">
        <w:rPr>
          <w:rFonts w:eastAsia="Times New Roman" w:cs="Helvetica"/>
          <w:b/>
          <w:bCs/>
          <w:color w:val="CD3333"/>
          <w:sz w:val="34"/>
          <w:szCs w:val="34"/>
          <w:lang w:val="bg-BG"/>
        </w:rPr>
        <w:t>Актуализация на МСФО таксономията — Реформата на референтните лихвени проценти (изменения в МСФО 9, МСС 39 и МСФО 7</w:t>
      </w:r>
      <w:r w:rsidR="0089468B" w:rsidRPr="000338C2">
        <w:rPr>
          <w:rFonts w:eastAsia="Times New Roman" w:cs="Helvetica"/>
          <w:b/>
          <w:bCs/>
          <w:color w:val="CD3333"/>
          <w:sz w:val="34"/>
          <w:szCs w:val="34"/>
          <w:lang w:val="bg-BG"/>
        </w:rPr>
        <w:t>) (</w:t>
      </w:r>
      <w:r w:rsidR="00E55BC3">
        <w:rPr>
          <w:rFonts w:eastAsia="Times New Roman" w:cs="Helvetica"/>
          <w:b/>
          <w:bCs/>
          <w:color w:val="CD3333"/>
          <w:sz w:val="34"/>
          <w:szCs w:val="34"/>
          <w:lang w:val="bg-BG"/>
        </w:rPr>
        <w:t>устно предоставена актуална информация</w:t>
      </w:r>
      <w:r w:rsidR="0089468B" w:rsidRPr="000338C2">
        <w:rPr>
          <w:rFonts w:eastAsia="Times New Roman" w:cs="Helvetica"/>
          <w:b/>
          <w:bCs/>
          <w:color w:val="CD3333"/>
          <w:sz w:val="34"/>
          <w:szCs w:val="34"/>
          <w:lang w:val="bg-BG"/>
        </w:rPr>
        <w:t>)</w:t>
      </w:r>
      <w:bookmarkEnd w:id="11"/>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lang w:val="bg-BG"/>
        </w:rPr>
        <w:t>На 30 януари 2020 г.</w:t>
      </w:r>
      <w:r w:rsidRPr="00DE6769">
        <w:rPr>
          <w:rFonts w:eastAsia="Times New Roman" w:cs="Helvetica"/>
          <w:color w:val="575757"/>
          <w:sz w:val="24"/>
          <w:szCs w:val="24"/>
        </w:rPr>
        <w:t xml:space="preserve"> </w:t>
      </w:r>
      <w:r w:rsidRPr="007268F9">
        <w:rPr>
          <w:rFonts w:ascii="Calibri" w:eastAsia="Times New Roman" w:hAnsi="Calibri" w:cs="Helvetica"/>
          <w:color w:val="575757"/>
          <w:sz w:val="24"/>
          <w:szCs w:val="24"/>
          <w:lang w:val="bg-BG"/>
        </w:rPr>
        <w:t xml:space="preserve">Съветът проведе заседание, за да </w:t>
      </w:r>
      <w:r>
        <w:rPr>
          <w:rFonts w:ascii="Calibri" w:eastAsia="Times New Roman" w:hAnsi="Calibri" w:cs="Helvetica"/>
          <w:color w:val="575757"/>
          <w:sz w:val="24"/>
          <w:szCs w:val="24"/>
          <w:lang w:val="bg-BG"/>
        </w:rPr>
        <w:t>бъде запознат устно с актуална информация относно</w:t>
      </w:r>
      <w:r w:rsidR="0089468B" w:rsidRPr="00DE6769">
        <w:rPr>
          <w:rFonts w:eastAsia="Times New Roman" w:cs="Helvetica"/>
          <w:color w:val="575757"/>
          <w:sz w:val="24"/>
          <w:szCs w:val="24"/>
        </w:rPr>
        <w:t>:</w:t>
      </w:r>
    </w:p>
    <w:p w:rsidR="0089468B" w:rsidRPr="00DE6769" w:rsidRDefault="000338C2" w:rsidP="0089468B">
      <w:pPr>
        <w:numPr>
          <w:ilvl w:val="0"/>
          <w:numId w:val="30"/>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стъпките от регламентираната процедура, предприети по отношение разработване на актуализацията на МСФО таксономията във връзка с реформата на референтните лихвени проценти</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изменения в</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9, </w:t>
      </w:r>
      <w:r w:rsidR="003D0750">
        <w:rPr>
          <w:rFonts w:eastAsia="Times New Roman" w:cs="Helvetica"/>
          <w:color w:val="575757"/>
          <w:sz w:val="24"/>
          <w:szCs w:val="24"/>
        </w:rPr>
        <w:t>МСС</w:t>
      </w:r>
      <w:r w:rsidR="0089468B" w:rsidRPr="00DE6769">
        <w:rPr>
          <w:rFonts w:eastAsia="Times New Roman" w:cs="Helvetica"/>
          <w:color w:val="575757"/>
          <w:sz w:val="24"/>
          <w:szCs w:val="24"/>
        </w:rPr>
        <w:t xml:space="preserve"> 39 </w:t>
      </w:r>
      <w:r>
        <w:rPr>
          <w:rFonts w:eastAsia="Times New Roman" w:cs="Helvetica"/>
          <w:color w:val="575757"/>
          <w:sz w:val="24"/>
          <w:szCs w:val="24"/>
          <w:lang w:val="bg-BG"/>
        </w:rPr>
        <w:t>и</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7);</w:t>
      </w:r>
    </w:p>
    <w:p w:rsidR="0089468B" w:rsidRPr="00DE6769" w:rsidRDefault="000338C2" w:rsidP="0089468B">
      <w:pPr>
        <w:numPr>
          <w:ilvl w:val="0"/>
          <w:numId w:val="30"/>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 xml:space="preserve">становищата, получени като обратна информация по повод предложената актуализация на </w:t>
      </w:r>
      <w:bookmarkStart w:id="12" w:name="_GoBack"/>
      <w:bookmarkEnd w:id="12"/>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таксономията</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и</w:t>
      </w:r>
    </w:p>
    <w:p w:rsidR="0089468B" w:rsidRPr="00DE6769" w:rsidRDefault="007741E8" w:rsidP="0089468B">
      <w:pPr>
        <w:numPr>
          <w:ilvl w:val="0"/>
          <w:numId w:val="30"/>
        </w:numPr>
        <w:shd w:val="clear" w:color="auto" w:fill="FFFFFF"/>
        <w:spacing w:before="75" w:after="75" w:line="240" w:lineRule="auto"/>
        <w:ind w:left="495"/>
        <w:rPr>
          <w:rFonts w:eastAsia="Times New Roman" w:cs="Helvetica"/>
          <w:color w:val="575757"/>
          <w:sz w:val="24"/>
          <w:szCs w:val="24"/>
        </w:rPr>
      </w:pPr>
      <w:r>
        <w:rPr>
          <w:rFonts w:eastAsia="Times New Roman" w:cs="Helvetica"/>
          <w:color w:val="575757"/>
          <w:sz w:val="24"/>
          <w:szCs w:val="24"/>
          <w:lang w:val="bg-BG"/>
        </w:rPr>
        <w:t>следващите етапи при финализиране на актуализацията на</w:t>
      </w:r>
      <w:r w:rsidR="0089468B" w:rsidRPr="00DE6769">
        <w:rPr>
          <w:rFonts w:eastAsia="Times New Roman" w:cs="Helvetica"/>
          <w:color w:val="575757"/>
          <w:sz w:val="24"/>
          <w:szCs w:val="24"/>
        </w:rPr>
        <w:t xml:space="preserve"> </w:t>
      </w:r>
      <w:r w:rsidR="00DE6769">
        <w:rPr>
          <w:rFonts w:eastAsia="Times New Roman" w:cs="Helvetica"/>
          <w:color w:val="575757"/>
          <w:sz w:val="24"/>
          <w:szCs w:val="24"/>
        </w:rPr>
        <w:t>МСФО</w:t>
      </w:r>
      <w:r w:rsidR="0089468B" w:rsidRPr="00DE6769">
        <w:rPr>
          <w:rFonts w:eastAsia="Times New Roman" w:cs="Helvetica"/>
          <w:color w:val="575757"/>
          <w:sz w:val="24"/>
          <w:szCs w:val="24"/>
        </w:rPr>
        <w:t xml:space="preserve"> </w:t>
      </w:r>
      <w:r>
        <w:rPr>
          <w:rFonts w:eastAsia="Times New Roman" w:cs="Helvetica"/>
          <w:color w:val="575757"/>
          <w:sz w:val="24"/>
          <w:szCs w:val="24"/>
          <w:lang w:val="bg-BG"/>
        </w:rPr>
        <w:t>таксономията</w:t>
      </w:r>
      <w:r w:rsidR="0089468B" w:rsidRPr="00DE6769">
        <w:rPr>
          <w:rFonts w:eastAsia="Times New Roman" w:cs="Helvetica"/>
          <w:color w:val="575757"/>
          <w:sz w:val="24"/>
          <w:szCs w:val="24"/>
        </w:rPr>
        <w:t>.</w:t>
      </w:r>
    </w:p>
    <w:p w:rsidR="0089468B" w:rsidRPr="00DE6769" w:rsidRDefault="003D0750" w:rsidP="0089468B">
      <w:pPr>
        <w:shd w:val="clear" w:color="auto" w:fill="FFFFFF"/>
        <w:spacing w:after="300" w:line="240" w:lineRule="auto"/>
        <w:rPr>
          <w:rFonts w:eastAsia="Times New Roman" w:cs="Helvetica"/>
          <w:color w:val="575757"/>
          <w:sz w:val="24"/>
          <w:szCs w:val="24"/>
        </w:rPr>
      </w:pPr>
      <w:r>
        <w:rPr>
          <w:rFonts w:eastAsia="Times New Roman" w:cs="Helvetica"/>
          <w:color w:val="575757"/>
          <w:sz w:val="24"/>
          <w:szCs w:val="24"/>
        </w:rPr>
        <w:t>От Съвета не бе поискано да взема каквито и да е решения</w:t>
      </w:r>
      <w:r w:rsidR="0089468B" w:rsidRPr="00DE6769">
        <w:rPr>
          <w:rFonts w:eastAsia="Times New Roman" w:cs="Helvetica"/>
          <w:color w:val="575757"/>
          <w:sz w:val="24"/>
          <w:szCs w:val="24"/>
        </w:rPr>
        <w:t>.</w:t>
      </w:r>
    </w:p>
    <w:p w:rsidR="00607914" w:rsidRPr="00DE6769" w:rsidRDefault="00607914"/>
    <w:sectPr w:rsidR="00607914" w:rsidRPr="00DE6769" w:rsidSect="00AE0A2B">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1F87"/>
    <w:multiLevelType w:val="multilevel"/>
    <w:tmpl w:val="D43ECAAA"/>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D27847"/>
    <w:multiLevelType w:val="multilevel"/>
    <w:tmpl w:val="55DA1EA0"/>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A8D7A87"/>
    <w:multiLevelType w:val="multilevel"/>
    <w:tmpl w:val="C8B0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B597D"/>
    <w:multiLevelType w:val="multilevel"/>
    <w:tmpl w:val="31447F54"/>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EE92827"/>
    <w:multiLevelType w:val="multilevel"/>
    <w:tmpl w:val="9AFC62C0"/>
    <w:lvl w:ilvl="0">
      <w:start w:val="1"/>
      <w:numFmt w:val="russianLow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Letter"/>
      <w:lvlText w:val="%3."/>
      <w:lvlJc w:val="left"/>
      <w:pPr>
        <w:tabs>
          <w:tab w:val="num" w:pos="2084"/>
        </w:tabs>
        <w:ind w:left="2084" w:hanging="360"/>
      </w:pPr>
    </w:lvl>
    <w:lvl w:ilvl="3" w:tentative="1">
      <w:start w:val="1"/>
      <w:numFmt w:val="lowerLetter"/>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Letter"/>
      <w:lvlText w:val="%6."/>
      <w:lvlJc w:val="left"/>
      <w:pPr>
        <w:tabs>
          <w:tab w:val="num" w:pos="4244"/>
        </w:tabs>
        <w:ind w:left="4244" w:hanging="360"/>
      </w:pPr>
    </w:lvl>
    <w:lvl w:ilvl="6" w:tentative="1">
      <w:start w:val="1"/>
      <w:numFmt w:val="lowerLetter"/>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Letter"/>
      <w:lvlText w:val="%9."/>
      <w:lvlJc w:val="left"/>
      <w:pPr>
        <w:tabs>
          <w:tab w:val="num" w:pos="6404"/>
        </w:tabs>
        <w:ind w:left="6404" w:hanging="360"/>
      </w:pPr>
    </w:lvl>
  </w:abstractNum>
  <w:abstractNum w:abstractNumId="5">
    <w:nsid w:val="0F876F57"/>
    <w:multiLevelType w:val="multilevel"/>
    <w:tmpl w:val="17961E64"/>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92140DF"/>
    <w:multiLevelType w:val="multilevel"/>
    <w:tmpl w:val="E7A6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0E2322"/>
    <w:multiLevelType w:val="multilevel"/>
    <w:tmpl w:val="A968A312"/>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08E2763"/>
    <w:multiLevelType w:val="multilevel"/>
    <w:tmpl w:val="9364CCF0"/>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27C38DC"/>
    <w:multiLevelType w:val="multilevel"/>
    <w:tmpl w:val="64CC781E"/>
    <w:lvl w:ilvl="0">
      <w:start w:val="1"/>
      <w:numFmt w:val="russianLow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49B16CA"/>
    <w:multiLevelType w:val="multilevel"/>
    <w:tmpl w:val="4796D23C"/>
    <w:lvl w:ilvl="0">
      <w:start w:val="1"/>
      <w:numFmt w:val="russianLow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5101A44"/>
    <w:multiLevelType w:val="multilevel"/>
    <w:tmpl w:val="C91CDCB4"/>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7856420"/>
    <w:multiLevelType w:val="multilevel"/>
    <w:tmpl w:val="CDD60158"/>
    <w:lvl w:ilvl="0">
      <w:start w:val="1"/>
      <w:numFmt w:val="russianLow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F9396C"/>
    <w:multiLevelType w:val="multilevel"/>
    <w:tmpl w:val="AFC6D630"/>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7085F22"/>
    <w:multiLevelType w:val="multilevel"/>
    <w:tmpl w:val="EEE6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B3792C"/>
    <w:multiLevelType w:val="multilevel"/>
    <w:tmpl w:val="E57C7A24"/>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FC230F6"/>
    <w:multiLevelType w:val="multilevel"/>
    <w:tmpl w:val="7C1E06BE"/>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19A71CA"/>
    <w:multiLevelType w:val="multilevel"/>
    <w:tmpl w:val="B8B48AE6"/>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1E418F4"/>
    <w:multiLevelType w:val="multilevel"/>
    <w:tmpl w:val="C0DAF1AC"/>
    <w:lvl w:ilvl="0">
      <w:start w:val="1"/>
      <w:numFmt w:val="russianLow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1EB1CEA"/>
    <w:multiLevelType w:val="multilevel"/>
    <w:tmpl w:val="2C88E03A"/>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26310BC"/>
    <w:multiLevelType w:val="multilevel"/>
    <w:tmpl w:val="DF00869A"/>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4C033B4"/>
    <w:multiLevelType w:val="multilevel"/>
    <w:tmpl w:val="88000100"/>
    <w:lvl w:ilvl="0">
      <w:start w:val="1"/>
      <w:numFmt w:val="russianLow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AF1177A"/>
    <w:multiLevelType w:val="multilevel"/>
    <w:tmpl w:val="B272613A"/>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DCA62E5"/>
    <w:multiLevelType w:val="multilevel"/>
    <w:tmpl w:val="30C8EA36"/>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F424364"/>
    <w:multiLevelType w:val="multilevel"/>
    <w:tmpl w:val="285EE286"/>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6CB424A"/>
    <w:multiLevelType w:val="multilevel"/>
    <w:tmpl w:val="6CBA9132"/>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8071C7C"/>
    <w:multiLevelType w:val="multilevel"/>
    <w:tmpl w:val="009A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360B1E"/>
    <w:multiLevelType w:val="multilevel"/>
    <w:tmpl w:val="A3C8BF3A"/>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EFE54D8"/>
    <w:multiLevelType w:val="multilevel"/>
    <w:tmpl w:val="DAC8DD9A"/>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EF71586"/>
    <w:multiLevelType w:val="multilevel"/>
    <w:tmpl w:val="BD32CDD0"/>
    <w:lvl w:ilvl="0">
      <w:start w:val="1"/>
      <w:numFmt w:val="russianLow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14"/>
  </w:num>
  <w:num w:numId="3">
    <w:abstractNumId w:val="16"/>
  </w:num>
  <w:num w:numId="4">
    <w:abstractNumId w:val="22"/>
  </w:num>
  <w:num w:numId="5">
    <w:abstractNumId w:val="15"/>
  </w:num>
  <w:num w:numId="6">
    <w:abstractNumId w:val="13"/>
  </w:num>
  <w:num w:numId="7">
    <w:abstractNumId w:val="4"/>
  </w:num>
  <w:num w:numId="8">
    <w:abstractNumId w:val="2"/>
  </w:num>
  <w:num w:numId="9">
    <w:abstractNumId w:val="12"/>
  </w:num>
  <w:num w:numId="10">
    <w:abstractNumId w:val="9"/>
  </w:num>
  <w:num w:numId="11">
    <w:abstractNumId w:val="20"/>
  </w:num>
  <w:num w:numId="12">
    <w:abstractNumId w:val="8"/>
  </w:num>
  <w:num w:numId="13">
    <w:abstractNumId w:val="23"/>
  </w:num>
  <w:num w:numId="14">
    <w:abstractNumId w:val="5"/>
  </w:num>
  <w:num w:numId="15">
    <w:abstractNumId w:val="11"/>
  </w:num>
  <w:num w:numId="16">
    <w:abstractNumId w:val="1"/>
  </w:num>
  <w:num w:numId="17">
    <w:abstractNumId w:val="27"/>
  </w:num>
  <w:num w:numId="18">
    <w:abstractNumId w:val="7"/>
  </w:num>
  <w:num w:numId="19">
    <w:abstractNumId w:val="3"/>
  </w:num>
  <w:num w:numId="20">
    <w:abstractNumId w:val="24"/>
  </w:num>
  <w:num w:numId="21">
    <w:abstractNumId w:val="0"/>
  </w:num>
  <w:num w:numId="22">
    <w:abstractNumId w:val="29"/>
  </w:num>
  <w:num w:numId="23">
    <w:abstractNumId w:val="26"/>
  </w:num>
  <w:num w:numId="24">
    <w:abstractNumId w:val="19"/>
  </w:num>
  <w:num w:numId="25">
    <w:abstractNumId w:val="17"/>
  </w:num>
  <w:num w:numId="26">
    <w:abstractNumId w:val="10"/>
  </w:num>
  <w:num w:numId="27">
    <w:abstractNumId w:val="28"/>
  </w:num>
  <w:num w:numId="28">
    <w:abstractNumId w:val="21"/>
  </w:num>
  <w:num w:numId="29">
    <w:abstractNumId w:val="18"/>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9468B"/>
    <w:rsid w:val="000338C2"/>
    <w:rsid w:val="00046B4C"/>
    <w:rsid w:val="000643AB"/>
    <w:rsid w:val="0007007D"/>
    <w:rsid w:val="00087A22"/>
    <w:rsid w:val="00104E49"/>
    <w:rsid w:val="00122A41"/>
    <w:rsid w:val="001F010F"/>
    <w:rsid w:val="00282A7F"/>
    <w:rsid w:val="00295B31"/>
    <w:rsid w:val="002D5005"/>
    <w:rsid w:val="00326A41"/>
    <w:rsid w:val="00335FF2"/>
    <w:rsid w:val="003916F9"/>
    <w:rsid w:val="003A6AEC"/>
    <w:rsid w:val="003D0750"/>
    <w:rsid w:val="00414FF4"/>
    <w:rsid w:val="004D6CA2"/>
    <w:rsid w:val="005272A7"/>
    <w:rsid w:val="00530412"/>
    <w:rsid w:val="00542458"/>
    <w:rsid w:val="00581855"/>
    <w:rsid w:val="005C010E"/>
    <w:rsid w:val="00607914"/>
    <w:rsid w:val="00670FE6"/>
    <w:rsid w:val="006E10FE"/>
    <w:rsid w:val="006E570C"/>
    <w:rsid w:val="0072166F"/>
    <w:rsid w:val="00722994"/>
    <w:rsid w:val="007741E8"/>
    <w:rsid w:val="00797E6A"/>
    <w:rsid w:val="007B3430"/>
    <w:rsid w:val="007E6F0E"/>
    <w:rsid w:val="008622BF"/>
    <w:rsid w:val="0089468B"/>
    <w:rsid w:val="00922F08"/>
    <w:rsid w:val="00963A69"/>
    <w:rsid w:val="00974A38"/>
    <w:rsid w:val="009C597F"/>
    <w:rsid w:val="009D0AF6"/>
    <w:rsid w:val="009F00A5"/>
    <w:rsid w:val="00A04024"/>
    <w:rsid w:val="00A14F2B"/>
    <w:rsid w:val="00A36230"/>
    <w:rsid w:val="00A45B21"/>
    <w:rsid w:val="00A713D8"/>
    <w:rsid w:val="00AA0345"/>
    <w:rsid w:val="00AE0A2B"/>
    <w:rsid w:val="00AE2E29"/>
    <w:rsid w:val="00AF2DEB"/>
    <w:rsid w:val="00BF2E18"/>
    <w:rsid w:val="00C46D92"/>
    <w:rsid w:val="00CD3B63"/>
    <w:rsid w:val="00CE2955"/>
    <w:rsid w:val="00CE325E"/>
    <w:rsid w:val="00D073A1"/>
    <w:rsid w:val="00D44DD6"/>
    <w:rsid w:val="00D657AA"/>
    <w:rsid w:val="00DE6769"/>
    <w:rsid w:val="00E55BC3"/>
    <w:rsid w:val="00E66DC2"/>
    <w:rsid w:val="00E73813"/>
    <w:rsid w:val="00EF2F6C"/>
    <w:rsid w:val="00EF492C"/>
    <w:rsid w:val="00F17C3D"/>
    <w:rsid w:val="00F4241E"/>
    <w:rsid w:val="00FD78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7030391">
      <w:bodyDiv w:val="1"/>
      <w:marLeft w:val="0"/>
      <w:marRight w:val="0"/>
      <w:marTop w:val="0"/>
      <w:marBottom w:val="0"/>
      <w:divBdr>
        <w:top w:val="none" w:sz="0" w:space="0" w:color="auto"/>
        <w:left w:val="none" w:sz="0" w:space="0" w:color="auto"/>
        <w:bottom w:val="none" w:sz="0" w:space="0" w:color="auto"/>
        <w:right w:val="none" w:sz="0" w:space="0" w:color="auto"/>
      </w:divBdr>
    </w:div>
    <w:div w:id="1150514505">
      <w:bodyDiv w:val="1"/>
      <w:marLeft w:val="0"/>
      <w:marRight w:val="0"/>
      <w:marTop w:val="0"/>
      <w:marBottom w:val="0"/>
      <w:divBdr>
        <w:top w:val="none" w:sz="0" w:space="0" w:color="auto"/>
        <w:left w:val="none" w:sz="0" w:space="0" w:color="auto"/>
        <w:bottom w:val="none" w:sz="0" w:space="0" w:color="auto"/>
        <w:right w:val="none" w:sz="0" w:space="0" w:color="auto"/>
      </w:divBdr>
      <w:divsChild>
        <w:div w:id="333149773">
          <w:marLeft w:val="0"/>
          <w:marRight w:val="0"/>
          <w:marTop w:val="0"/>
          <w:marBottom w:val="0"/>
          <w:divBdr>
            <w:top w:val="none" w:sz="0" w:space="0" w:color="auto"/>
            <w:left w:val="none" w:sz="0" w:space="0" w:color="auto"/>
            <w:bottom w:val="none" w:sz="0" w:space="0" w:color="auto"/>
            <w:right w:val="none" w:sz="0" w:space="0" w:color="auto"/>
          </w:divBdr>
          <w:divsChild>
            <w:div w:id="553078430">
              <w:marLeft w:val="0"/>
              <w:marRight w:val="0"/>
              <w:marTop w:val="0"/>
              <w:marBottom w:val="0"/>
              <w:divBdr>
                <w:top w:val="none" w:sz="0" w:space="0" w:color="auto"/>
                <w:left w:val="none" w:sz="0" w:space="0" w:color="auto"/>
                <w:bottom w:val="none" w:sz="0" w:space="0" w:color="auto"/>
                <w:right w:val="none" w:sz="0" w:space="0" w:color="auto"/>
              </w:divBdr>
              <w:divsChild>
                <w:div w:id="768352129">
                  <w:marLeft w:val="-225"/>
                  <w:marRight w:val="-225"/>
                  <w:marTop w:val="0"/>
                  <w:marBottom w:val="0"/>
                  <w:divBdr>
                    <w:top w:val="none" w:sz="0" w:space="0" w:color="auto"/>
                    <w:left w:val="none" w:sz="0" w:space="0" w:color="auto"/>
                    <w:bottom w:val="none" w:sz="0" w:space="0" w:color="auto"/>
                    <w:right w:val="none" w:sz="0" w:space="0" w:color="auto"/>
                  </w:divBdr>
                  <w:divsChild>
                    <w:div w:id="490217419">
                      <w:marLeft w:val="0"/>
                      <w:marRight w:val="0"/>
                      <w:marTop w:val="0"/>
                      <w:marBottom w:val="0"/>
                      <w:divBdr>
                        <w:top w:val="none" w:sz="0" w:space="0" w:color="auto"/>
                        <w:left w:val="none" w:sz="0" w:space="0" w:color="auto"/>
                        <w:bottom w:val="none" w:sz="0" w:space="0" w:color="auto"/>
                        <w:right w:val="none" w:sz="0" w:space="0" w:color="auto"/>
                      </w:divBdr>
                      <w:divsChild>
                        <w:div w:id="1539586496">
                          <w:marLeft w:val="0"/>
                          <w:marRight w:val="0"/>
                          <w:marTop w:val="525"/>
                          <w:marBottom w:val="0"/>
                          <w:divBdr>
                            <w:top w:val="none" w:sz="0" w:space="0" w:color="auto"/>
                            <w:left w:val="none" w:sz="0" w:space="0" w:color="auto"/>
                            <w:bottom w:val="none" w:sz="0" w:space="0" w:color="auto"/>
                            <w:right w:val="none" w:sz="0" w:space="0" w:color="auto"/>
                          </w:divBdr>
                          <w:divsChild>
                            <w:div w:id="227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610472">
          <w:marLeft w:val="0"/>
          <w:marRight w:val="0"/>
          <w:marTop w:val="0"/>
          <w:marBottom w:val="0"/>
          <w:divBdr>
            <w:top w:val="none" w:sz="0" w:space="0" w:color="auto"/>
            <w:left w:val="none" w:sz="0" w:space="0" w:color="auto"/>
            <w:bottom w:val="none" w:sz="0" w:space="0" w:color="auto"/>
            <w:right w:val="none" w:sz="0" w:space="0" w:color="auto"/>
          </w:divBdr>
          <w:divsChild>
            <w:div w:id="387148002">
              <w:marLeft w:val="0"/>
              <w:marRight w:val="0"/>
              <w:marTop w:val="0"/>
              <w:marBottom w:val="0"/>
              <w:divBdr>
                <w:top w:val="none" w:sz="0" w:space="0" w:color="auto"/>
                <w:left w:val="none" w:sz="0" w:space="0" w:color="auto"/>
                <w:bottom w:val="none" w:sz="0" w:space="0" w:color="auto"/>
                <w:right w:val="none" w:sz="0" w:space="0" w:color="auto"/>
              </w:divBdr>
              <w:divsChild>
                <w:div w:id="1910335903">
                  <w:marLeft w:val="-225"/>
                  <w:marRight w:val="-225"/>
                  <w:marTop w:val="0"/>
                  <w:marBottom w:val="0"/>
                  <w:divBdr>
                    <w:top w:val="none" w:sz="0" w:space="0" w:color="auto"/>
                    <w:left w:val="none" w:sz="0" w:space="0" w:color="auto"/>
                    <w:bottom w:val="none" w:sz="0" w:space="0" w:color="auto"/>
                    <w:right w:val="none" w:sz="0" w:space="0" w:color="auto"/>
                  </w:divBdr>
                  <w:divsChild>
                    <w:div w:id="125397648">
                      <w:marLeft w:val="0"/>
                      <w:marRight w:val="0"/>
                      <w:marTop w:val="0"/>
                      <w:marBottom w:val="0"/>
                      <w:divBdr>
                        <w:top w:val="none" w:sz="0" w:space="0" w:color="auto"/>
                        <w:left w:val="none" w:sz="0" w:space="0" w:color="auto"/>
                        <w:bottom w:val="none" w:sz="0" w:space="0" w:color="auto"/>
                        <w:right w:val="none" w:sz="0" w:space="0" w:color="auto"/>
                      </w:divBdr>
                    </w:div>
                    <w:div w:id="1950356226">
                      <w:marLeft w:val="0"/>
                      <w:marRight w:val="0"/>
                      <w:marTop w:val="0"/>
                      <w:marBottom w:val="0"/>
                      <w:divBdr>
                        <w:top w:val="none" w:sz="0" w:space="0" w:color="auto"/>
                        <w:left w:val="none" w:sz="0" w:space="0" w:color="auto"/>
                        <w:bottom w:val="none" w:sz="0" w:space="0" w:color="auto"/>
                        <w:right w:val="none" w:sz="0" w:space="0" w:color="auto"/>
                      </w:divBdr>
                      <w:divsChild>
                        <w:div w:id="1769307638">
                          <w:marLeft w:val="0"/>
                          <w:marRight w:val="0"/>
                          <w:marTop w:val="0"/>
                          <w:marBottom w:val="0"/>
                          <w:divBdr>
                            <w:top w:val="single" w:sz="18" w:space="15" w:color="C6C6C6"/>
                            <w:left w:val="none" w:sz="0" w:space="0" w:color="auto"/>
                            <w:bottom w:val="none" w:sz="0" w:space="0" w:color="auto"/>
                            <w:right w:val="none" w:sz="0" w:space="0" w:color="auto"/>
                          </w:divBdr>
                        </w:div>
                      </w:divsChild>
                    </w:div>
                    <w:div w:id="1951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updates/iasb-updates/december-2019/" TargetMode="External"/><Relationship Id="rId13" Type="http://schemas.openxmlformats.org/officeDocument/2006/relationships/hyperlink" Target="https://www.ifrs.org/news-and-events/updates/iasb-updates/january-2020/" TargetMode="External"/><Relationship Id="rId18" Type="http://schemas.openxmlformats.org/officeDocument/2006/relationships/hyperlink" Target="https://www.ifrs.org/news-and-events/updates/iasb-updates/december-2019/" TargetMode="External"/><Relationship Id="rId3" Type="http://schemas.openxmlformats.org/officeDocument/2006/relationships/styles" Target="styles.xml"/><Relationship Id="rId21" Type="http://schemas.openxmlformats.org/officeDocument/2006/relationships/hyperlink" Target="https://www.ifrs.org/projects/work-plan/" TargetMode="External"/><Relationship Id="rId7" Type="http://schemas.openxmlformats.org/officeDocument/2006/relationships/hyperlink" Target="https://www.ifrs.org/news-and-events/updates/iasb-updates/november-2019/" TargetMode="External"/><Relationship Id="rId12" Type="http://schemas.openxmlformats.org/officeDocument/2006/relationships/hyperlink" Target="https://www.ifrs.org/news-and-events/updates/iasb-updates/january-2020/" TargetMode="External"/><Relationship Id="rId17" Type="http://schemas.openxmlformats.org/officeDocument/2006/relationships/hyperlink" Target="https://www.ifrs.org/news-and-events/updates/iasb-updates/january-2020/" TargetMode="External"/><Relationship Id="rId2" Type="http://schemas.openxmlformats.org/officeDocument/2006/relationships/numbering" Target="numbering.xml"/><Relationship Id="rId16" Type="http://schemas.openxmlformats.org/officeDocument/2006/relationships/hyperlink" Target="https://www.ifrs.org/news-and-events/updates/iasb-updates/january-2020/" TargetMode="External"/><Relationship Id="rId20" Type="http://schemas.openxmlformats.org/officeDocument/2006/relationships/hyperlink" Target="https://www.ifrs.org/news-and-events/updates/iasb-updates/january-2020/" TargetMode="External"/><Relationship Id="rId1" Type="http://schemas.openxmlformats.org/officeDocument/2006/relationships/customXml" Target="../customXml/item1.xml"/><Relationship Id="rId6" Type="http://schemas.openxmlformats.org/officeDocument/2006/relationships/hyperlink" Target="https://www.ifrs.org/news-and-events/updates/iasb-updates/december-2019/" TargetMode="External"/><Relationship Id="rId11" Type="http://schemas.openxmlformats.org/officeDocument/2006/relationships/hyperlink" Target="https://www.ifrs.org/news-and-events/updates/iasb-updates/november-2019/" TargetMode="External"/><Relationship Id="rId5" Type="http://schemas.openxmlformats.org/officeDocument/2006/relationships/webSettings" Target="webSettings.xml"/><Relationship Id="rId15" Type="http://schemas.openxmlformats.org/officeDocument/2006/relationships/hyperlink" Target="https://www.ifrs.org/news-and-events/updates/iasb-updates/january-2020/" TargetMode="External"/><Relationship Id="rId23" Type="http://schemas.openxmlformats.org/officeDocument/2006/relationships/theme" Target="theme/theme1.xml"/><Relationship Id="rId10" Type="http://schemas.openxmlformats.org/officeDocument/2006/relationships/hyperlink" Target="https://www.ifrs.org/news-and-events/updates/iasb-updates/december-2019/" TargetMode="External"/><Relationship Id="rId19" Type="http://schemas.openxmlformats.org/officeDocument/2006/relationships/hyperlink" Target="https://www.ifrs.org/news-and-events/updates/iasb-updates/january-2020/" TargetMode="External"/><Relationship Id="rId4" Type="http://schemas.openxmlformats.org/officeDocument/2006/relationships/settings" Target="settings.xml"/><Relationship Id="rId9" Type="http://schemas.openxmlformats.org/officeDocument/2006/relationships/hyperlink" Target="https://www.ifrs.org/news-and-events/updates/iasb-updates/january-2020/" TargetMode="External"/><Relationship Id="rId14" Type="http://schemas.openxmlformats.org/officeDocument/2006/relationships/hyperlink" Target="https://www.ifrs.org/news-and-events/updates/iasb-updates/january-20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FBAC-FD45-43EE-9336-33D6AFC1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19</Pages>
  <Words>6069</Words>
  <Characters>34596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Svetoslava Velinova</dc:creator>
  <cp:keywords/>
  <dc:description/>
  <cp:lastModifiedBy>tvs</cp:lastModifiedBy>
  <cp:revision>24</cp:revision>
  <dcterms:created xsi:type="dcterms:W3CDTF">2020-02-13T07:59:00Z</dcterms:created>
  <dcterms:modified xsi:type="dcterms:W3CDTF">2020-02-14T11:12:00Z</dcterms:modified>
</cp:coreProperties>
</file>