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FA59" w14:textId="77777777" w:rsidR="0006074E" w:rsidRPr="007268F9" w:rsidRDefault="0006074E" w:rsidP="0006074E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bookmarkStart w:id="0" w:name="_GoBack"/>
      <w:bookmarkEnd w:id="0"/>
      <w:r w:rsidRPr="007268F9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IASB Update December 2019</w:t>
      </w:r>
    </w:p>
    <w:p w14:paraId="0EF51F9F" w14:textId="77777777" w:rsidR="00C554A0" w:rsidRPr="007268F9" w:rsidRDefault="00C554A0" w:rsidP="00C554A0">
      <w:pPr>
        <w:shd w:val="clear" w:color="auto" w:fill="A41F35"/>
        <w:spacing w:after="0" w:line="240" w:lineRule="auto"/>
        <w:outlineLvl w:val="0"/>
        <w:rPr>
          <w:rFonts w:ascii="Calibri" w:eastAsia="Times New Roman" w:hAnsi="Calibri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декември 2019 г.</w:t>
      </w:r>
    </w:p>
    <w:p w14:paraId="6CCAD0D4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</w:p>
    <w:p w14:paraId="3BBA4C74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</w:p>
    <w:p w14:paraId="7513C64B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Настоящият бюлетин на Съвета по международни счетоводни стандарти (IASB) (”Съветът”) представя предварителните решения на Съвета. Окончателните решения на Съвета по международни счетоводни стандарти относно: МСФО стандарти (IFRS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vertAlign w:val="superscript"/>
          <w:lang w:val="bg-BG"/>
        </w:rPr>
        <w:t>®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vertAlign w:val="superscript"/>
          <w:lang w:val="bg-BG"/>
        </w:rPr>
        <w:t>®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7268F9">
        <w:rPr>
          <w:rFonts w:ascii="Calibri" w:eastAsia="Times New Roman" w:hAnsi="Calibri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 xml:space="preserve"> на Фондация МСФО (IFRS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vertAlign w:val="superscript"/>
          <w:lang w:val="bg-BG"/>
        </w:rPr>
        <w:t>®</w:t>
      </w: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 xml:space="preserve"> Foundation) и Комитета по разясненията на МСФО (IFRS Interpretation Committee)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Съветът проведе заседания на 11 декември 2019 г., сряда, и 12 декември 2019 г., четвъртък, в офисите на Фондация МСФО в Лондон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12AB2861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4B38D1E7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5" w:anchor="1" w:history="1">
        <w:hyperlink r:id="rId6" w:anchor="7" w:history="1">
          <w:r w:rsidR="00C554A0" w:rsidRPr="007268F9">
            <w:rPr>
              <w:rFonts w:ascii="Calibri" w:eastAsia="Times New Roman" w:hAnsi="Calibri" w:cs="Helvetica"/>
              <w:color w:val="CD3333"/>
              <w:sz w:val="24"/>
              <w:szCs w:val="24"/>
              <w:u w:val="single"/>
              <w:lang w:val="bg-BG"/>
            </w:rPr>
            <w:t>Въпроси, свързани с въвеждането и прилагането на стандартите</w:t>
          </w:r>
        </w:hyperlink>
      </w:hyperlink>
    </w:p>
    <w:p w14:paraId="5DD95B64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7" w:anchor="2" w:history="1"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Счетоводна политика и счетоводни приблизителни оценки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Изменение на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МСС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8)</w:t>
        </w:r>
      </w:hyperlink>
    </w:p>
    <w:p w14:paraId="7693E850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8" w:anchor="3" w:history="1"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Финансови инструменти с характеристики на собствен капитал</w:t>
        </w:r>
      </w:hyperlink>
    </w:p>
    <w:p w14:paraId="23442EDD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9" w:anchor="4" w:history="1"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Изменение на МСФО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17 </w:t>
        </w:r>
        <w:r w:rsidR="00C554A0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Застрахователни договори</w:t>
        </w:r>
      </w:hyperlink>
    </w:p>
    <w:p w14:paraId="09C69A0C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0" w:anchor="5" w:history="1"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Актуализация на препратка към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 </w:t>
        </w:r>
        <w:r w:rsidR="00C554A0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 xml:space="preserve">Концептуалната </w:t>
        </w:r>
        <w:r w:rsidR="00533A92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рамка</w:t>
        </w:r>
        <w:r w:rsidR="00533A92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  (Изменение</w:t>
        </w:r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на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3)</w:t>
        </w:r>
      </w:hyperlink>
    </w:p>
    <w:p w14:paraId="231075F5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1" w:anchor="6" w:history="1">
        <w:r w:rsidR="00C554A0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Всеобхватен преглед 2019 г. на стандарта</w:t>
        </w:r>
        <w:r w:rsidR="0006074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 </w:t>
        </w:r>
        <w:r w:rsidR="00C554A0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МСФО</w:t>
        </w:r>
        <w:r w:rsidR="0006074E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 xml:space="preserve"> </w:t>
        </w:r>
        <w:r w:rsidR="00C554A0" w:rsidRPr="007268F9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за МСП</w:t>
        </w:r>
      </w:hyperlink>
    </w:p>
    <w:p w14:paraId="498A094D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2" w:anchor="7" w:history="1">
        <w:r w:rsidR="00533A92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Реформата на референтните лихвени проценти и ефект</w:t>
        </w:r>
        <w:r w:rsidR="009A1E8E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ът</w:t>
        </w:r>
        <w:r w:rsidR="00533A92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й върху финансовото отчитане</w:t>
        </w:r>
      </w:hyperlink>
    </w:p>
    <w:p w14:paraId="4F93ABE2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3" w:anchor="8" w:history="1">
        <w:hyperlink r:id="rId14" w:anchor="2" w:history="1">
          <w:r w:rsidR="00533A92" w:rsidRPr="007268F9">
            <w:rPr>
              <w:rFonts w:ascii="Calibri" w:eastAsia="Times New Roman" w:hAnsi="Calibri" w:cs="Helvetica"/>
              <w:color w:val="CD3333"/>
              <w:sz w:val="24"/>
              <w:szCs w:val="24"/>
              <w:u w:val="single"/>
              <w:lang w:val="bg-BG"/>
            </w:rPr>
            <w:t>Дъщерни предприятия, които са МСП</w:t>
          </w:r>
        </w:hyperlink>
      </w:hyperlink>
    </w:p>
    <w:p w14:paraId="6F35DFEE" w14:textId="77777777" w:rsidR="0006074E" w:rsidRPr="007268F9" w:rsidRDefault="001B21AD" w:rsidP="0006074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5" w:anchor="9" w:history="1">
        <w:r w:rsidR="00533A92" w:rsidRPr="007268F9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Бизнес комбинации под общ контрол</w:t>
        </w:r>
      </w:hyperlink>
    </w:p>
    <w:p w14:paraId="00DC9DB5" w14:textId="77777777" w:rsidR="0006074E" w:rsidRPr="007268F9" w:rsidRDefault="00C554A0" w:rsidP="0006074E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Допълнителна информация</w:t>
      </w:r>
    </w:p>
    <w:p w14:paraId="2A9AE021" w14:textId="77777777" w:rsidR="0006074E" w:rsidRPr="007268F9" w:rsidRDefault="00C554A0" w:rsidP="0006074E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2950E62" w14:textId="77777777" w:rsidR="0006074E" w:rsidRPr="007268F9" w:rsidRDefault="0006074E" w:rsidP="0006074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27–31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7B559403" w14:textId="77777777" w:rsidR="0006074E" w:rsidRPr="007268F9" w:rsidRDefault="0006074E" w:rsidP="0006074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24–28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февруари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1D1C2773" w14:textId="77777777" w:rsidR="0006074E" w:rsidRPr="007268F9" w:rsidRDefault="0006074E" w:rsidP="0006074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16–20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5C22154E" w14:textId="77777777" w:rsidR="0006074E" w:rsidRPr="007268F9" w:rsidRDefault="00533A92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1" w:name="1"/>
      <w:r w:rsidRPr="007268F9">
        <w:rPr>
          <w:rFonts w:ascii="Calibri" w:eastAsia="Times New Roman" w:hAnsi="Calibri" w:cs="Helvetica"/>
          <w:b/>
          <w:bCs/>
          <w:color w:val="CD3333"/>
          <w:sz w:val="34"/>
          <w:szCs w:val="34"/>
          <w:lang w:val="bg-BG"/>
        </w:rPr>
        <w:t xml:space="preserve">Въпроси, свързани с въвеждането и прилагането на стандартите 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12)</w:t>
      </w:r>
      <w:bookmarkEnd w:id="1"/>
    </w:p>
    <w:p w14:paraId="229849D3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въпроси, свързани с въвеждането и прилагането на стандартите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754DA20" w14:textId="77777777" w:rsidR="0006074E" w:rsidRPr="007268F9" w:rsidRDefault="00C24DD6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Обременяващи договори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разходи за изпълнение на договора 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Изменение на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37) 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12A)</w:t>
      </w:r>
    </w:p>
    <w:p w14:paraId="1D40D97D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обсъди датата на влизане в сила на измененията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37 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Провизии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условни пасиви и условни активи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регламентираната процедура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включително разрешение за пристъпване към процедурата по гласуване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BE45E69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Измененията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37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поясняват, че „разходите за изпълнение на договора”, за целите на оценяване дали този договор е обременяващ, обхващат разходите, които пряко се отнасят до договора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306BF5A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Дата на влизане в сила</w:t>
      </w:r>
    </w:p>
    <w:p w14:paraId="14E7DE67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C24DD6" w:rsidRPr="007268F9">
        <w:rPr>
          <w:rFonts w:eastAsia="Times New Roman" w:cs="Helvetica"/>
          <w:color w:val="575757"/>
          <w:sz w:val="24"/>
          <w:szCs w:val="24"/>
          <w:lang w:val="bg-BG"/>
        </w:rPr>
        <w:t>, че предприятията следва да прилагат измененията за годишни периоди, започващи на или след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="00C24DD6" w:rsidRPr="007268F9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2022</w:t>
      </w:r>
      <w:r w:rsidR="00C24DD6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C24DD6" w:rsidRPr="007268F9">
        <w:rPr>
          <w:rFonts w:eastAsia="Times New Roman" w:cs="Helvetica"/>
          <w:color w:val="575757"/>
          <w:sz w:val="24"/>
          <w:szCs w:val="24"/>
          <w:lang w:val="bg-BG"/>
        </w:rPr>
        <w:t>като по-ранното прилагане е разрешено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1E4BCED1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D49E0A5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Регламентирана процедура</w:t>
      </w:r>
    </w:p>
    <w:p w14:paraId="763C0709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се съгласи, че измененията не изискват представяне за повторно обсъждане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7E6D017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CC9EAE1" w14:textId="77777777" w:rsidR="0006074E" w:rsidRPr="007268F9" w:rsidRDefault="00C24DD6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потвърдиха, че са се уверили, че Съветът е изпълнил приложимите изисквания на регламентираната процедура и е осъществил достатъчно консултации и анализи, за да се пристъпи към процедурата по гласуване на измененията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1944A291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Нито един от членовете на Съвета не даде индикации, че възнамерява да изрази несъгласие с издаване на измененията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91D4CA5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>Следващ етап</w:t>
      </w:r>
    </w:p>
    <w:p w14:paraId="74124A14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планира да издаде измененията през второто тримесечие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CB0D015" w14:textId="77777777" w:rsidR="0006074E" w:rsidRPr="007268F9" w:rsidRDefault="00760069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Cs/>
          <w:color w:val="333333"/>
          <w:sz w:val="24"/>
          <w:szCs w:val="24"/>
          <w:lang w:val="bg-BG"/>
        </w:rPr>
        <w:t>Годишни подобрения на МСФО стандартите 2018–2020 г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12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14:paraId="262BA859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обсъди датата на влизане в сила на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Годишни подобрения на МСФО стандартите 2018–2020 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регламентираната процедура, включително разрешение за пристъпване към процедурата по гласуване.</w:t>
      </w:r>
    </w:p>
    <w:p w14:paraId="73E61567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Годишни</w:t>
      </w:r>
      <w:r w:rsid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те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подобрения на МСФО стандартите 2018–2020 г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. включва</w:t>
      </w:r>
      <w:r w:rsidR="007268F9">
        <w:rPr>
          <w:rFonts w:eastAsia="Times New Roman" w:cs="Helvetica"/>
          <w:color w:val="575757"/>
          <w:sz w:val="24"/>
          <w:szCs w:val="24"/>
          <w:lang w:val="bg-BG"/>
        </w:rPr>
        <w:t>т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следните изменения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5CCFFDA9" w14:textId="77777777" w:rsidR="0006074E" w:rsidRPr="007268F9" w:rsidRDefault="00760069" w:rsidP="0006074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Дъщерно предприятие като предприятие, прилагащо за първи път стандартите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което ще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Прилагане за първи път на Международните стандарти за финансово отчитане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3243364E" w14:textId="77777777" w:rsidR="0006074E" w:rsidRPr="007268F9" w:rsidRDefault="00760069" w:rsidP="0006074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Възнаграждения в теста „10 процента” за отписване на финансови пасиви, което ще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5787161E" w14:textId="77777777" w:rsidR="0006074E" w:rsidRPr="007268F9" w:rsidRDefault="00760069" w:rsidP="0006074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Стимули за лизинг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което ще измени Илюстративните примери, съпътстващи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16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Лизинг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7468572F" w14:textId="77777777" w:rsidR="0006074E" w:rsidRPr="007268F9" w:rsidRDefault="00760069" w:rsidP="0006074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Данъчно облагане при оценки по справедлива стойност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което ще измени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41 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Земеделие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1E5A18E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Дата на влизане в сила</w:t>
      </w:r>
    </w:p>
    <w:p w14:paraId="4173AB9D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760069" w:rsidRPr="007268F9"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760069" w:rsidRPr="007268F9">
        <w:rPr>
          <w:rFonts w:eastAsia="Times New Roman" w:cs="Helvetica"/>
          <w:color w:val="575757"/>
          <w:sz w:val="24"/>
          <w:szCs w:val="24"/>
          <w:lang w:val="bg-BG"/>
        </w:rPr>
        <w:t>предприятията следва да прилагат измененията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1,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="00760069"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41 </w:t>
      </w:r>
      <w:r w:rsidR="00760069" w:rsidRPr="007268F9">
        <w:rPr>
          <w:rFonts w:eastAsia="Times New Roman" w:cs="Helvetica"/>
          <w:color w:val="575757"/>
          <w:sz w:val="24"/>
          <w:szCs w:val="24"/>
          <w:lang w:val="bg-BG"/>
        </w:rPr>
        <w:t>за годишни периоди, започващи на или след 1 януари 2022 г., като по-ранното прилагане е разрешено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D8B7683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A4E3637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Регламентирана процедура</w:t>
      </w:r>
    </w:p>
    <w:p w14:paraId="65829F6A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се съгласи, че измененията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5F2A91A1" w14:textId="77777777" w:rsidR="0006074E" w:rsidRPr="007268F9" w:rsidRDefault="00760069" w:rsidP="0006074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отговарят на критериите за включване в процеса на годишни подобрения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7F21AB72" w14:textId="77777777" w:rsidR="0006074E" w:rsidRPr="007268F9" w:rsidRDefault="00760069" w:rsidP="0006074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не изискват представяне за повторно обсъждане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9BB2C13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C96B1E4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четиринадесет членове на Съвета потвърдиха, че са се уверили, че Съветът е изпълнил приложимите изисквания на регламентираната процедура и е осъществил достатъчно консултации и анализи, за да се пристъпи към процедурата по гласуване на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Годишни подобрения на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стандартите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2018–2020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C333B44" w14:textId="77777777" w:rsidR="0006074E" w:rsidRPr="007268F9" w:rsidRDefault="0076006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Нито един от членовете на Съвета не даде индикации, че възнамерява да изрази несъгласие с издаване на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Годишни подобрения на МСФО стандартите 2018–2020 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4756576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66C23DD3" w14:textId="77777777" w:rsidR="0006074E" w:rsidRPr="007268F9" w:rsidRDefault="001B4795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планира да издаде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Годишни подобрения на МСФО стандартите 2018–2020 г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. през второто тримесечие на 2020 г.</w:t>
      </w:r>
    </w:p>
    <w:p w14:paraId="44CABF50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311A3CFA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2" w:name="2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Счетоводна политика и счетоводни приблизителни оценки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Изменение на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МСС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8)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26)</w:t>
      </w:r>
      <w:bookmarkEnd w:id="2"/>
    </w:p>
    <w:p w14:paraId="56A1FF49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1D1C17" w:rsidRPr="007268F9">
        <w:rPr>
          <w:rFonts w:eastAsia="Times New Roman" w:cs="Helvetica"/>
          <w:color w:val="575757"/>
          <w:sz w:val="24"/>
          <w:szCs w:val="24"/>
          <w:lang w:val="bg-BG"/>
        </w:rPr>
        <w:t>изискванията при преход и датата на влизане в сила на измененията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8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 </w:t>
      </w:r>
      <w:r w:rsidR="001D1C17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Счетоводна политика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1D1C17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промени в счетоводните приблизителни оценки и грешки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D1C17"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регламентираната процедура, включително разрешение за пристъпване към процедурата по гласуване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1FCB83C4" w14:textId="77777777" w:rsidR="0006074E" w:rsidRPr="007268F9" w:rsidRDefault="001D1C17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Преход и дата на влизане в сила</w:t>
      </w:r>
    </w:p>
    <w:p w14:paraId="5D8AAD6C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2C2C036B" w14:textId="77777777" w:rsidR="0006074E" w:rsidRPr="007268F9" w:rsidRDefault="001D1C17" w:rsidP="0006074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изисква предприятията да прилагат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измененията само по отношение на промени в счетоводната политика и промени в счетоводните приблизителни оценки, които възникват на или след началото на първия годишен период, в който предприятието прилага измененията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2F8BEB07" w14:textId="77777777" w:rsidR="0006074E" w:rsidRPr="007268F9" w:rsidRDefault="001D1C17" w:rsidP="0006074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не включва последните две изречения от предложения параграф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54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 Проекта за обсъждане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25C42624" w14:textId="77777777" w:rsidR="0006074E" w:rsidRPr="007268F9" w:rsidRDefault="001D1C17" w:rsidP="0006074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изисква предприятията да прилагат измененията по отношение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годишни периоди, започващи на или след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2022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като по-ранното прилагане е разрешено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70F7E833" w14:textId="77777777" w:rsidR="0006074E" w:rsidRPr="007268F9" w:rsidRDefault="001D1C17" w:rsidP="0006074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не добавя изискване предприятията да оповестяват факта, че са приложили измененията по отношение на по-ранен период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193E469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1AE81F6" w14:textId="77777777" w:rsidR="0006074E" w:rsidRPr="007268F9" w:rsidRDefault="001D1C17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Регламентирана процедура</w:t>
      </w:r>
    </w:p>
    <w:p w14:paraId="2EBC90E9" w14:textId="77777777" w:rsidR="0006074E" w:rsidRPr="007268F9" w:rsidRDefault="001D1C17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потвърдиха, че са се уверили, че Съветът е изпълнил приложимите изисквания на регламентираната процедура и е осъществил достатъчно консултации и анализи, за да се пристъпи към процедурата по гласуване на измененията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8.</w:t>
      </w:r>
    </w:p>
    <w:p w14:paraId="13100C9F" w14:textId="77777777" w:rsidR="0006074E" w:rsidRPr="007268F9" w:rsidRDefault="001D1C17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Нито един от членовете на Съвета не даде индикации, че възнамерява да изрази несъгласие с издаване на 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измененията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8.</w:t>
      </w:r>
    </w:p>
    <w:p w14:paraId="69C0D84C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2636BFB7" w14:textId="77777777" w:rsidR="0006074E" w:rsidRPr="007268F9" w:rsidRDefault="001D1C17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планира да издаде измененията през второто тримесечие на 2020 г.</w:t>
      </w:r>
    </w:p>
    <w:p w14:paraId="1D659CBC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5E3A9630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3" w:name="3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Финансови инструменти с характеристики на собствен капитал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5)</w:t>
      </w:r>
      <w:bookmarkEnd w:id="3"/>
    </w:p>
    <w:p w14:paraId="08A08AA1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515C5" w:rsidRPr="007268F9">
        <w:rPr>
          <w:rFonts w:eastAsia="Times New Roman" w:cs="Helvetica"/>
          <w:color w:val="575757"/>
          <w:sz w:val="24"/>
          <w:szCs w:val="24"/>
          <w:lang w:val="bg-BG"/>
        </w:rPr>
        <w:t>потенциални пояснения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32 </w:t>
      </w:r>
      <w:r w:rsidR="00B515C5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B515C5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представяне, </w:t>
      </w:r>
      <w:r w:rsidR="00B515C5" w:rsidRPr="007268F9">
        <w:rPr>
          <w:rFonts w:eastAsia="Times New Roman" w:cs="Helvetica"/>
          <w:color w:val="575757"/>
          <w:sz w:val="24"/>
          <w:szCs w:val="24"/>
          <w:lang w:val="bg-BG"/>
        </w:rPr>
        <w:t>които биха спомогнали да се адресират практическите предизвикателствата при класифицирането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515C5" w:rsidRPr="007268F9">
        <w:rPr>
          <w:rFonts w:eastAsia="Times New Roman" w:cs="Helvetica"/>
          <w:color w:val="575757"/>
          <w:sz w:val="24"/>
          <w:szCs w:val="24"/>
          <w:lang w:val="bg-BG"/>
        </w:rPr>
        <w:t>финансови инструменти, които ще бъдат уредени или могат да бъдат уредени с инструменти на собствения капитал на емитента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B515C5" w:rsidRPr="007268F9">
        <w:rPr>
          <w:rFonts w:eastAsia="Times New Roman" w:cs="Helvetica"/>
          <w:color w:val="575757"/>
          <w:sz w:val="24"/>
          <w:szCs w:val="24"/>
          <w:lang w:val="bg-BG"/>
        </w:rPr>
        <w:t>В частност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B515C5"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проучи потенциални пояснения на основополагащия принцип за класифициране на деривативи по собствения капитал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.</w:t>
      </w:r>
    </w:p>
    <w:p w14:paraId="11F2F824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12632A7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Следващи етапи</w:t>
      </w:r>
    </w:p>
    <w:p w14:paraId="217205A4" w14:textId="77777777" w:rsidR="0006074E" w:rsidRPr="007268F9" w:rsidRDefault="00B515C5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допълнително ще обсъди тази тема, включително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прилагането на потенциалните пояснения по отношение на често срещани в практиката предизвикателства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E4F174E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2B3DE40D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4" w:name="4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Изменение на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17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2)</w:t>
      </w:r>
      <w:bookmarkEnd w:id="4"/>
    </w:p>
    <w:p w14:paraId="0062A2F7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415536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обратната информация във връзка с Проекта за обсъждане </w:t>
      </w:r>
      <w:r w:rsidR="007A36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Изменения в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17</w:t>
      </w:r>
      <w:r w:rsidR="00415536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,</w:t>
      </w:r>
      <w:r w:rsidR="007A36A0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415536" w:rsidRPr="007268F9">
        <w:rPr>
          <w:rFonts w:eastAsia="Times New Roman" w:cs="Helvetica"/>
          <w:color w:val="575757"/>
          <w:sz w:val="24"/>
          <w:szCs w:val="24"/>
          <w:lang w:val="bg-BG"/>
        </w:rPr>
        <w:t>отнасящ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а</w:t>
      </w:r>
      <w:r w:rsidR="00415536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се до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631281D8" w14:textId="77777777" w:rsidR="0006074E" w:rsidRPr="007268F9" w:rsidRDefault="00415536" w:rsidP="0006074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предложените изменения, които Съветът да финализира без повторни разисквания по същество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580C2A70" w14:textId="77777777" w:rsidR="0006074E" w:rsidRPr="007268F9" w:rsidRDefault="007A36A0" w:rsidP="0006074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парични потоци при придобиване на застраховане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65C4F349" w14:textId="77777777" w:rsidR="0006074E" w:rsidRPr="007268F9" w:rsidRDefault="007A36A0" w:rsidP="0006074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държани презастрахователни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възстановяване на загуби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FB6273D" w14:textId="77777777" w:rsidR="0006074E" w:rsidRPr="007268F9" w:rsidRDefault="007A36A0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Предложени изменения, които да бъдат финализирани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2A)</w:t>
      </w:r>
    </w:p>
    <w:p w14:paraId="1A0C2255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7A36A0" w:rsidRPr="007268F9">
        <w:rPr>
          <w:rFonts w:eastAsia="Times New Roman" w:cs="Helvetica"/>
          <w:color w:val="575757"/>
          <w:sz w:val="24"/>
          <w:szCs w:val="24"/>
          <w:lang w:val="bg-BG"/>
        </w:rPr>
        <w:t>да финализира следните изменения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 17 </w:t>
      </w:r>
      <w:r w:rsidR="007A36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Застрахователни договори,</w:t>
      </w:r>
      <w:r w:rsidR="00941557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7A36A0" w:rsidRPr="007268F9">
        <w:rPr>
          <w:rFonts w:eastAsia="Times New Roman" w:cs="Helvetica"/>
          <w:color w:val="575757"/>
          <w:sz w:val="24"/>
          <w:szCs w:val="24"/>
          <w:lang w:val="bg-BG"/>
        </w:rPr>
        <w:t>така както са предложени в Проекта за обсъждане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E8DE22E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изключване от обхвата на кредити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042AED9C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маржа на договорената услуга, който може да бъде отнесен към инвестиционните услуги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единици покритие по отношение на застрахователни договори с характеристики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на пряко участие в разпределението на печалбата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7DEA268D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представяне в отчета за финансовото състояние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 портфейли вместо на ниво група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1AD5E7DC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приложимостта на опцията за смекчаване на риска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 отношение на държани презастрахователни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1B2CA77C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облекчения при преход по отношение на бизнес комбинациите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1B21FB3E" w14:textId="77777777" w:rsidR="0006074E" w:rsidRPr="007268F9" w:rsidRDefault="007A36A0" w:rsidP="0006074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облекчения при преход по отношение на опцията за смекчаване на риска 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прилагането от датата на преход и възможността за прилагане на подхода на справедливата стойност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1B04009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19549D2" w14:textId="77777777" w:rsidR="0006074E" w:rsidRPr="007268F9" w:rsidRDefault="007A36A0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Очаквано възстановяване на паричните потоци за придобиване на застраховане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2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14:paraId="373DF21B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5E7DC71B" w14:textId="77777777" w:rsidR="0006074E" w:rsidRPr="007268F9" w:rsidRDefault="007A36A0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финализира предложените изменения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, които биха изисквали предприятието да разпредели паричните потоци за придобиване на застраховане, които пряко могат да бъдат отнесени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към група застрахователни договори, прилагайки систематичен и </w:t>
      </w:r>
      <w:r w:rsidR="00AB5483" w:rsidRPr="007268F9">
        <w:rPr>
          <w:rFonts w:eastAsia="Times New Roman" w:cs="Helvetica"/>
          <w:color w:val="575757"/>
          <w:sz w:val="24"/>
          <w:szCs w:val="24"/>
          <w:lang w:val="bg-BG"/>
        </w:rPr>
        <w:t>логически обоснован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метод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A4C33B9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към тази група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7868FCAC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към групи, включващи договори, които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се очаква да възникнат от подновяването на договорите в тази група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EB242B9" w14:textId="77777777" w:rsidR="0006074E" w:rsidRPr="007268F9" w:rsidRDefault="00AB5483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поясни, че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47B6B74E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сумите, разпределени към група 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не могат да бъдат преразглеждани, след като групата е призната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47A30E2B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сумите, разпределени към групи застрахователни договори, които още не са признати, следва да бъдат преразглеждани към всяка отчетна дата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за да се отразят промени в предположенията, които определят входящата информация за метода на разпределение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5635180" w14:textId="77777777" w:rsidR="0006074E" w:rsidRPr="007268F9" w:rsidRDefault="00AB5483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потвърди, че счетоводно отчитаната единица по отношение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актив за парични потоци за придобиване на застраховане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 групата застрахователни договори, към която са били разпределени тези парични потоци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E3A7915" w14:textId="77777777" w:rsidR="0006074E" w:rsidRPr="007268F9" w:rsidRDefault="00AB5483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финализира предложените изисквания предприятието да оценява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възстановимостта на актив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за парични потоци за придобиване на застраховане, ако факти и обстоятелства 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дават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индикация, че е възможно активът да е обезценен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44415D1" w14:textId="77777777" w:rsidR="0006074E" w:rsidRPr="007268F9" w:rsidRDefault="00AB5483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да финализира предложените изисквания предприятието да оповестява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430597B7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равнение от началното до крайното салдо на активи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за парични потоци за придобиване на застраховане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показвайки отделно признаване на загуби от обезценка и обратно проявление на такива загуби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489A2870" w14:textId="77777777" w:rsidR="0006074E" w:rsidRPr="007268F9" w:rsidRDefault="00AB5483" w:rsidP="0006074E">
      <w:pPr>
        <w:numPr>
          <w:ilvl w:val="1"/>
          <w:numId w:val="8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количествена информация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 подходящи времеви диапазони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относно това кога предприятието очаква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да отпише актив </w:t>
      </w:r>
      <w:r w:rsidR="0082509E" w:rsidRPr="007268F9">
        <w:rPr>
          <w:rFonts w:eastAsia="Times New Roman" w:cs="Helvetica"/>
          <w:color w:val="575757"/>
          <w:sz w:val="24"/>
          <w:szCs w:val="24"/>
          <w:lang w:val="bg-BG"/>
        </w:rPr>
        <w:t>за парични потоци за придобиване на застраховане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2509E" w:rsidRPr="007268F9">
        <w:rPr>
          <w:rFonts w:eastAsia="Times New Roman" w:cs="Helvetica"/>
          <w:color w:val="575757"/>
          <w:sz w:val="24"/>
          <w:szCs w:val="24"/>
          <w:lang w:val="bg-BG"/>
        </w:rPr>
        <w:t>и да включи тези парични потоци в оценката на групата застрахователни договори, към която те са разпределени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D0E2C2C" w14:textId="77777777" w:rsidR="0006074E" w:rsidRPr="007268F9" w:rsidRDefault="0082509E" w:rsidP="0006074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запази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без изменение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изискването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предприятието да представя активи за парични потоци за придобиване на застраховане в балансовата стойност на свързаните с тях 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3C18BE0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31FB577" w14:textId="77777777" w:rsidR="0006074E" w:rsidRPr="007268F9" w:rsidRDefault="00DC08A9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Държани презастрахователни договори—възстановяване на загуби 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2</w:t>
      </w:r>
      <w:r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В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14:paraId="62816CB2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A33DA08" w14:textId="77777777" w:rsidR="0006074E" w:rsidRPr="007268F9" w:rsidRDefault="00DC08A9" w:rsidP="0006074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разшири обхвата на предложените изменения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да изисква предприятието да коригира маржа на договорената услуга на група държани презастрахователни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в резултат да признава приход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когато предприятието признава загуба при първоначално признаване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на обременяваща група от стоящи в основата 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или нови придобивания на обременяващи договори в тази група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24037ED" w14:textId="77777777" w:rsidR="0006074E" w:rsidRPr="007268F9" w:rsidRDefault="00DC08A9" w:rsidP="0006074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измени предложеното изчисляване на прихода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като следствие от разширяването на обхвата на предложеното изменение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да изисква предприятието да определя сумата на загубата, която е възстановена от държан презастрахователен договор, като се умножи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04AE62D5" w14:textId="77777777" w:rsidR="0006074E" w:rsidRPr="007268F9" w:rsidRDefault="00DC08A9" w:rsidP="0006074E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загубата, призната по стоящите в основата 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31122FCA" w14:textId="77777777" w:rsidR="0006074E" w:rsidRPr="007268F9" w:rsidRDefault="00DC08A9" w:rsidP="0006074E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процента на исковете по стоящите в основата застрахователни договори, който предприятието очаква да си възстанови от държания презастрахователен договор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1C02AE2" w14:textId="77777777" w:rsidR="0006074E" w:rsidRPr="007268F9" w:rsidRDefault="00DC08A9" w:rsidP="0006074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потвърди, че изменението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, описано в параграф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(a)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ще е приложимо само когато държаният презастрахователен договор е признат преди или едновременно с признаването на загубата по стоящите в основата 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439D30D" w14:textId="77777777" w:rsidR="0006074E" w:rsidRPr="007268F9" w:rsidRDefault="00DC08A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също така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9628758" w14:textId="77777777" w:rsidR="0006074E" w:rsidRPr="007268F9" w:rsidRDefault="00DC08A9" w:rsidP="0006074E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пропусне предложената бележка под линия в параграф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ОЗ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304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от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Основанието за заключения относно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17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Застрахователни договори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3EF0AD7" w14:textId="77777777" w:rsidR="0006074E" w:rsidRPr="007268F9" w:rsidRDefault="00DC08A9" w:rsidP="0006074E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поясни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 окончателното изменение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че параграф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66(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)(ii)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17—</w:t>
      </w:r>
      <w:r w:rsidR="00653562" w:rsidRPr="007268F9">
        <w:rPr>
          <w:rFonts w:eastAsia="Times New Roman" w:cs="Helvetica"/>
          <w:color w:val="575757"/>
          <w:sz w:val="24"/>
          <w:szCs w:val="24"/>
          <w:lang w:val="bg-BG"/>
        </w:rPr>
        <w:t>по отношение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последващо оценяване на </w:t>
      </w:r>
      <w:r w:rsidR="00653562" w:rsidRPr="007268F9">
        <w:rPr>
          <w:rFonts w:eastAsia="Times New Roman" w:cs="Helvetica"/>
          <w:color w:val="575757"/>
          <w:sz w:val="24"/>
          <w:szCs w:val="24"/>
          <w:lang w:val="bg-BG"/>
        </w:rPr>
        <w:t>група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държани презастрахователни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договори</w:t>
      </w:r>
      <w:r w:rsidR="00653562" w:rsidRPr="007268F9">
        <w:rPr>
          <w:rFonts w:eastAsia="Times New Roman" w:cs="Helvetica"/>
          <w:color w:val="575757"/>
          <w:sz w:val="24"/>
          <w:szCs w:val="24"/>
          <w:lang w:val="bg-BG"/>
        </w:rPr>
        <w:t>, когато група стоящи в основата застрахователни договори става обременяваща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—</w:t>
      </w:r>
      <w:r w:rsidR="00653562" w:rsidRPr="007268F9">
        <w:rPr>
          <w:rFonts w:eastAsia="Times New Roman" w:cs="Helvetica"/>
          <w:color w:val="575757"/>
          <w:sz w:val="24"/>
          <w:szCs w:val="24"/>
          <w:lang w:val="bg-BG"/>
        </w:rPr>
        <w:t>е приложим също така и когато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3562" w:rsidRPr="007268F9">
        <w:rPr>
          <w:rFonts w:eastAsia="Times New Roman" w:cs="Helvetica"/>
          <w:color w:val="575757"/>
          <w:sz w:val="24"/>
          <w:szCs w:val="24"/>
          <w:lang w:val="bg-BG"/>
        </w:rPr>
        <w:t>стоящите в основата застрахователни договори са оценени, като се прилага подходът на разпределение на премията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47FCC13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5C4B305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Следващи етапи</w:t>
      </w:r>
    </w:p>
    <w:p w14:paraId="0614908D" w14:textId="77777777" w:rsidR="0006074E" w:rsidRPr="007268F9" w:rsidRDefault="0065356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На бъдещи свои заседания Съветът ще разисква повторно оставащите за обсъждане теми в отговор на получените като обратна информация становища във връзка с Проекта за обсъждане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Изменение на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17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DFA1A82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5ED7CA49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5" w:name="5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Актуализация на препратка към</w:t>
      </w:r>
      <w:r w:rsidR="003E0C24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Pr="007268F9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>Концептуалната рамка</w:t>
      </w:r>
      <w:r w:rsidR="00375DE0" w:rsidRPr="007268F9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 xml:space="preserve"> 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Изменение на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3)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10)</w:t>
      </w:r>
      <w:bookmarkEnd w:id="5"/>
    </w:p>
    <w:p w14:paraId="1778434A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343FC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становищата, получени като обратна информация във връзка с Проекта за обсъждане </w:t>
      </w:r>
      <w:r w:rsidR="00343FC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Препратка към </w:t>
      </w:r>
      <w:r w:rsidR="00343FCE" w:rsidRPr="007268F9">
        <w:rPr>
          <w:rFonts w:eastAsia="Times New Roman" w:cs="Helvetica"/>
          <w:color w:val="575757"/>
          <w:sz w:val="24"/>
          <w:szCs w:val="24"/>
          <w:lang w:val="bg-BG"/>
        </w:rPr>
        <w:t>Концептуалната рамка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343FCE" w:rsidRPr="007268F9">
        <w:rPr>
          <w:rFonts w:eastAsia="Times New Roman" w:cs="Helvetica"/>
          <w:color w:val="575757"/>
          <w:sz w:val="24"/>
          <w:szCs w:val="24"/>
          <w:lang w:val="bg-BG"/>
        </w:rPr>
        <w:t>в който Съветът предлага изменения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3 </w:t>
      </w:r>
      <w:r w:rsidR="00343FC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BBA2F84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343FCE" w:rsidRPr="007268F9">
        <w:rPr>
          <w:rFonts w:eastAsia="Times New Roman" w:cs="Helvetica"/>
          <w:color w:val="575757"/>
          <w:sz w:val="24"/>
          <w:szCs w:val="24"/>
          <w:lang w:val="bg-BG"/>
        </w:rPr>
        <w:t>да потвърди предложенията, изложени в Проекта за обсъждане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30BDDFA7" w14:textId="77777777" w:rsidR="0006074E" w:rsidRPr="007268F9" w:rsidRDefault="00343FCE" w:rsidP="0006074E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добави към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изключение от принципа за признаване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но само по отношение на пасиви и условни пасиви, попадащи в обхвата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37 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Провизии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условни пасиви и условни активи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или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КРМСФО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21 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Налози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118F4"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не добавя изключение по отношение на текущите данъчни активи и пасиви, попадащи в обхвата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КРМСФО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23 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Несигурност при данъчното облагане на дохода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F39D784" w14:textId="77777777" w:rsidR="0006074E" w:rsidRPr="007268F9" w:rsidRDefault="00343FCE" w:rsidP="0006074E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помести всички изисквания за признаване по отношение на провизии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условни пасиви и условни активи в раздела, озаглавен „Изключение от принципа за признаване”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90DD897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33AF996" w14:textId="77777777" w:rsidR="0006074E" w:rsidRPr="007268F9" w:rsidRDefault="00343FC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също така в порядък на работна хипотеза да заличи параграф ОЗ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125 </w:t>
      </w:r>
      <w:r w:rsidR="009A1E8E" w:rsidRPr="007268F9">
        <w:rPr>
          <w:rFonts w:eastAsia="Times New Roman" w:cs="Helvetica"/>
          <w:color w:val="575757"/>
          <w:sz w:val="24"/>
          <w:szCs w:val="24"/>
          <w:lang w:val="bg-BG"/>
        </w:rPr>
        <w:t>от Основанието за заключения, съпътстващо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3.</w:t>
      </w:r>
    </w:p>
    <w:p w14:paraId="1885DC71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Тринадесет от четиринадесетте членове на Съвета изразиха съгласие, а един - несъгласие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2669292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>Следващи етапи</w:t>
      </w:r>
    </w:p>
    <w:p w14:paraId="1411DBBC" w14:textId="77777777" w:rsidR="0006074E" w:rsidRPr="007268F9" w:rsidRDefault="009A1E8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ще обсъди изискванията при преход и датата на влизане в сила на измененията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ще прецени дали е изпълнил изискванията на регламентираната процедура във връзка с този проект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C2775F8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60E5672F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6" w:name="6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Всеобхватен преглед 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2019 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г. на стандарта </w:t>
      </w:r>
      <w:r w:rsidR="00C554A0" w:rsidRPr="007268F9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>МСФО</w:t>
      </w:r>
      <w:r w:rsidR="0006074E" w:rsidRPr="007268F9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 xml:space="preserve"> </w:t>
      </w:r>
      <w:r w:rsidRPr="007268F9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>за МСП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30)</w:t>
      </w:r>
      <w:bookmarkEnd w:id="6"/>
    </w:p>
    <w:p w14:paraId="5BB469D6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направи преглед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9A1E8E" w:rsidRPr="007268F9">
        <w:rPr>
          <w:rFonts w:eastAsia="Times New Roman" w:cs="Helvetica"/>
          <w:color w:val="575757"/>
          <w:sz w:val="24"/>
          <w:szCs w:val="24"/>
          <w:lang w:val="bg-BG"/>
        </w:rPr>
        <w:t>стъпките, предприети при разработване на проекта на Искане за предоставяне на информация, публикуването на което ще завърши първата фаза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9A1E8E" w:rsidRPr="007268F9">
        <w:rPr>
          <w:rFonts w:eastAsia="Times New Roman" w:cs="Helvetica"/>
          <w:color w:val="575757"/>
          <w:sz w:val="24"/>
          <w:szCs w:val="24"/>
          <w:lang w:val="bg-BG"/>
        </w:rPr>
        <w:t>Всеобхватния преглед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2019</w:t>
      </w:r>
      <w:r w:rsidR="009A1E8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г. на стандарта </w:t>
      </w:r>
      <w:r w:rsidR="00C554A0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9A1E8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 МСП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34D28EF" w14:textId="77777777" w:rsidR="0006074E" w:rsidRPr="007268F9" w:rsidRDefault="009A1E8E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Разработване на проекта на Искане за предоставяне на информация и разрешение за публикуване 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30A)</w:t>
      </w:r>
    </w:p>
    <w:p w14:paraId="32282BC5" w14:textId="77777777" w:rsidR="0006074E" w:rsidRPr="007268F9" w:rsidRDefault="009A1E8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бе информиран, че проектът на Искането за предоставяне на информация е разработен така, че да отрази както обсъжданията на Съвета, така и вижданията на Групата по въвеждане и прилагане на стандарта за МСП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A240154" w14:textId="77777777" w:rsidR="0006074E" w:rsidRPr="007268F9" w:rsidRDefault="009A1E8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потвърди, че е удовлетворен от стъпките, предприети при разработването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проекта на Искане за предоставяне на информация и че е изпълнил приложимите изисквания на регламентираната процедура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6253C868" w14:textId="77777777" w:rsidR="0006074E" w:rsidRPr="007268F9" w:rsidRDefault="009A1E8E" w:rsidP="0006074E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реши да предостави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180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дни за коментар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118F4"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33C3644" w14:textId="77777777" w:rsidR="0006074E" w:rsidRPr="007268F9" w:rsidRDefault="009A1E8E" w:rsidP="0006074E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даде указания на екипа 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д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а публикува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 за публични коментари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118F4"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7FAAB89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6693A8FE" w14:textId="77777777" w:rsidR="0006074E" w:rsidRPr="007268F9" w:rsidRDefault="009A1E8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ще публикува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 през януари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9C70CC9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7442662A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7" w:name="7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lastRenderedPageBreak/>
        <w:t>Реформата на референтните лихвени проценти и ефект</w:t>
      </w:r>
      <w:r w:rsidR="009A1E8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ът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й върху финансовото отчитане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—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Фаза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14)</w:t>
      </w:r>
      <w:bookmarkEnd w:id="7"/>
    </w:p>
    <w:p w14:paraId="32564FB8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11 декември 2019 г. Съветът проведе заседание, за да обсъди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9A1E8E" w:rsidRPr="007268F9">
        <w:rPr>
          <w:rFonts w:eastAsia="Times New Roman" w:cs="Helvetica"/>
          <w:color w:val="575757"/>
          <w:sz w:val="24"/>
          <w:szCs w:val="24"/>
          <w:lang w:val="bg-BG"/>
        </w:rPr>
        <w:t>въпросите, свързани със счетоводното отчитане на хеджирането, които биха могли да възникнат в резултат от реформата на референтните лихвени проценти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14 </w:t>
      </w:r>
      <w:r w:rsidR="003B17AC" w:rsidRPr="007268F9">
        <w:rPr>
          <w:rFonts w:eastAsia="Times New Roman" w:cs="Helvetica"/>
          <w:color w:val="575757"/>
          <w:sz w:val="24"/>
          <w:szCs w:val="24"/>
          <w:lang w:val="bg-BG"/>
        </w:rPr>
        <w:t>предостави обобщение единствено с цел информиране на взетите до момента в порядък на работна хипотеза решения на Съвета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343D266D" w14:textId="77777777" w:rsidR="0006074E" w:rsidRPr="007268F9" w:rsidRDefault="003B17AC" w:rsidP="0006074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Счетоводно отчитане на хеджиране 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C554A0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14A)</w:t>
      </w:r>
    </w:p>
    <w:p w14:paraId="28F8029C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4D88DA6F" w14:textId="77777777" w:rsidR="0006074E" w:rsidRPr="007268F9" w:rsidRDefault="003B17AC" w:rsidP="0006074E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запази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изискванията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 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39 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 </w:t>
      </w:r>
      <w:r w:rsidR="0006074E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: </w:t>
      </w:r>
      <w:r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признаване и оценяване,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които определят дали хеджиращо взаимоотношение следва да бъде преустановено след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630C445" w14:textId="77777777" w:rsidR="0006074E" w:rsidRPr="007268F9" w:rsidRDefault="003B17AC" w:rsidP="0006074E">
      <w:pPr>
        <w:numPr>
          <w:ilvl w:val="1"/>
          <w:numId w:val="1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съществена модификация, която води до отписване на хеджираната позиция или хеджиращия инструмент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или</w:t>
      </w:r>
    </w:p>
    <w:p w14:paraId="67E64CC7" w14:textId="77777777" w:rsidR="0006074E" w:rsidRPr="007268F9" w:rsidRDefault="003B17AC" w:rsidP="0006074E">
      <w:pPr>
        <w:numPr>
          <w:ilvl w:val="1"/>
          <w:numId w:val="1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модификация, която не води до отписване и не се изисква като пряко следствие от реформата на референтните лихвени проценти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или не се извършва на икономически еквивалентна база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91C539A" w14:textId="77777777" w:rsidR="0006074E" w:rsidRPr="007268F9" w:rsidRDefault="003B17AC" w:rsidP="0006074E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, за да предостави изключение от настоящите изисквания, така че следните промени в документацията за хеджирането, необходими да отразят модификациите, които се изискват като пряко следствие от реформата на референтните лихвени проценти и са извършени на икономически еквивалентна база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не водят до преустановяване на счетоводното отчитане на хеджиране</w:t>
      </w:r>
      <w:r w:rsidR="00941557">
        <w:rPr>
          <w:rFonts w:eastAsia="Times New Roman" w:cs="Helvetica"/>
          <w:color w:val="575757"/>
          <w:sz w:val="24"/>
          <w:szCs w:val="24"/>
          <w:lang w:val="bg-BG"/>
        </w:rPr>
        <w:t>то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1EBFDE3D" w14:textId="77777777" w:rsidR="0006074E" w:rsidRPr="007268F9" w:rsidRDefault="003B17AC" w:rsidP="0006074E">
      <w:pPr>
        <w:numPr>
          <w:ilvl w:val="1"/>
          <w:numId w:val="1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предефиниране на хеджирания риск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 оглед рефериране към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алтернативен референтен лихвен процент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41BD92D7" w14:textId="77777777" w:rsidR="0006074E" w:rsidRPr="007268F9" w:rsidRDefault="003B17AC" w:rsidP="0006074E">
      <w:pPr>
        <w:numPr>
          <w:ilvl w:val="1"/>
          <w:numId w:val="1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предефиниране на описанието на хеджиращите инструменти или хеджираните позиции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 оглед рефериране към алтернативн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ия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референтен лихвен процент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0B7234A" w14:textId="77777777" w:rsidR="0006074E" w:rsidRPr="007268F9" w:rsidRDefault="003B17AC" w:rsidP="0006074E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за да предостави изключение от настоящите изисквания, така че промяна в метода, използван за оценяване ефективността на хеджирането, да не води до преустановяване на счетоводното отчитане на хеджиране, когато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поради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реформата на референтните лихвени проценти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CD2F3F" w:rsidRPr="007268F9">
        <w:rPr>
          <w:rFonts w:eastAsia="Times New Roman" w:cs="Helvetica"/>
          <w:color w:val="575757"/>
          <w:sz w:val="24"/>
          <w:szCs w:val="24"/>
          <w:lang w:val="bg-BG"/>
        </w:rPr>
        <w:t>не е практически приложимо да продължи да се използва същият метод, дефиниран в документацията за хеджирането в началото на хеджиращото взаимоотношение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CD197EA" w14:textId="77777777" w:rsidR="0006074E" w:rsidRPr="007268F9" w:rsidRDefault="00CD2F3F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също така в порядък на работна хипотеза да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за да изисква предприятие, което променя хеджирания риск в документацията за хеджирането по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отношение на портфейлно хеджиране на лихвен риск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както е отбелязано в 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)(i)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по-горе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предполага, че всички позиции, включени в портфейла финансови активи или финансови пасиви споделят риска, който се хеджира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FBDB12A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B428B33" w14:textId="77777777" w:rsidR="0006074E" w:rsidRPr="007268F9" w:rsidRDefault="00CD2F3F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 отношение на промени в документацията за хеджирането, отбелязани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)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по-горе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 предприятието се изисква да продължи да прилага изискванията в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за оценяване на хеджиращия инструмент и хеджираната позиция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признаване на ефективността на хеджирането, които биха могли да възникнат в резултат на съответно произтичащи корекции на оценката, изисквани от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39.</w:t>
      </w:r>
    </w:p>
    <w:p w14:paraId="32E2EF95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Тринадесет от четиринадесетте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отсъстваше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70DE89E" w14:textId="77777777" w:rsidR="0006074E" w:rsidRPr="007268F9" w:rsidRDefault="00CD2F3F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 отношение хеджирането на група позиции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0118F4"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така </w:t>
      </w:r>
      <w:r w:rsidR="004765CE" w:rsidRPr="007268F9">
        <w:rPr>
          <w:rFonts w:eastAsia="Times New Roman" w:cs="Helvetica"/>
          <w:color w:val="575757"/>
          <w:sz w:val="24"/>
          <w:szCs w:val="24"/>
          <w:lang w:val="bg-BG"/>
        </w:rPr>
        <w:t>че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когато позициите в рамките на определена </w:t>
      </w:r>
      <w:r w:rsidR="004765CE" w:rsidRPr="007268F9">
        <w:rPr>
          <w:rFonts w:eastAsia="Times New Roman" w:cs="Helvetica"/>
          <w:color w:val="575757"/>
          <w:sz w:val="24"/>
          <w:szCs w:val="24"/>
          <w:lang w:val="bg-BG"/>
        </w:rPr>
        <w:t>група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се изменят поради </w:t>
      </w:r>
      <w:r w:rsidR="004765CE" w:rsidRPr="007268F9">
        <w:rPr>
          <w:rFonts w:eastAsia="Times New Roman" w:cs="Helvetica"/>
          <w:color w:val="575757"/>
          <w:sz w:val="24"/>
          <w:szCs w:val="24"/>
          <w:lang w:val="bg-BG"/>
        </w:rPr>
        <w:t>модификации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които се изискват като пряко следствие от </w:t>
      </w:r>
      <w:r w:rsidR="003B17AC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реформата на референтните лихвени проценти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са извършени на икономически еквивалентна база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4765CE" w:rsidRPr="007268F9">
        <w:rPr>
          <w:rFonts w:eastAsia="Times New Roman" w:cs="Helvetica"/>
          <w:color w:val="575757"/>
          <w:sz w:val="24"/>
          <w:szCs w:val="24"/>
          <w:lang w:val="bg-BG"/>
        </w:rPr>
        <w:t>на предприятието да се разрешава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7BA1C5CB" w14:textId="77777777" w:rsidR="0006074E" w:rsidRPr="007268F9" w:rsidRDefault="004765CE" w:rsidP="0006074E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измени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документацията за хеджирането, за да дефинира хеджираните позиции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посредством две подгрупи в рамките на определената група от позиции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една, реферираща към първоначалния референтен лихвен процент, и друга – към алтернативния референтен процент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082DF921" w14:textId="77777777" w:rsidR="0006074E" w:rsidRPr="007268F9" w:rsidRDefault="004765CE" w:rsidP="0006074E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извършава теста за пропорционалност поотделно за всяка подгрупа позиции, определени в хеджиращото взаимоотношение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66BB2E8B" w14:textId="77777777" w:rsidR="0006074E" w:rsidRPr="007268F9" w:rsidRDefault="004765CE" w:rsidP="0006074E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третира хеджиращото определение като едно единствено хеджиращо взаимоотношение и да изменя хипотетичния дериватив, за да отрази комбинацията от подгрупите позиции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35F5763E" w14:textId="77777777" w:rsidR="0006074E" w:rsidRPr="007268F9" w:rsidRDefault="004765CE" w:rsidP="0006074E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да третира референтния лихвен процент и алтернативния референтен лихвен процент така, сякаш те споделят сходни рискови </w:t>
      </w:r>
      <w:r w:rsidR="00D62519" w:rsidRPr="007268F9">
        <w:rPr>
          <w:rFonts w:eastAsia="Times New Roman" w:cs="Helvetica"/>
          <w:color w:val="575757"/>
          <w:sz w:val="24"/>
          <w:szCs w:val="24"/>
          <w:lang w:val="bg-BG"/>
        </w:rPr>
        <w:t>характеристики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но само по отношение на </w:t>
      </w:r>
      <w:r w:rsidR="00D62519" w:rsidRPr="007268F9">
        <w:rPr>
          <w:rFonts w:eastAsia="Times New Roman" w:cs="Helvetica"/>
          <w:color w:val="575757"/>
          <w:sz w:val="24"/>
          <w:szCs w:val="24"/>
          <w:lang w:val="bg-BG"/>
        </w:rPr>
        <w:t>група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позиции, определени съгласно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39).</w:t>
      </w:r>
    </w:p>
    <w:p w14:paraId="24C60A02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5C7AAE44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Следващи етапи</w:t>
      </w:r>
    </w:p>
    <w:p w14:paraId="697C41BD" w14:textId="77777777" w:rsidR="0006074E" w:rsidRPr="007268F9" w:rsidRDefault="00D62519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На бъдещи свои заседания Съветът ще обсъди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5EF2E419" w14:textId="77777777" w:rsidR="0006074E" w:rsidRPr="007268F9" w:rsidRDefault="00D62519" w:rsidP="0006074E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кога ще изтече прилагането на изключенията, предоставени във Фаза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 проекта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27257743" w14:textId="77777777" w:rsidR="0006074E" w:rsidRPr="007268F9" w:rsidRDefault="00D62519" w:rsidP="0006074E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въздействието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3B17AC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реформата на референтните лихвени проценти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върху други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стандарти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14:paraId="635D198F" w14:textId="77777777" w:rsidR="0006074E" w:rsidRPr="007268F9" w:rsidRDefault="00D62519" w:rsidP="0006074E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оповестявания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05AA6316" w14:textId="77777777" w:rsidR="0006074E" w:rsidRPr="007268F9" w:rsidRDefault="00D62519" w:rsidP="0006074E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преход и дата на влизане в сила на предложените изменения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4A7F830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6AE9484A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8" w:name="8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Дъщерни предприятия, които са МСП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31)</w:t>
      </w:r>
      <w:bookmarkEnd w:id="8"/>
    </w:p>
    <w:p w14:paraId="12872CA8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>На 12 декември 2019 г. Съветът проведе заседание, за да бъде запознат с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презентация на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Kris Peach, 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>Председател на Австралийския съвет по счетоводни стандарти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(AASB)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>относно предложения от този съвет стандарт за опростени оповестявания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66C8E08D" w14:textId="77777777" w:rsidR="0006074E" w:rsidRPr="007268F9" w:rsidRDefault="000118F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35B71EA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262DFF0B" w14:textId="77777777" w:rsidR="0006074E" w:rsidRPr="007268F9" w:rsidRDefault="00271413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Пред Съвета ще бъде поставен въпросът дали желае да премести проекта относно дъщерните предприятия, които са МСП, в програмата за изготвяне и въвеждане на стандарти.</w:t>
      </w:r>
    </w:p>
    <w:p w14:paraId="4D9E0517" w14:textId="77777777" w:rsidR="0006074E" w:rsidRPr="007268F9" w:rsidRDefault="0006074E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 </w:t>
      </w:r>
    </w:p>
    <w:p w14:paraId="423610C2" w14:textId="77777777" w:rsidR="0006074E" w:rsidRPr="007268F9" w:rsidRDefault="001A6500" w:rsidP="0006074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9" w:name="9"/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Бизнес комбинации под общ контрол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</w:t>
      </w:r>
      <w:r w:rsidR="00C554A0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по програмата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23 </w:t>
      </w:r>
      <w:r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</w:t>
      </w:r>
      <w:r w:rsidR="0006074E" w:rsidRPr="007268F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23A)</w:t>
      </w:r>
      <w:bookmarkEnd w:id="9"/>
    </w:p>
    <w:p w14:paraId="2F2DAE4E" w14:textId="77777777" w:rsidR="0006074E" w:rsidRPr="007268F9" w:rsidRDefault="00533A92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ascii="Calibri" w:eastAsia="Times New Roman" w:hAnsi="Calibri" w:cs="Helvetica"/>
          <w:color w:val="575757"/>
          <w:sz w:val="24"/>
          <w:szCs w:val="24"/>
          <w:lang w:val="bg-BG"/>
        </w:rPr>
        <w:t xml:space="preserve">На 12 декември 2019 г. Съветът проведе заседание, за да обсъди 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>как получаващото предприятие в бизнес комбинация под общ контрол следва да прилага подход</w:t>
      </w:r>
      <w:r w:rsidR="005A10FD" w:rsidRPr="007268F9">
        <w:rPr>
          <w:rFonts w:eastAsia="Times New Roman" w:cs="Helvetica"/>
          <w:color w:val="575757"/>
          <w:sz w:val="24"/>
          <w:szCs w:val="24"/>
          <w:lang w:val="bg-BG"/>
        </w:rPr>
        <w:t>а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на текущата стойност на базата на метода на </w:t>
      </w:r>
      <w:r w:rsidR="005A10FD" w:rsidRPr="007268F9">
        <w:rPr>
          <w:rFonts w:eastAsia="Times New Roman" w:cs="Helvetica"/>
          <w:color w:val="575757"/>
          <w:sz w:val="24"/>
          <w:szCs w:val="24"/>
          <w:lang w:val="bg-BG"/>
        </w:rPr>
        <w:t>придобиване,</w:t>
      </w:r>
      <w:r w:rsidR="00271413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изложен в </w:t>
      </w:r>
      <w:r w:rsidR="00C554A0" w:rsidRPr="007268F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3</w:t>
      </w:r>
      <w:r w:rsidR="005A10FD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A10FD" w:rsidRPr="007268F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0684B949" w14:textId="77777777" w:rsidR="0006074E" w:rsidRPr="007268F9" w:rsidRDefault="000118F4" w:rsidP="00271413">
      <w:pPr>
        <w:shd w:val="clear" w:color="auto" w:fill="FFFFFF"/>
        <w:tabs>
          <w:tab w:val="left" w:pos="6186"/>
        </w:tabs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14:paraId="2CC4DBEB" w14:textId="77777777" w:rsidR="0006074E" w:rsidRPr="007268F9" w:rsidRDefault="005A10FD" w:rsidP="0006074E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изисква получаващото предприятие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признава превишение в справедливата стойност на придобитите разграничими нетни активи над справедливата стойност на прехвърленото възнаграждение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като увеличение на собствения капитал на получаващото предприятие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вноска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),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а не като печалба при изгодна покупка,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в отчета за печалбата или загубата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Единадесет от четиринадесетте членове на Съвета изразиха съгласие, а трима – несъгласие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17359B45" w14:textId="77777777" w:rsidR="0006074E" w:rsidRPr="007268F9" w:rsidRDefault="005A10FD" w:rsidP="0006074E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да не изисква получаващото предприятие да идентифицира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оценява и признава разпределение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118F4" w:rsidRPr="007268F9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7E9251D2" w14:textId="77777777" w:rsidR="0006074E" w:rsidRPr="007268F9" w:rsidRDefault="005A10FD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На бъдещо свое заседание Съветът ще обсъди каква информация относно цената на сделката получаващото предприятие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следва да предостави в пояснителните приложения към финансовия отчет, за да помогне на потребителите да преценят дали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справедливата стойност на прехвърленото възнаграждение надвишава справедливата стойност на придобитото участие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4E59E87D" w14:textId="77777777" w:rsidR="0006074E" w:rsidRPr="007268F9" w:rsidRDefault="00C554A0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6A38DF58" w14:textId="77777777" w:rsidR="0006074E" w:rsidRPr="007268F9" w:rsidRDefault="003E0C24" w:rsidP="0006074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На бъдещи свои заседания Съветът ще обсъди как следва да бъде прилаган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подходът на съществуващите балансови стойности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7268F9">
        <w:rPr>
          <w:rFonts w:eastAsia="Times New Roman" w:cs="Helvetica"/>
          <w:color w:val="575757"/>
          <w:sz w:val="24"/>
          <w:szCs w:val="24"/>
          <w:lang w:val="bg-BG"/>
        </w:rPr>
        <w:t>и каква информация следва да бъде предоставена в пояснителните приложения към финансовия отчет</w:t>
      </w:r>
      <w:r w:rsidR="0006074E" w:rsidRPr="007268F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14:paraId="22DD2E4E" w14:textId="77777777" w:rsidR="004F449B" w:rsidRPr="007268F9" w:rsidRDefault="004F449B">
      <w:pPr>
        <w:rPr>
          <w:lang w:val="bg-BG"/>
        </w:rPr>
      </w:pPr>
    </w:p>
    <w:sectPr w:rsidR="004F449B" w:rsidRPr="007268F9" w:rsidSect="00E90C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07C"/>
    <w:multiLevelType w:val="multilevel"/>
    <w:tmpl w:val="127694A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941F4"/>
    <w:multiLevelType w:val="multilevel"/>
    <w:tmpl w:val="4B987B6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E49D1"/>
    <w:multiLevelType w:val="multilevel"/>
    <w:tmpl w:val="D63433E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A04EA"/>
    <w:multiLevelType w:val="multilevel"/>
    <w:tmpl w:val="66C4F26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020C1"/>
    <w:multiLevelType w:val="multilevel"/>
    <w:tmpl w:val="D9148E8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23957"/>
    <w:multiLevelType w:val="multilevel"/>
    <w:tmpl w:val="0A2CAB2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471EA"/>
    <w:multiLevelType w:val="multilevel"/>
    <w:tmpl w:val="913C4FE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32AB7"/>
    <w:multiLevelType w:val="multilevel"/>
    <w:tmpl w:val="422AB22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329BA"/>
    <w:multiLevelType w:val="multilevel"/>
    <w:tmpl w:val="5DC6F8B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A2B54"/>
    <w:multiLevelType w:val="multilevel"/>
    <w:tmpl w:val="C73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061AB"/>
    <w:multiLevelType w:val="multilevel"/>
    <w:tmpl w:val="6DAE33C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15F75"/>
    <w:multiLevelType w:val="multilevel"/>
    <w:tmpl w:val="9D0A066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E2FC5"/>
    <w:multiLevelType w:val="multilevel"/>
    <w:tmpl w:val="CACC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10B98"/>
    <w:multiLevelType w:val="multilevel"/>
    <w:tmpl w:val="2D265E7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A0D74"/>
    <w:multiLevelType w:val="multilevel"/>
    <w:tmpl w:val="35824C4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708C4"/>
    <w:multiLevelType w:val="multilevel"/>
    <w:tmpl w:val="2F5E94E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4E"/>
    <w:rsid w:val="000118F4"/>
    <w:rsid w:val="0006074E"/>
    <w:rsid w:val="0008567B"/>
    <w:rsid w:val="001A6500"/>
    <w:rsid w:val="001B21AD"/>
    <w:rsid w:val="001B4795"/>
    <w:rsid w:val="001D1C17"/>
    <w:rsid w:val="0021425E"/>
    <w:rsid w:val="00271413"/>
    <w:rsid w:val="00343FCE"/>
    <w:rsid w:val="00375DE0"/>
    <w:rsid w:val="003B17AC"/>
    <w:rsid w:val="003B2CAC"/>
    <w:rsid w:val="003E0C24"/>
    <w:rsid w:val="00415536"/>
    <w:rsid w:val="004765CE"/>
    <w:rsid w:val="004F449B"/>
    <w:rsid w:val="00533A92"/>
    <w:rsid w:val="005A10FD"/>
    <w:rsid w:val="00653562"/>
    <w:rsid w:val="00697EAD"/>
    <w:rsid w:val="007268F9"/>
    <w:rsid w:val="00760069"/>
    <w:rsid w:val="007A36A0"/>
    <w:rsid w:val="0082509E"/>
    <w:rsid w:val="00855554"/>
    <w:rsid w:val="00884B91"/>
    <w:rsid w:val="00941557"/>
    <w:rsid w:val="009A1E8E"/>
    <w:rsid w:val="00AB5483"/>
    <w:rsid w:val="00B515C5"/>
    <w:rsid w:val="00C24DD6"/>
    <w:rsid w:val="00C554A0"/>
    <w:rsid w:val="00CD2F3F"/>
    <w:rsid w:val="00D62519"/>
    <w:rsid w:val="00DC08A9"/>
    <w:rsid w:val="00E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5388"/>
  <w15:docId w15:val="{6D0286A0-0960-4292-88CA-09CDA16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9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5527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december-2019/" TargetMode="External"/><Relationship Id="rId13" Type="http://schemas.openxmlformats.org/officeDocument/2006/relationships/hyperlink" Target="https://www.ifrs.org/news-and-events/updates/iasb-updates/december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december-2019/" TargetMode="External"/><Relationship Id="rId12" Type="http://schemas.openxmlformats.org/officeDocument/2006/relationships/hyperlink" Target="https://www.ifrs.org/news-and-events/updates/iasb-updates/december-201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november-2019/" TargetMode="External"/><Relationship Id="rId11" Type="http://schemas.openxmlformats.org/officeDocument/2006/relationships/hyperlink" Target="https://www.ifrs.org/news-and-events/updates/iasb-updates/december-2019/" TargetMode="External"/><Relationship Id="rId5" Type="http://schemas.openxmlformats.org/officeDocument/2006/relationships/hyperlink" Target="https://www.ifrs.org/news-and-events/updates/iasb-updates/december-2019/" TargetMode="External"/><Relationship Id="rId15" Type="http://schemas.openxmlformats.org/officeDocument/2006/relationships/hyperlink" Target="https://www.ifrs.org/news-and-events/updates/iasb-updates/december-2019/" TargetMode="External"/><Relationship Id="rId10" Type="http://schemas.openxmlformats.org/officeDocument/2006/relationships/hyperlink" Target="https://www.ifrs.org/news-and-events/updates/iasb-updates/december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december-2019/" TargetMode="External"/><Relationship Id="rId14" Type="http://schemas.openxmlformats.org/officeDocument/2006/relationships/hyperlink" Target="https://www.ifrs.org/news-and-events/updates/iasb-updates/november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3421</Words>
  <Characters>20356</Characters>
  <Application>Microsoft Office Word</Application>
  <DocSecurity>0</DocSecurity>
  <Lines>407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Svetoslava Velinova</cp:lastModifiedBy>
  <cp:revision>19</cp:revision>
  <dcterms:created xsi:type="dcterms:W3CDTF">2020-01-07T07:59:00Z</dcterms:created>
  <dcterms:modified xsi:type="dcterms:W3CDTF">2020-01-09T08:19:00Z</dcterms:modified>
</cp:coreProperties>
</file>