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B9" w:rsidRPr="00DF6ECA" w:rsidRDefault="00E46BB9" w:rsidP="00E46BB9">
      <w:pPr>
        <w:shd w:val="clear" w:color="auto" w:fill="FFFFFF"/>
        <w:spacing w:after="0" w:line="240" w:lineRule="auto"/>
        <w:outlineLvl w:val="0"/>
        <w:rPr>
          <w:rFonts w:ascii="Calibri" w:eastAsia="Times New Roman" w:hAnsi="Calibri" w:cs="Helvetica"/>
          <w:b/>
          <w:bCs/>
          <w:color w:val="FFFFFF"/>
          <w:kern w:val="36"/>
          <w:sz w:val="58"/>
          <w:szCs w:val="58"/>
          <w:lang w:val="bg-BG"/>
        </w:rPr>
      </w:pPr>
      <w:r w:rsidRPr="00DF6ECA">
        <w:rPr>
          <w:rFonts w:ascii="Calibri" w:eastAsia="Times New Roman" w:hAnsi="Calibri" w:cs="Helvetica"/>
          <w:b/>
          <w:bCs/>
          <w:color w:val="FFFFFF"/>
          <w:kern w:val="36"/>
          <w:sz w:val="58"/>
          <w:szCs w:val="58"/>
          <w:lang w:val="bg-BG"/>
        </w:rPr>
        <w:t>IASB Update November 2019</w:t>
      </w:r>
    </w:p>
    <w:p w:rsidR="00E46BB9" w:rsidRPr="00DF6ECA" w:rsidRDefault="00E46BB9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</w:p>
    <w:p w:rsidR="00E46BB9" w:rsidRPr="00DF6ECA" w:rsidRDefault="00211A87" w:rsidP="00211A87">
      <w:pPr>
        <w:shd w:val="clear" w:color="auto" w:fill="A41F35"/>
        <w:spacing w:after="0" w:line="240" w:lineRule="auto"/>
        <w:outlineLvl w:val="0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ноември 2019 г.</w:t>
      </w:r>
    </w:p>
    <w:p w:rsidR="00E46BB9" w:rsidRPr="00DF6ECA" w:rsidRDefault="00E46BB9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</w:p>
    <w:p w:rsidR="00E46BB9" w:rsidRPr="00DF6ECA" w:rsidRDefault="00211A87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Настоящият бюлетин на Съвета по международни счетоводни стандарти (IASB) (”Съветът”) представя предварителните решения на Съвета. Окончателните решения на Съвета по международни счетоводни стандарти относно: МСФО стандарти (IFRS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vertAlign w:val="superscript"/>
          <w:lang w:val="bg-BG"/>
        </w:rPr>
        <w:t>®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vertAlign w:val="superscript"/>
          <w:lang w:val="bg-BG"/>
        </w:rPr>
        <w:t>®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DF6ECA">
        <w:rPr>
          <w:rFonts w:ascii="Calibri" w:eastAsia="Times New Roman" w:hAnsi="Calibri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на Фондация МСФО (IFRS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vertAlign w:val="superscript"/>
          <w:lang w:val="bg-BG"/>
        </w:rPr>
        <w:t>®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(IFRS Interpretation Committee)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 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br/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br/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проведе заседания от 19 ноември 2019 г., вторник, до 20 ноември 2019 г., сряда, в офисите на Фондация МСФО в Лондон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211A87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DF6ECA" w:rsidP="00E46BB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hyperlink r:id="rId5" w:anchor="1" w:history="1">
        <w:r w:rsidR="00211A87"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</w:hyperlink>
    </w:p>
    <w:p w:rsidR="00E46BB9" w:rsidRPr="00DF6ECA" w:rsidRDefault="00DF6ECA" w:rsidP="00E46BB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hyperlink r:id="rId6" w:anchor="2" w:history="1">
        <w:r w:rsidR="00211A87"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>Дъщерни предприятия, които са МСП</w:t>
        </w:r>
      </w:hyperlink>
    </w:p>
    <w:p w:rsidR="00E46BB9" w:rsidRPr="00DF6ECA" w:rsidRDefault="00DF6ECA" w:rsidP="00E46BB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hyperlink r:id="rId7" w:anchor="3" w:history="1">
        <w:r w:rsidR="00211A87"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</w:hyperlink>
    </w:p>
    <w:p w:rsidR="00E46BB9" w:rsidRPr="00DF6ECA" w:rsidRDefault="00DF6ECA" w:rsidP="00E46BB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hyperlink r:id="rId8" w:anchor="4" w:history="1">
        <w:r w:rsidR="00211A87"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>Препратки в МСФО 3 към Концептуалната рамка</w:t>
        </w:r>
      </w:hyperlink>
    </w:p>
    <w:p w:rsidR="00E46BB9" w:rsidRPr="00DF6ECA" w:rsidRDefault="00DF6ECA" w:rsidP="00E46BB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hyperlink r:id="rId9" w:anchor="5" w:history="1">
        <w:r w:rsidR="00211A87"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</w:hyperlink>
    </w:p>
    <w:p w:rsidR="00E46BB9" w:rsidRPr="00DF6ECA" w:rsidRDefault="00DF6ECA" w:rsidP="00E46BB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hyperlink r:id="rId10" w:anchor="6" w:history="1">
        <w:r w:rsidR="00211A87"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>Изменения в МСФО</w:t>
        </w:r>
        <w:r w:rsidR="00E46BB9"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 xml:space="preserve"> 17</w:t>
        </w:r>
        <w:r w:rsidR="00E46BB9" w:rsidRPr="00DF6ECA">
          <w:rPr>
            <w:rFonts w:ascii="Calibri" w:eastAsia="Times New Roman" w:hAnsi="Calibri" w:cs="Helvetica"/>
            <w:i/>
            <w:iCs/>
            <w:color w:val="CD3333"/>
            <w:sz w:val="24"/>
            <w:szCs w:val="24"/>
            <w:lang w:val="bg-BG"/>
          </w:rPr>
          <w:t> </w:t>
        </w:r>
        <w:r w:rsidR="00211A87" w:rsidRPr="00DF6ECA">
          <w:rPr>
            <w:rFonts w:ascii="Calibri" w:eastAsia="Times New Roman" w:hAnsi="Calibri" w:cs="Helvetica"/>
            <w:i/>
            <w:iCs/>
            <w:color w:val="CD3333"/>
            <w:sz w:val="24"/>
            <w:szCs w:val="24"/>
            <w:lang w:val="bg-BG"/>
          </w:rPr>
          <w:t>Застрахователни договори</w:t>
        </w:r>
      </w:hyperlink>
    </w:p>
    <w:p w:rsidR="00E46BB9" w:rsidRPr="00DF6ECA" w:rsidRDefault="00DF6ECA" w:rsidP="00E46BB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hyperlink r:id="rId11" w:anchor="7" w:history="1">
        <w:r w:rsidR="00211A87"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>Въпрос</w:t>
        </w:r>
        <w:r w:rsidR="000C282F"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>и</w:t>
        </w:r>
        <w:r w:rsidR="00211A87"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>, свързани с въвеждането и прилагането на стандартите</w:t>
        </w:r>
      </w:hyperlink>
    </w:p>
    <w:p w:rsidR="00E46BB9" w:rsidRPr="00DF6ECA" w:rsidRDefault="00211A87" w:rsidP="00E46BB9">
      <w:pPr>
        <w:shd w:val="clear" w:color="auto" w:fill="F6F6F6"/>
        <w:spacing w:before="225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Допълнителна информация</w:t>
      </w:r>
    </w:p>
    <w:p w:rsidR="00E46BB9" w:rsidRPr="00DF6ECA" w:rsidRDefault="00211A87" w:rsidP="00E46BB9">
      <w:pPr>
        <w:shd w:val="clear" w:color="auto" w:fill="F6F6F6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E46BB9" w:rsidP="00E46BB9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18–22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ноември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2019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г.</w:t>
      </w:r>
    </w:p>
    <w:p w:rsidR="00E46BB9" w:rsidRPr="00DF6ECA" w:rsidRDefault="00E46BB9" w:rsidP="00E46BB9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9–12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декември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2019</w:t>
      </w:r>
    </w:p>
    <w:p w:rsidR="00E46BB9" w:rsidRPr="00DF6ECA" w:rsidRDefault="00E46BB9" w:rsidP="00E46BB9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27–31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януари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2020</w:t>
      </w:r>
    </w:p>
    <w:p w:rsidR="00E46BB9" w:rsidRPr="00DF6ECA" w:rsidRDefault="00211A87" w:rsidP="00E46BB9">
      <w:pPr>
        <w:shd w:val="clear" w:color="auto" w:fill="FFFFFF"/>
        <w:spacing w:before="450" w:after="300" w:line="240" w:lineRule="auto"/>
        <w:outlineLvl w:val="1"/>
        <w:rPr>
          <w:rFonts w:ascii="Calibri" w:eastAsia="Times New Roman" w:hAnsi="Calibri" w:cs="Helvetica"/>
          <w:b/>
          <w:bCs/>
          <w:color w:val="333333"/>
          <w:sz w:val="34"/>
          <w:szCs w:val="34"/>
          <w:lang w:val="bg-BG"/>
        </w:rPr>
      </w:pPr>
      <w:bookmarkStart w:id="0" w:name="1"/>
      <w:r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Основни финансови отчети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(</w:t>
      </w:r>
      <w:r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21)</w:t>
      </w:r>
      <w:bookmarkEnd w:id="0"/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19 ноември 2019 г. Съветът проведе заседание, за да обсъди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C706B6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как от предприятието да бъде изисквано да класифицира в отчета за печалбата или загубата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C706B6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приходите и разходите от инвестиции в неразделно свързани асоциирани и съвместни предприятия, различни от дела от печалбата или загубата от такива инвестиции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C706B6" w:rsidP="00E46BB9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 изисква предприятието да класифицира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приходите и разходите от инвестиции в неразделно свързани асоциирани и съвместни предприятия в категорията от отчета за печалбата или загубата „неразделно свързани асоциирани и съвместни предприятия”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;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</w:t>
      </w:r>
    </w:p>
    <w:p w:rsidR="00E46BB9" w:rsidRPr="00DF6ECA" w:rsidRDefault="00FB29E6" w:rsidP="00E46BB9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да </w:t>
      </w:r>
      <w:r w:rsidR="00C706B6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посочи, че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C706B6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приходите и разходите от неразделно свързани асоциирани и съвместни предприятия включват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, </w:t>
      </w:r>
      <w:r w:rsidR="00C706B6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 допълнение към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C706B6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дела от печалбата или загубата на неразделно свързани асоциирани и съвместни предприятия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C706B6" w:rsidP="00E46BB9">
      <w:pPr>
        <w:numPr>
          <w:ilvl w:val="1"/>
          <w:numId w:val="3"/>
        </w:numPr>
        <w:shd w:val="clear" w:color="auto" w:fill="FFFFFF"/>
        <w:spacing w:before="75" w:after="75" w:line="240" w:lineRule="auto"/>
        <w:ind w:left="121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загуби от обезценка и сторно на загуби от обезценка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неразделно свързани асоциирани и съвместни предприятия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;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</w:t>
      </w:r>
    </w:p>
    <w:p w:rsidR="00E46BB9" w:rsidRPr="00DF6ECA" w:rsidRDefault="00C706B6" w:rsidP="00E46BB9">
      <w:pPr>
        <w:numPr>
          <w:ilvl w:val="1"/>
          <w:numId w:val="3"/>
        </w:numPr>
        <w:shd w:val="clear" w:color="auto" w:fill="FFFFFF"/>
        <w:spacing w:before="75" w:after="75" w:line="240" w:lineRule="auto"/>
        <w:ind w:left="121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печалби или загуби при освобождаване от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неразделно свързани асоциирани и съвместни предприятия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C706B6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E46BB9" w:rsidRPr="00DF6ECA" w:rsidRDefault="008664CE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lastRenderedPageBreak/>
        <w:t>Екипът ще продължи работата по изготвянето на проекта за обсъждане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E46BB9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 </w:t>
      </w:r>
    </w:p>
    <w:p w:rsidR="00E46BB9" w:rsidRPr="00DF6ECA" w:rsidRDefault="008664CE" w:rsidP="00E46BB9">
      <w:pPr>
        <w:shd w:val="clear" w:color="auto" w:fill="FFFFFF"/>
        <w:spacing w:before="450" w:after="300" w:line="240" w:lineRule="auto"/>
        <w:outlineLvl w:val="1"/>
        <w:rPr>
          <w:rFonts w:ascii="Calibri" w:eastAsia="Times New Roman" w:hAnsi="Calibri" w:cs="Helvetica"/>
          <w:b/>
          <w:bCs/>
          <w:color w:val="333333"/>
          <w:sz w:val="34"/>
          <w:szCs w:val="34"/>
          <w:lang w:val="bg-BG"/>
        </w:rPr>
      </w:pPr>
      <w:bookmarkStart w:id="1" w:name="2"/>
      <w:r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Дъщерни предприятия, които са МСП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211A87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31)</w:t>
      </w:r>
      <w:bookmarkEnd w:id="1"/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На 19 ноември 2019 г. Съветът проведе заседание, за да обсъди </w:t>
      </w:r>
      <w:r w:rsidR="008664CE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два въпроса, които възникнаха по време на проведеното през септември 2019 г. заседание на Съвета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393CA5" w:rsidP="00E46BB9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потенциалните ползи за съставителите на финансови отчети от проекта относно дъщерни предприятия, които са МСП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;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</w:t>
      </w:r>
    </w:p>
    <w:p w:rsidR="00E46BB9" w:rsidRPr="00DF6ECA" w:rsidRDefault="00393CA5" w:rsidP="00E46BB9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обхвата на проекта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393CA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 относно това как проектът може да е от полза за съставителите на финансови отчети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393CA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реши да разгледа обхвата на проекта само след като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е съпоставил повечето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стандарти със съответстващите им раздели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в стандарта </w:t>
      </w:r>
      <w:r w:rsidR="00211A87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за МСП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. </w:t>
      </w:r>
      <w:r w:rsidR="008664CE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E46BB9" w:rsidRPr="00DF6ECA" w:rsidRDefault="00393CA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заседанието си през декември 2019 г. Съветът ще бъде запознат с доклад на Австралийския съвет по счетоводни стандарти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(AASB)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във връзка с проекта на този Съвет, посветен на </w:t>
      </w:r>
      <w:r w:rsidR="00FB29E6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намаляване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изискванията за оповестяване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E46BB9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 </w:t>
      </w:r>
    </w:p>
    <w:p w:rsidR="00E46BB9" w:rsidRPr="00DF6ECA" w:rsidRDefault="00393CA5" w:rsidP="00E46BB9">
      <w:pPr>
        <w:shd w:val="clear" w:color="auto" w:fill="FFFFFF"/>
        <w:spacing w:before="450" w:after="300" w:line="240" w:lineRule="auto"/>
        <w:outlineLvl w:val="1"/>
        <w:rPr>
          <w:rFonts w:ascii="Calibri" w:eastAsia="Times New Roman" w:hAnsi="Calibri" w:cs="Helvetica"/>
          <w:b/>
          <w:bCs/>
          <w:color w:val="333333"/>
          <w:sz w:val="34"/>
          <w:szCs w:val="34"/>
          <w:lang w:val="bg-BG"/>
        </w:rPr>
      </w:pPr>
      <w:bookmarkStart w:id="2" w:name="3"/>
      <w:r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Инициатива за оповестяване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—</w:t>
      </w:r>
      <w:r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Целеви преглед на оповестяванията на ниво стандарти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211A87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11)</w:t>
      </w:r>
      <w:bookmarkEnd w:id="2"/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lastRenderedPageBreak/>
        <w:t xml:space="preserve">На 19 ноември 2019 г. Съветът проведе заседание, за да обсъди </w:t>
      </w:r>
      <w:r w:rsidR="00FE35D1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информацията, която би могла да бъде използвана, за да се изпълни целта на оповестяванията, за която Съветът взе в порядък на работна хипотеза решение във връзка с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МСС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19 </w:t>
      </w:r>
      <w:r w:rsidR="00FE35D1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Доходи на наети лица</w:t>
      </w:r>
      <w:r w:rsidR="00E46BB9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 </w:t>
      </w:r>
      <w:r w:rsidR="00FE35D1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13 </w:t>
      </w:r>
      <w:r w:rsidR="00FE35D1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Оценяване по справедлива стойност</w:t>
      </w:r>
      <w:r w:rsidR="00E46BB9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.</w:t>
      </w:r>
    </w:p>
    <w:p w:rsidR="00E46BB9" w:rsidRPr="00DF6ECA" w:rsidRDefault="00FE35D1" w:rsidP="00E46BB9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Езикови съображения 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(</w:t>
      </w:r>
      <w:r w:rsidR="00211A87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11A)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реши в порядък на работна хипотеза да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FE35D1" w:rsidP="00E46BB9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използва предписващата изисквания фраза „следва да“, когато дадена информация винаги е съществена за удовлетворяване на специфична</w:t>
      </w:r>
      <w:r w:rsidR="00FB29E6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та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цел на оповестяването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;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</w:t>
      </w:r>
    </w:p>
    <w:p w:rsidR="00E46BB9" w:rsidRPr="00DF6ECA" w:rsidRDefault="00FE35D1" w:rsidP="00E46BB9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използва фразата с по-малко предписателен характер „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макар да не е задължително, следното може да даде възможност на предприятието да изпълни тази цел“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за въвеждане на останалата информация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8664CE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– несъгласие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B40335" w:rsidP="00E46BB9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МСС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19 </w:t>
      </w:r>
      <w:r w:rsidR="00FE35D1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– информация за оповестяване 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(</w:t>
      </w:r>
      <w:r w:rsidR="00211A87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11</w:t>
      </w:r>
      <w:r w:rsidR="00FE35D1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Б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)</w:t>
      </w:r>
    </w:p>
    <w:p w:rsidR="00E46BB9" w:rsidRPr="00DF6ECA" w:rsidRDefault="00FE35D1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Преди това Съветът бе обсъдила подробни и специфични цели на оповестяването за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B40335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МСС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19</w:t>
      </w:r>
      <w:r w:rsidR="00FB62F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, които от предприятието ще се изисква да спазва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(</w:t>
      </w:r>
      <w:r w:rsidR="00FB62F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виж </w:t>
      </w:r>
      <w:hyperlink r:id="rId12" w:anchor="9" w:history="1">
        <w:r w:rsidR="00FB62F4"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>Бюлетин с актуална информация на</w:t>
        </w:r>
        <w:r w:rsidR="00E46BB9"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 xml:space="preserve"> IASB</w:t>
        </w:r>
        <w:r w:rsidR="00FB62F4"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 xml:space="preserve"> юли 2019 г.</w:t>
        </w:r>
      </w:hyperlink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1"/>
        <w:gridCol w:w="6611"/>
      </w:tblGrid>
      <w:tr w:rsidR="00B40335" w:rsidRPr="00DF6ECA" w:rsidTr="00464910">
        <w:tc>
          <w:tcPr>
            <w:tcW w:w="6611" w:type="dxa"/>
          </w:tcPr>
          <w:p w:rsidR="00B40335" w:rsidRPr="00DF6ECA" w:rsidRDefault="00FB62F4" w:rsidP="00464910">
            <w:pPr>
              <w:rPr>
                <w:rFonts w:ascii="Calibri" w:hAnsi="Calibri"/>
                <w:b/>
                <w:bCs/>
                <w:sz w:val="24"/>
                <w:szCs w:val="24"/>
                <w:lang w:val="bg-BG"/>
              </w:rPr>
            </w:pPr>
            <w:r w:rsidRPr="00DF6ECA">
              <w:rPr>
                <w:rStyle w:val="Strong"/>
                <w:rFonts w:ascii="Calibri" w:hAnsi="Calibri"/>
                <w:sz w:val="24"/>
                <w:szCs w:val="24"/>
                <w:lang w:val="bg-BG"/>
              </w:rPr>
              <w:t>Специфични цели на оповестяването</w:t>
            </w:r>
          </w:p>
        </w:tc>
        <w:tc>
          <w:tcPr>
            <w:tcW w:w="6611" w:type="dxa"/>
            <w:vAlign w:val="center"/>
          </w:tcPr>
          <w:p w:rsidR="00B40335" w:rsidRPr="00DF6ECA" w:rsidRDefault="00FB62F4" w:rsidP="00FB62F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bg-BG"/>
              </w:rPr>
            </w:pPr>
            <w:r w:rsidRPr="00DF6ECA">
              <w:rPr>
                <w:rStyle w:val="Strong"/>
                <w:rFonts w:ascii="Calibri" w:hAnsi="Calibri"/>
                <w:sz w:val="24"/>
                <w:szCs w:val="24"/>
                <w:lang w:val="bg-BG"/>
              </w:rPr>
              <w:t>Взетите в порядък на работна хипотеза от Съвета решения относно необходимата информация, за да могат предприятията да изпълнят специфичните цели на оповестяването</w:t>
            </w:r>
          </w:p>
        </w:tc>
      </w:tr>
      <w:tr w:rsidR="00B40335" w:rsidRPr="00DF6ECA" w:rsidTr="00464910">
        <w:tc>
          <w:tcPr>
            <w:tcW w:w="6611" w:type="dxa"/>
          </w:tcPr>
          <w:p w:rsidR="00B40335" w:rsidRPr="00DF6ECA" w:rsidRDefault="00FB62F4" w:rsidP="00464910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Предприятието следва да оповестява информация, която да дава възможност на потребителите на финансови отчети да разберат сумите и компонентите на тези суми в отчетите за финансовите резултати от дейността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финансовото състояние и паричните потоци, възникващи от плановете му с дефинирани доходи през отчетния период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6611" w:type="dxa"/>
            <w:vAlign w:val="center"/>
          </w:tcPr>
          <w:p w:rsidR="00B40335" w:rsidRPr="00DF6ECA" w:rsidRDefault="00FB62F4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t>Предприятието следва да оповестява</w:t>
            </w:r>
            <w:r w:rsidR="00B40335" w:rsidRPr="00DF6ECA">
              <w:rPr>
                <w:rFonts w:ascii="Calibri" w:hAnsi="Calibri"/>
                <w:lang w:val="bg-BG"/>
              </w:rPr>
              <w:t>:</w:t>
            </w:r>
          </w:p>
          <w:p w:rsidR="00B40335" w:rsidRPr="00DF6ECA" w:rsidRDefault="00FB62F4" w:rsidP="00B4033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разбивка на общата сума на приходите или разходите в печалбата или загубата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идентифицирайки нейните компоненти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включително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разходи за текущ трудов стаж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разходи за минал трудов стаж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печалба или загуба при уреждане и нетна лихва по нетния пасив за дефинирани доходи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C77403" w:rsidP="00B4033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разбивка на общата сума на приходите или разходите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>в друг всеобхватен доход, идентифицирайки нейните компоненти, включително актюерски печалби или загуби и възвръщаемост на активите на плана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C77403" w:rsidP="00B4033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разбивка на актива или пасива в отчета за финансовото състояние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идентифицирайки неговите компоненти, включително справедливата стойност на активите на плана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настояща</w:t>
            </w:r>
            <w:r w:rsidR="00FB29E6" w:rsidRPr="00DF6ECA">
              <w:rPr>
                <w:rFonts w:ascii="Calibri" w:hAnsi="Calibri"/>
                <w:sz w:val="24"/>
                <w:szCs w:val="24"/>
                <w:lang w:val="bg-BG"/>
              </w:rPr>
              <w:t>та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стойност на задължението за дефинирани доходи и ефекта на тавана на актива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C77403" w:rsidP="00B4033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отсрочения данъчен актив или пасив, възникващ от плана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C77403" w:rsidP="00B40335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разбивка на сумите в отчета за паричните потоци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идентифицирайки нейните компоненти, включително вноските от работодателя в плана през периода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C706B6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eastAsia="Times New Roman" w:hAnsi="Calibri" w:cs="Helvetica"/>
                <w:color w:val="575757"/>
                <w:sz w:val="24"/>
                <w:szCs w:val="24"/>
                <w:lang w:val="bg-BG"/>
              </w:rPr>
              <w:t>Тринадесет от четиринадесетте членове на Съвета изразиха съгласие, а един - несъгласие с това решение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</w:tr>
      <w:tr w:rsidR="00B40335" w:rsidRPr="00DF6ECA" w:rsidTr="00464910">
        <w:tc>
          <w:tcPr>
            <w:tcW w:w="6611" w:type="dxa"/>
          </w:tcPr>
          <w:p w:rsidR="00B40335" w:rsidRPr="00DF6ECA" w:rsidRDefault="00533137" w:rsidP="00464910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lastRenderedPageBreak/>
              <w:t>Предприятието следва да оповестява информация, която да дава възможност на потребителите на финансови отчети да разберат</w:t>
            </w:r>
            <w:r w:rsidR="00B40335" w:rsidRPr="00DF6ECA">
              <w:rPr>
                <w:rFonts w:ascii="Calibri" w:hAnsi="Calibri"/>
                <w:lang w:val="bg-BG"/>
              </w:rPr>
              <w:t>:</w:t>
            </w:r>
          </w:p>
          <w:p w:rsidR="00B40335" w:rsidRPr="00DF6ECA" w:rsidRDefault="00533137" w:rsidP="00464910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естеството на доходите, предоставяни от неговите планове за дефинирани доходи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;</w:t>
            </w:r>
          </w:p>
          <w:p w:rsidR="00B40335" w:rsidRPr="00DF6ECA" w:rsidRDefault="00533137" w:rsidP="00464910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естеството и мащаба на рисковете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в частност инвестиционните рискове, на които плановете излагат предприятието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;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и</w:t>
            </w:r>
          </w:p>
          <w:p w:rsidR="00B40335" w:rsidRPr="00DF6ECA" w:rsidRDefault="00533137" w:rsidP="00464910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стратегиите, които предприятието е въвело в действие, за да управлява плановете и свързаните с тях рискове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6611" w:type="dxa"/>
            <w:vAlign w:val="center"/>
          </w:tcPr>
          <w:p w:rsidR="00B40335" w:rsidRPr="00DF6ECA" w:rsidRDefault="00533137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Макар и да не е задължителна, следната информация може да даде възможност на предприятието да изпълни тази цел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: </w:t>
            </w:r>
          </w:p>
          <w:p w:rsidR="00B40335" w:rsidRPr="00DF6ECA" w:rsidRDefault="00533137" w:rsidP="00B4033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описание на естеството на </w:t>
            </w:r>
            <w:r w:rsidR="00FB29E6" w:rsidRPr="00DF6ECA">
              <w:rPr>
                <w:rFonts w:ascii="Calibri" w:hAnsi="Calibri"/>
                <w:sz w:val="24"/>
                <w:szCs w:val="24"/>
                <w:lang w:val="bg-BG"/>
              </w:rPr>
              <w:t>доходите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, предоставяни от плановете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533137" w:rsidP="00B4033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статута на плановете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като например това дали те са отворени или затворени за нови членове и дали са нефинансирани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частично финансирани или изцяло финансирани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533137" w:rsidP="00B4033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 начина, по който плановете се управляват и ръководят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включително евентуална регулаторна рамка, която оказва влияние върху начина, по който плановете функционират.</w:t>
            </w:r>
          </w:p>
          <w:p w:rsidR="00B40335" w:rsidRPr="00DF6ECA" w:rsidRDefault="00533137" w:rsidP="00B4033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 специфични за конкретния план инвестиционни рискове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включително съществена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>концентрация на рискове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.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Например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ако активите на плана са инвестирани основно в един клас инвестиции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обяснение на рисковете, на които такава концентрация излага предприятието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533137" w:rsidP="00B4033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 политиките и процесите, използвани от предприятието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или попечителите на плана за управление на рисковете в точка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4.</w:t>
            </w:r>
          </w:p>
          <w:p w:rsidR="00B40335" w:rsidRPr="00DF6ECA" w:rsidRDefault="00533137" w:rsidP="00B4033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 инвестиционните стратегии за плановете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533137" w:rsidP="00B4033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разбивка на справедливата стойност на активите на плана по класове активи, която да направи разграничение на рисковете и характеристиките на тези активи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511DC0" w:rsidP="00B40335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очакваната възвръщаемост на активите на плана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C706B6">
            <w:pPr>
              <w:pStyle w:val="NormalWeb"/>
              <w:spacing w:before="120" w:beforeAutospacing="0" w:after="120" w:afterAutospacing="0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 w:cs="Helvetica"/>
                <w:color w:val="575757"/>
                <w:lang w:val="bg-BG"/>
              </w:rPr>
              <w:t>Тринадесет от четиринадесетте членове на Съвета изразиха съгласие, а един - несъгласие с това решение</w:t>
            </w:r>
            <w:r w:rsidR="00B40335" w:rsidRPr="00DF6ECA">
              <w:rPr>
                <w:rFonts w:ascii="Calibri" w:hAnsi="Calibri"/>
                <w:lang w:val="bg-BG"/>
              </w:rPr>
              <w:t>.</w:t>
            </w:r>
          </w:p>
          <w:p w:rsidR="00B40335" w:rsidRPr="00DF6ECA" w:rsidRDefault="00D65A29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t>Допълнителната информация, която</w:t>
            </w:r>
            <w:r w:rsidR="00B40335" w:rsidRPr="00DF6ECA">
              <w:rPr>
                <w:rFonts w:ascii="Calibri" w:hAnsi="Calibri"/>
                <w:lang w:val="bg-BG"/>
              </w:rPr>
              <w:t xml:space="preserve"> </w:t>
            </w:r>
            <w:r w:rsidRPr="00DF6ECA">
              <w:rPr>
                <w:rFonts w:ascii="Calibri" w:hAnsi="Calibri"/>
                <w:lang w:val="bg-BG"/>
              </w:rPr>
              <w:t>би могла да даде възможност на предприятието да удовлетвори всички части на тази цел</w:t>
            </w:r>
            <w:r w:rsidR="00B40335" w:rsidRPr="00DF6ECA">
              <w:rPr>
                <w:rFonts w:ascii="Calibri" w:hAnsi="Calibri"/>
                <w:lang w:val="bg-BG"/>
              </w:rPr>
              <w:t xml:space="preserve"> </w:t>
            </w:r>
            <w:r w:rsidRPr="00DF6ECA">
              <w:rPr>
                <w:rFonts w:ascii="Calibri" w:hAnsi="Calibri"/>
                <w:lang w:val="bg-BG"/>
              </w:rPr>
              <w:t>по отношение на планове на множество работодатели и групови планове за дефинирани доходи включва</w:t>
            </w:r>
            <w:r w:rsidR="00B40335" w:rsidRPr="00DF6ECA">
              <w:rPr>
                <w:rFonts w:ascii="Calibri" w:hAnsi="Calibri"/>
                <w:lang w:val="bg-BG"/>
              </w:rPr>
              <w:t>:</w:t>
            </w:r>
          </w:p>
          <w:p w:rsidR="00B40335" w:rsidRPr="00DF6ECA" w:rsidRDefault="00D65A29" w:rsidP="00B4033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степента на участие на предприятието в плановете в сравнение с други участващи предприятия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D65A29" w:rsidP="00B4033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 заявена политика за определяне на вноската, която трябва да бъде платена от предприятието в тези планове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D65A29" w:rsidP="00B40335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описание на степента, в която предприятието може да носи отговорност пред плановете за задължения на други предприятия съгласно условията на тези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>планове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C706B6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eastAsia="Times New Roman" w:hAnsi="Calibri" w:cs="Helvetica"/>
                <w:color w:val="575757"/>
                <w:sz w:val="24"/>
                <w:szCs w:val="24"/>
                <w:lang w:val="bg-BG"/>
              </w:rPr>
              <w:t>Тринадесет от четиринадесетте членове на Съвета изразиха съгласие, а един - несъгласие с това решение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. </w:t>
            </w:r>
          </w:p>
        </w:tc>
      </w:tr>
      <w:tr w:rsidR="00B40335" w:rsidRPr="00DF6ECA" w:rsidTr="00464910">
        <w:tc>
          <w:tcPr>
            <w:tcW w:w="6611" w:type="dxa"/>
          </w:tcPr>
          <w:p w:rsidR="00B40335" w:rsidRPr="00DF6ECA" w:rsidRDefault="00D65A29" w:rsidP="00464910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lastRenderedPageBreak/>
              <w:t>Предприятието следва да оповестява информация, която да дава възможност на потребителите на финансови отчети да разберат очакваните бъдещи парични потоци, произтичащи от задължението за дефинирани доходи, и естеството на тези парични потоци.</w:t>
            </w:r>
          </w:p>
        </w:tc>
        <w:tc>
          <w:tcPr>
            <w:tcW w:w="6611" w:type="dxa"/>
            <w:vAlign w:val="center"/>
          </w:tcPr>
          <w:p w:rsidR="00B40335" w:rsidRPr="00DF6ECA" w:rsidRDefault="00D65A29" w:rsidP="00D65A29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t>Съветът даде указания на екипа да подготви и представи на бъдещо заседание на Съвета допълнителен анализ относно информацията, която е необходима, за да бъде изпълнена тази специфична цел на оповестяването.</w:t>
            </w:r>
          </w:p>
        </w:tc>
      </w:tr>
      <w:tr w:rsidR="00B40335" w:rsidRPr="00DF6ECA" w:rsidTr="00464910">
        <w:tc>
          <w:tcPr>
            <w:tcW w:w="6611" w:type="dxa"/>
          </w:tcPr>
          <w:p w:rsidR="00B40335" w:rsidRPr="00DF6ECA" w:rsidRDefault="00D65A29" w:rsidP="00464910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Предприятието следва да оповестява информация, която да дава възможност на потребителите на финансови отчети да разберат периода от време, в течение на който плащания ще продължат да бъдат извършвани към членове на планове</w:t>
            </w:r>
            <w:r w:rsidR="002255CB" w:rsidRPr="00DF6ECA">
              <w:rPr>
                <w:rFonts w:ascii="Calibri" w:hAnsi="Calibri"/>
                <w:sz w:val="24"/>
                <w:szCs w:val="24"/>
                <w:lang w:val="bg-BG"/>
              </w:rPr>
              <w:t>, които са закрити за нови членове, и по отношение на които предприятието продължава да има задължение.</w:t>
            </w:r>
          </w:p>
        </w:tc>
        <w:tc>
          <w:tcPr>
            <w:tcW w:w="6611" w:type="dxa"/>
            <w:vAlign w:val="center"/>
          </w:tcPr>
          <w:p w:rsidR="00B40335" w:rsidRPr="00DF6ECA" w:rsidRDefault="002255CB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t>Макар и да не е задължителна, следната информация може да даде възможност на предприятието да изпълни тази цел</w:t>
            </w:r>
            <w:r w:rsidR="00B40335" w:rsidRPr="00DF6ECA">
              <w:rPr>
                <w:rFonts w:ascii="Calibri" w:hAnsi="Calibri"/>
                <w:lang w:val="bg-BG"/>
              </w:rPr>
              <w:t>:</w:t>
            </w:r>
          </w:p>
          <w:p w:rsidR="00B40335" w:rsidRPr="00DF6ECA" w:rsidRDefault="002255CB" w:rsidP="00B4033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среднопретеглената продължителност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на задължението за дефинирани доходи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2255CB" w:rsidP="00B40335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броя години, през които доходите, подлежащи на изплащане от плана, се очаква да бъдат плащани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C706B6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eastAsia="Times New Roman" w:hAnsi="Calibri" w:cs="Helvetica"/>
                <w:color w:val="575757"/>
                <w:sz w:val="24"/>
                <w:szCs w:val="24"/>
                <w:lang w:val="bg-BG"/>
              </w:rPr>
              <w:t>Тринадесет от четиринадесетте членове на Съвета изразиха съгласие, а един - несъгласие с това решение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</w:tr>
      <w:tr w:rsidR="00B40335" w:rsidRPr="00DF6ECA" w:rsidTr="00464910">
        <w:tc>
          <w:tcPr>
            <w:tcW w:w="6611" w:type="dxa"/>
          </w:tcPr>
          <w:p w:rsidR="00B40335" w:rsidRPr="00DF6ECA" w:rsidRDefault="00D65A29" w:rsidP="00464910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t xml:space="preserve">Предприятието следва да оповестява информация, която да дава възможност на потребителите на финансови отчети да разберат </w:t>
            </w:r>
            <w:r w:rsidR="002255CB" w:rsidRPr="00DF6ECA">
              <w:rPr>
                <w:rFonts w:ascii="Calibri" w:hAnsi="Calibri"/>
                <w:lang w:val="bg-BG"/>
              </w:rPr>
              <w:t>съществените предположения, използвани при определяне на задължението за дефинирани доходи</w:t>
            </w:r>
            <w:r w:rsidR="00B40335" w:rsidRPr="00DF6ECA">
              <w:rPr>
                <w:rFonts w:ascii="Calibri" w:hAnsi="Calibri"/>
                <w:lang w:val="bg-BG"/>
              </w:rPr>
              <w:t>.</w:t>
            </w:r>
          </w:p>
        </w:tc>
        <w:tc>
          <w:tcPr>
            <w:tcW w:w="6611" w:type="dxa"/>
            <w:vAlign w:val="center"/>
          </w:tcPr>
          <w:p w:rsidR="00B40335" w:rsidRPr="00DF6ECA" w:rsidRDefault="002255CB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t>Макар и да не е задължителна, следната информация може да даде възможност на предприятието да изпълни тази цел</w:t>
            </w:r>
            <w:r w:rsidR="00B40335" w:rsidRPr="00DF6ECA">
              <w:rPr>
                <w:rFonts w:ascii="Calibri" w:hAnsi="Calibri"/>
                <w:lang w:val="bg-BG"/>
              </w:rPr>
              <w:t>:</w:t>
            </w:r>
          </w:p>
          <w:p w:rsidR="00B40335" w:rsidRPr="00DF6ECA" w:rsidRDefault="00AE6F3A" w:rsidP="00B4033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използваните демографски и финансови предположения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;</w:t>
            </w:r>
          </w:p>
          <w:p w:rsidR="00B40335" w:rsidRPr="00DF6ECA" w:rsidRDefault="00AE6F3A" w:rsidP="00B4033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подхода, възприет при определяне на използваните предположения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като например, как е бил оценен индекс</w:t>
            </w:r>
            <w:r w:rsidR="00FB29E6" w:rsidRPr="00DF6ECA">
              <w:rPr>
                <w:rFonts w:ascii="Calibri" w:hAnsi="Calibri"/>
                <w:sz w:val="24"/>
                <w:szCs w:val="24"/>
                <w:lang w:val="bg-BG"/>
              </w:rPr>
              <w:t>ът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на потребителските цени или модела за определяне на предположенията, свързани с продължителността на живота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;</w:t>
            </w:r>
          </w:p>
          <w:p w:rsidR="00B40335" w:rsidRPr="00DF6ECA" w:rsidRDefault="00AE6F3A" w:rsidP="00B4033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причините</w:t>
            </w:r>
            <w:r w:rsidR="00464910" w:rsidRPr="00DF6ECA">
              <w:rPr>
                <w:rFonts w:ascii="Calibri" w:hAnsi="Calibri"/>
                <w:sz w:val="24"/>
                <w:szCs w:val="24"/>
                <w:lang w:val="bg-BG"/>
              </w:rPr>
              <w:t>,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поради които актюерски предположения съществено са се променили през съответния период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AE6F3A" w:rsidP="00B4033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алтернативни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актюерски предположения, разумно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>възможни към отчетната дата, които биха могли съществено да променят задължението за дефинирани доходи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AE6F3A" w:rsidP="00B40335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 степента на несигурност при оценяването</w:t>
            </w:r>
            <w:r w:rsidR="003547B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при оценяване задължението за дефинирани доходи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C706B6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eastAsia="Times New Roman" w:hAnsi="Calibri" w:cs="Helvetica"/>
                <w:color w:val="575757"/>
                <w:sz w:val="24"/>
                <w:szCs w:val="24"/>
                <w:lang w:val="bg-BG"/>
              </w:rPr>
              <w:t>Тринадесет от четиринадесетте членове на Съвета изразиха съгласие, а един - несъгласие с това решение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</w:tr>
      <w:tr w:rsidR="00B40335" w:rsidRPr="00DF6ECA" w:rsidTr="00464910">
        <w:tc>
          <w:tcPr>
            <w:tcW w:w="6611" w:type="dxa"/>
          </w:tcPr>
          <w:p w:rsidR="00B40335" w:rsidRPr="00DF6ECA" w:rsidRDefault="00D65A29" w:rsidP="00464910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 xml:space="preserve">Предприятието следва да оповестява информация, която да дава възможност на потребителите на финансови отчети да разберат </w:t>
            </w:r>
            <w:r w:rsidR="003547B5" w:rsidRPr="00DF6ECA">
              <w:rPr>
                <w:rFonts w:ascii="Calibri" w:hAnsi="Calibri"/>
                <w:sz w:val="24"/>
                <w:szCs w:val="24"/>
                <w:lang w:val="bg-BG"/>
              </w:rPr>
              <w:t>факторите за промяна в нетния пасив или актив на план за дефинирани доходи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="003547B5" w:rsidRPr="00DF6ECA">
              <w:rPr>
                <w:rFonts w:ascii="Calibri" w:hAnsi="Calibri"/>
                <w:sz w:val="24"/>
                <w:szCs w:val="24"/>
                <w:lang w:val="bg-BG"/>
              </w:rPr>
              <w:t>от началото до края на отчетния период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  <w:tc>
          <w:tcPr>
            <w:tcW w:w="6611" w:type="dxa"/>
            <w:vAlign w:val="center"/>
          </w:tcPr>
          <w:p w:rsidR="00B40335" w:rsidRPr="00DF6ECA" w:rsidRDefault="002255CB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t>Макар и да не е задължителна, следната информация може да даде възможност на предприятието да изпълни тази цел</w:t>
            </w:r>
            <w:r w:rsidR="00B40335" w:rsidRPr="00DF6ECA">
              <w:rPr>
                <w:rFonts w:ascii="Calibri" w:hAnsi="Calibri"/>
                <w:lang w:val="bg-BG"/>
              </w:rPr>
              <w:t>:</w:t>
            </w:r>
          </w:p>
          <w:p w:rsidR="00B40335" w:rsidRPr="00DF6ECA" w:rsidRDefault="003547B5" w:rsidP="00B4033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текстово обяснение на факторите за промяна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(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виж по-долу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);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или</w:t>
            </w:r>
          </w:p>
          <w:p w:rsidR="00B40335" w:rsidRPr="00DF6ECA" w:rsidRDefault="003547B5" w:rsidP="00B40335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таблично равнение на факторите за промяна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(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виж по-долу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).</w:t>
            </w:r>
          </w:p>
          <w:p w:rsidR="00B40335" w:rsidRPr="00DF6ECA" w:rsidRDefault="008664CE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t>Всичките четиринадесет членове на Съвета изразиха съгласие с това решение</w:t>
            </w:r>
            <w:r w:rsidR="00B40335" w:rsidRPr="00DF6ECA">
              <w:rPr>
                <w:rFonts w:ascii="Calibri" w:hAnsi="Calibri"/>
                <w:lang w:val="bg-BG"/>
              </w:rPr>
              <w:t>.</w:t>
            </w:r>
          </w:p>
          <w:p w:rsidR="00B40335" w:rsidRPr="00DF6ECA" w:rsidRDefault="003547B5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Style w:val="Strong"/>
                <w:rFonts w:ascii="Calibri" w:hAnsi="Calibri"/>
                <w:lang w:val="bg-BG"/>
              </w:rPr>
              <w:t>Примерите за фактори за промяна включват, без да се ограничават до:</w:t>
            </w:r>
          </w:p>
          <w:p w:rsidR="00B40335" w:rsidRPr="00DF6ECA" w:rsidRDefault="003547B5" w:rsidP="00B4033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разходи за текущ и минал трудов стаж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3547B5" w:rsidP="00B4033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вноски от работодателя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3547B5" w:rsidP="00B4033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вноски от наетите лица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3547B5" w:rsidP="00B4033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доходи, изплащани на участници в плана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3547B5" w:rsidP="00B4033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ефект от валутни курсови разлики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3547B5" w:rsidP="00B4033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възвръщаемост на активите по плана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3547B5" w:rsidP="00B4033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актюерски печалби или загуби от промени в предположенията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3547B5" w:rsidP="00B4033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актюерски печалби или загуби от корекции, произтичащи от опита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B40335" w:rsidRPr="00DF6ECA" w:rsidRDefault="003547B5" w:rsidP="003547B5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>ефект от придобиване на бизнес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бизнес комбинации и освобождаване от бизнес</w:t>
            </w:r>
            <w:r w:rsidR="00B40335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</w:tr>
    </w:tbl>
    <w:p w:rsidR="00B40335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</w:p>
    <w:p w:rsidR="00E46BB9" w:rsidRPr="00DF6ECA" w:rsidRDefault="00211A87" w:rsidP="00E46BB9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13 </w:t>
      </w:r>
      <w:r w:rsidR="003547B5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– информация за оповестяване 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(</w:t>
      </w: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11</w:t>
      </w:r>
      <w:r w:rsidR="003547B5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В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)</w:t>
      </w:r>
    </w:p>
    <w:p w:rsidR="00E705BC" w:rsidRPr="00DF6ECA" w:rsidRDefault="003547B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Преди това Съветът бе обсъдила подробни и специфични цели на оповестяването за МСС 13, които от предприятието ще се изисква да спазва (виж </w:t>
      </w:r>
      <w:hyperlink r:id="rId13" w:anchor="9" w:history="1">
        <w:r w:rsidRPr="00DF6ECA">
          <w:rPr>
            <w:rFonts w:ascii="Calibri" w:eastAsia="Times New Roman" w:hAnsi="Calibri" w:cs="Helvetica"/>
            <w:color w:val="CD3333"/>
            <w:sz w:val="24"/>
            <w:szCs w:val="24"/>
            <w:u w:val="single"/>
            <w:lang w:val="bg-BG"/>
          </w:rPr>
          <w:t>Бюлетин с актуална информация на IASB септември 2019 г.</w:t>
        </w:r>
      </w:hyperlink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)</w:t>
      </w:r>
    </w:p>
    <w:p w:rsidR="00E705BC" w:rsidRPr="00DF6ECA" w:rsidRDefault="003547B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По отношение на активи, пасиви и инструменти на собствения капитал, оценени по справедлива стойност в отчета за финансовото състояние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1"/>
        <w:gridCol w:w="6611"/>
      </w:tblGrid>
      <w:tr w:rsidR="003547B5" w:rsidRPr="00DF6ECA" w:rsidTr="008F5736">
        <w:tc>
          <w:tcPr>
            <w:tcW w:w="6611" w:type="dxa"/>
          </w:tcPr>
          <w:p w:rsidR="003547B5" w:rsidRPr="00DF6ECA" w:rsidRDefault="003547B5" w:rsidP="008F5736">
            <w:pPr>
              <w:rPr>
                <w:rFonts w:ascii="Calibri" w:hAnsi="Calibri"/>
                <w:b/>
                <w:bCs/>
                <w:sz w:val="24"/>
                <w:szCs w:val="24"/>
                <w:lang w:val="bg-BG"/>
              </w:rPr>
            </w:pPr>
            <w:r w:rsidRPr="00DF6ECA">
              <w:rPr>
                <w:rStyle w:val="Strong"/>
                <w:sz w:val="24"/>
                <w:szCs w:val="24"/>
                <w:lang w:val="bg-BG"/>
              </w:rPr>
              <w:t>Специфични цели на оповестяването</w:t>
            </w:r>
          </w:p>
        </w:tc>
        <w:tc>
          <w:tcPr>
            <w:tcW w:w="6611" w:type="dxa"/>
            <w:vAlign w:val="center"/>
          </w:tcPr>
          <w:p w:rsidR="003547B5" w:rsidRPr="00DF6ECA" w:rsidRDefault="003547B5" w:rsidP="006B640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bg-BG"/>
              </w:rPr>
            </w:pPr>
            <w:r w:rsidRPr="00DF6ECA">
              <w:rPr>
                <w:rStyle w:val="Strong"/>
                <w:rFonts w:ascii="Calibri" w:hAnsi="Calibri"/>
                <w:sz w:val="24"/>
                <w:szCs w:val="24"/>
                <w:lang w:val="bg-BG"/>
              </w:rPr>
              <w:t>Взетите в порядък на работна хипотеза от Съвета решения относно необходимата информация, за да могат предприятията да изпълнят специфичните цели на оповестяването</w:t>
            </w:r>
          </w:p>
        </w:tc>
      </w:tr>
      <w:tr w:rsidR="00E705BC" w:rsidRPr="00DF6ECA" w:rsidTr="008F5736">
        <w:tc>
          <w:tcPr>
            <w:tcW w:w="6611" w:type="dxa"/>
          </w:tcPr>
          <w:p w:rsidR="00E705BC" w:rsidRPr="00DF6ECA" w:rsidRDefault="00D65A29" w:rsidP="008F5736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Предприятието следва да оповестява информация, която да дава възможност на потребителите на финансови отчети да разберат </w:t>
            </w:r>
            <w:r w:rsidR="00DC0DDE" w:rsidRPr="00DF6ECA">
              <w:rPr>
                <w:rFonts w:ascii="Calibri" w:hAnsi="Calibri"/>
                <w:sz w:val="24"/>
                <w:szCs w:val="24"/>
                <w:lang w:val="bg-BG"/>
              </w:rPr>
              <w:t>сумата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="00DC0DDE" w:rsidRPr="00DF6ECA">
              <w:rPr>
                <w:rFonts w:ascii="Calibri" w:hAnsi="Calibri"/>
                <w:sz w:val="24"/>
                <w:szCs w:val="24"/>
                <w:lang w:val="bg-BG"/>
              </w:rPr>
              <w:t>естеството и други характеристики на класовете активи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="00DC0DDE" w:rsidRPr="00DF6ECA">
              <w:rPr>
                <w:rFonts w:ascii="Calibri" w:hAnsi="Calibri"/>
                <w:sz w:val="24"/>
                <w:szCs w:val="24"/>
                <w:lang w:val="bg-BG"/>
              </w:rPr>
              <w:t>пасиви и инструменти на собствения капитал в рамките на всяко едно ниво от йерархията на справедливите стойности</w:t>
            </w:r>
          </w:p>
        </w:tc>
        <w:tc>
          <w:tcPr>
            <w:tcW w:w="6611" w:type="dxa"/>
            <w:vAlign w:val="center"/>
          </w:tcPr>
          <w:p w:rsidR="00E705BC" w:rsidRPr="00DF6ECA" w:rsidRDefault="00DC0DDE" w:rsidP="00E705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Предприятието следва да оповестява оценките по справедлива стойност към края на отчетния период по отношение на повтарящи се 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еднократни оценки според нивото от йерархията на справедливите стойности, в рамките на което са категоризирани тези оценки в тяхната цялост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DC0DDE" w:rsidP="00E705BC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Макар и да не е задължителна, следната информация може да даде възможност на предприятието да изпълни целта по отношение на повтарящи се и еднократни оценки по справедлива стойност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:</w:t>
            </w:r>
          </w:p>
          <w:p w:rsidR="00E705BC" w:rsidRPr="00DF6ECA" w:rsidRDefault="00DC0DDE" w:rsidP="00E705BC">
            <w:pPr>
              <w:numPr>
                <w:ilvl w:val="0"/>
                <w:numId w:val="40"/>
              </w:numPr>
              <w:spacing w:before="100" w:beforeAutospacing="1" w:after="100" w:afterAutospacing="1"/>
              <w:ind w:left="50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 естеството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характеристиките и рисковете на активите, пасивите и инструментите на собствения капитал на всяко едно ниво от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йерархията на справедливите стойности 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(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или кръстосана препратка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>към мястото, където тази информация е оповестена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).</w:t>
            </w:r>
          </w:p>
          <w:p w:rsidR="00E705BC" w:rsidRPr="00DF6ECA" w:rsidRDefault="00DC0DDE" w:rsidP="00E705BC">
            <w:pPr>
              <w:numPr>
                <w:ilvl w:val="0"/>
                <w:numId w:val="40"/>
              </w:numPr>
              <w:spacing w:before="100" w:beforeAutospacing="1" w:after="100" w:afterAutospacing="1"/>
              <w:ind w:left="50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неотделими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механизми за повишаване качеството на кредита от трети страни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и дали този механизъм е отразен в оценката по справедлива стойност.</w:t>
            </w:r>
          </w:p>
          <w:p w:rsidR="00E705BC" w:rsidRPr="00DF6ECA" w:rsidRDefault="00C706B6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 w:cs="Helvetica"/>
                <w:color w:val="575757"/>
                <w:lang w:val="bg-BG"/>
              </w:rPr>
              <w:t>Тринадесет от четиринадесетте членове на Съвета изразиха съгласие, а един - несъгласие с тези решения</w:t>
            </w:r>
            <w:r w:rsidR="00E705BC" w:rsidRPr="00DF6ECA">
              <w:rPr>
                <w:rFonts w:ascii="Calibri" w:hAnsi="Calibri"/>
                <w:lang w:val="bg-BG"/>
              </w:rPr>
              <w:t>.</w:t>
            </w:r>
          </w:p>
          <w:p w:rsidR="00E705BC" w:rsidRPr="00DF6ECA" w:rsidRDefault="00DC0DDE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t>Съветът реши също така в порядък на работна хипотеза да обвърже информацията, включена в изискването за оповестяване в параграф</w:t>
            </w:r>
            <w:r w:rsidR="00E705BC" w:rsidRPr="00DF6ECA">
              <w:rPr>
                <w:rFonts w:ascii="Calibri" w:hAnsi="Calibri"/>
                <w:lang w:val="bg-BG"/>
              </w:rPr>
              <w:t xml:space="preserve"> 94 </w:t>
            </w:r>
            <w:r w:rsidRPr="00DF6ECA">
              <w:rPr>
                <w:rFonts w:ascii="Calibri" w:hAnsi="Calibri"/>
                <w:lang w:val="bg-BG"/>
              </w:rPr>
              <w:t>от МСФО</w:t>
            </w:r>
            <w:r w:rsidR="00E705BC" w:rsidRPr="00DF6ECA">
              <w:rPr>
                <w:rFonts w:ascii="Calibri" w:hAnsi="Calibri"/>
                <w:lang w:val="bg-BG"/>
              </w:rPr>
              <w:t xml:space="preserve"> 13</w:t>
            </w:r>
            <w:r w:rsidRPr="00DF6ECA">
              <w:rPr>
                <w:rFonts w:ascii="Calibri" w:hAnsi="Calibri"/>
                <w:lang w:val="bg-BG"/>
              </w:rPr>
              <w:t>,</w:t>
            </w:r>
            <w:r w:rsidR="00E705BC" w:rsidRPr="00DF6ECA">
              <w:rPr>
                <w:rFonts w:ascii="Calibri" w:hAnsi="Calibri"/>
                <w:lang w:val="bg-BG"/>
              </w:rPr>
              <w:t xml:space="preserve"> </w:t>
            </w:r>
            <w:r w:rsidRPr="00DF6ECA">
              <w:rPr>
                <w:rFonts w:ascii="Calibri" w:hAnsi="Calibri"/>
                <w:lang w:val="bg-BG"/>
              </w:rPr>
              <w:t>с тази цел</w:t>
            </w:r>
            <w:r w:rsidR="00E705BC" w:rsidRPr="00DF6ECA">
              <w:rPr>
                <w:rFonts w:ascii="Calibri" w:hAnsi="Calibri"/>
                <w:lang w:val="bg-BG"/>
              </w:rPr>
              <w:t>.</w:t>
            </w:r>
          </w:p>
          <w:p w:rsidR="00E705BC" w:rsidRPr="00DF6ECA" w:rsidRDefault="00C706B6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eastAsia="Times New Roman" w:hAnsi="Calibri" w:cs="Helvetica"/>
                <w:color w:val="575757"/>
                <w:sz w:val="24"/>
                <w:szCs w:val="24"/>
                <w:lang w:val="bg-BG"/>
              </w:rPr>
              <w:t>Тринадесет от четиринадесетте членове на Съвета изразиха съгласие, а един - несъгласие с това решение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</w:tr>
      <w:tr w:rsidR="00E705BC" w:rsidRPr="00DF6ECA" w:rsidTr="008F5736">
        <w:tc>
          <w:tcPr>
            <w:tcW w:w="6611" w:type="dxa"/>
          </w:tcPr>
          <w:p w:rsidR="00E705BC" w:rsidRPr="00DF6ECA" w:rsidRDefault="00D65A29" w:rsidP="008F5736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 xml:space="preserve">Предприятието следва да оповестява информация, която да дава възможност на потребителите на финансови отчети да разберат </w:t>
            </w:r>
            <w:r w:rsidR="00DC0DDE" w:rsidRPr="00DF6ECA">
              <w:rPr>
                <w:rFonts w:ascii="Calibri" w:hAnsi="Calibri"/>
                <w:sz w:val="24"/>
                <w:szCs w:val="24"/>
                <w:lang w:val="bg-BG"/>
              </w:rPr>
              <w:t>съществените техники и входящи данни, използвани при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="001867D8" w:rsidRPr="00DF6ECA">
              <w:rPr>
                <w:rFonts w:ascii="Calibri" w:hAnsi="Calibri"/>
                <w:sz w:val="24"/>
                <w:szCs w:val="24"/>
                <w:lang w:val="bg-BG"/>
              </w:rPr>
              <w:t>изготвяне на оценките по справедлива стойност</w:t>
            </w:r>
          </w:p>
        </w:tc>
        <w:tc>
          <w:tcPr>
            <w:tcW w:w="6611" w:type="dxa"/>
            <w:vAlign w:val="center"/>
          </w:tcPr>
          <w:p w:rsidR="00E705BC" w:rsidRPr="00DF6ECA" w:rsidRDefault="001867D8" w:rsidP="00E705B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Ако взема решение за счетоводна политика да използва изключението при оценяване в параграф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48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от МСФО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13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по отношение на финансови активи и финансови пасиви, предприятието следва да оповести тази факт.</w:t>
            </w:r>
          </w:p>
          <w:p w:rsidR="00E705BC" w:rsidRPr="00DF6ECA" w:rsidRDefault="001867D8" w:rsidP="00E705BC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Макар и да не е задължителна, следната информация може да даде възможност на предприятието да изпълни целта по отношение на повтарящи се и еднократни оценки по справедлива стойност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:</w:t>
            </w:r>
          </w:p>
          <w:p w:rsidR="00E705BC" w:rsidRPr="00DF6ECA" w:rsidRDefault="001867D8" w:rsidP="00E705BC">
            <w:pPr>
              <w:numPr>
                <w:ilvl w:val="0"/>
                <w:numId w:val="42"/>
              </w:numPr>
              <w:spacing w:before="100" w:beforeAutospacing="1" w:after="100" w:afterAutospacing="1"/>
              <w:ind w:left="50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 съществените техники за оценяване, използвани при оценяването по справедлива стойност.</w:t>
            </w:r>
          </w:p>
          <w:p w:rsidR="00E705BC" w:rsidRPr="00DF6ECA" w:rsidRDefault="001867D8" w:rsidP="00E705BC">
            <w:pPr>
              <w:numPr>
                <w:ilvl w:val="0"/>
                <w:numId w:val="42"/>
              </w:numPr>
              <w:spacing w:before="100" w:beforeAutospacing="1" w:after="100" w:afterAutospacing="1"/>
              <w:ind w:left="50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 промяна в техника за оценяване и причината или причините за това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1867D8" w:rsidP="00E705BC">
            <w:pPr>
              <w:numPr>
                <w:ilvl w:val="0"/>
                <w:numId w:val="42"/>
              </w:numPr>
              <w:spacing w:before="100" w:beforeAutospacing="1" w:after="100" w:afterAutospacing="1"/>
              <w:ind w:left="50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 съществените входящи данни, използвани при оценяването по справедлива стойност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например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количествена информация или текстова информация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1867D8" w:rsidP="00E705BC">
            <w:pPr>
              <w:numPr>
                <w:ilvl w:val="0"/>
                <w:numId w:val="42"/>
              </w:numPr>
              <w:spacing w:before="100" w:beforeAutospacing="1" w:after="100" w:afterAutospacing="1"/>
              <w:ind w:left="50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>описание на факта и причините защо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най-ефективното и най-добро използване на нефинансов актив се различава от неговата текуща употреба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8664CE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Дванадесет от четиринадесетте членове на Съвета изразиха съгласие, а двама - несъгласие с тези решения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</w:tr>
      <w:tr w:rsidR="00E705BC" w:rsidRPr="00DF6ECA" w:rsidTr="008F5736">
        <w:tc>
          <w:tcPr>
            <w:tcW w:w="6611" w:type="dxa"/>
          </w:tcPr>
          <w:p w:rsidR="00E705BC" w:rsidRPr="00DF6ECA" w:rsidRDefault="00D65A29" w:rsidP="008F5736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 xml:space="preserve">Предприятието следва да оповестява информация, която да дава възможност на потребителите на финансови отчети да разберат </w:t>
            </w:r>
            <w:r w:rsidR="001867D8" w:rsidRPr="00DF6ECA">
              <w:rPr>
                <w:rFonts w:ascii="Calibri" w:hAnsi="Calibri"/>
                <w:sz w:val="24"/>
                <w:szCs w:val="24"/>
                <w:lang w:val="bg-BG"/>
              </w:rPr>
              <w:t>факторите за промяна в оценките по справедлива стойност от началото до края на отчетния период.</w:t>
            </w:r>
          </w:p>
        </w:tc>
        <w:tc>
          <w:tcPr>
            <w:tcW w:w="6611" w:type="dxa"/>
            <w:vAlign w:val="center"/>
          </w:tcPr>
          <w:p w:rsidR="00E705BC" w:rsidRPr="00DF6ECA" w:rsidRDefault="002255CB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t>Макар и да не е задължителна, следната информация може да даде възможност на предприятието да изпълни целта</w:t>
            </w:r>
            <w:r w:rsidR="00E705BC" w:rsidRPr="00DF6ECA">
              <w:rPr>
                <w:rFonts w:ascii="Calibri" w:hAnsi="Calibri"/>
                <w:lang w:val="bg-BG"/>
              </w:rPr>
              <w:t xml:space="preserve"> </w:t>
            </w:r>
            <w:r w:rsidRPr="00DF6ECA">
              <w:rPr>
                <w:rFonts w:ascii="Calibri" w:hAnsi="Calibri"/>
                <w:lang w:val="bg-BG"/>
              </w:rPr>
              <w:t>по отношение на повтарящи се оценки по справедлива стойност</w:t>
            </w:r>
            <w:r w:rsidR="00E705BC" w:rsidRPr="00DF6ECA">
              <w:rPr>
                <w:rFonts w:ascii="Calibri" w:hAnsi="Calibri"/>
                <w:lang w:val="bg-BG"/>
              </w:rPr>
              <w:t>:</w:t>
            </w:r>
          </w:p>
          <w:p w:rsidR="00E705BC" w:rsidRPr="00DF6ECA" w:rsidRDefault="001867D8" w:rsidP="00E705B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информация относно съществените фактори за промяна през периода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(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виж по-долу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),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например чрез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:</w:t>
            </w:r>
          </w:p>
          <w:p w:rsidR="00E705BC" w:rsidRPr="00DF6ECA" w:rsidRDefault="001867D8" w:rsidP="00E705BC">
            <w:pPr>
              <w:numPr>
                <w:ilvl w:val="1"/>
                <w:numId w:val="43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текстово обяснение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;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или</w:t>
            </w:r>
          </w:p>
          <w:p w:rsidR="00E705BC" w:rsidRPr="00DF6ECA" w:rsidRDefault="001867D8" w:rsidP="00E705BC">
            <w:pPr>
              <w:numPr>
                <w:ilvl w:val="1"/>
                <w:numId w:val="43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таблично равнение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8664CE">
            <w:pPr>
              <w:pStyle w:val="NormalWeb"/>
              <w:ind w:left="720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t>Дванадесет от четиринадесетте членове на Съвета изразиха съгласие, а двама - несъгласие с това решение</w:t>
            </w:r>
            <w:r w:rsidR="00E705BC" w:rsidRPr="00DF6ECA">
              <w:rPr>
                <w:rFonts w:ascii="Calibri" w:hAnsi="Calibri"/>
                <w:lang w:val="bg-BG"/>
              </w:rPr>
              <w:t>.</w:t>
            </w:r>
          </w:p>
          <w:p w:rsidR="00E705BC" w:rsidRPr="00DF6ECA" w:rsidRDefault="001867D8" w:rsidP="00E705BC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причините за евентуални прехвърляния между различни нива от йерархията на справедливите стойности през периода и политиката на предприятието за определяне кога се счита, че са осъществени </w:t>
            </w:r>
            <w:r w:rsidR="00D7286D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такива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прехвърляния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. </w:t>
            </w:r>
            <w:r w:rsidR="00D7286D" w:rsidRPr="00DF6ECA">
              <w:rPr>
                <w:rFonts w:ascii="Calibri" w:hAnsi="Calibri"/>
                <w:sz w:val="24"/>
                <w:szCs w:val="24"/>
                <w:lang w:val="bg-BG"/>
              </w:rPr>
              <w:t>Тринадесет от четиринадесетте членове на Съвета изразиха съгласие, а един - несъгласие с това решение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D7286D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Style w:val="Strong"/>
                <w:rFonts w:ascii="Calibri" w:hAnsi="Calibri"/>
                <w:lang w:val="bg-BG"/>
              </w:rPr>
              <w:t>Примерите за фактори за промяна включват, без да се ограничават до</w:t>
            </w:r>
            <w:r w:rsidR="00E705BC" w:rsidRPr="00DF6ECA">
              <w:rPr>
                <w:rStyle w:val="Strong"/>
                <w:rFonts w:ascii="Calibri" w:hAnsi="Calibri"/>
                <w:lang w:val="bg-BG"/>
              </w:rPr>
              <w:t>:</w:t>
            </w:r>
          </w:p>
          <w:p w:rsidR="00E705BC" w:rsidRPr="00DF6ECA" w:rsidRDefault="00BB79DF" w:rsidP="00E705B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сумите на прехвърляния между различните нива на йерархията на справедливите стойности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BB79DF" w:rsidP="00E705B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>общи печалби или загуби за периода, признати в печалбата или загубата,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както и позицията или позициите на отделни редове в печалбата или загубата, където са признати тези печалби или загуби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BB79DF" w:rsidP="00E705B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общи печалби или загуби за периода в подточка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(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б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)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по-горе, включени в печалбата или загубата, които могат да бъдат отнесени към промяна в нереализираните печалби или загуби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както и позицията или позициите на отделни редове в печалбата или загубата, където са признати тези нереализирани печалби или загуби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BB79DF" w:rsidP="00E705B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общи печалби или загуби за периода, признати в друг всеобхватен доход, както и позицията или позициите на отделни редове в печалбата или загубата, където са признати тези печалби или загуби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BB79DF" w:rsidP="00E705B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покупки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продажби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емисии и уреждания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BB79DF" w:rsidP="00E705BC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ефект от валутни курсови разлики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BB79DF" w:rsidP="00BB79DF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Съветът реши също така в порядък на работна хипотеза да обвърже информацията, включена в изискването за оповестяване в параграф 95 от МСФО 13, с тази цел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. </w:t>
            </w:r>
            <w:r w:rsidR="00C706B6" w:rsidRPr="00DF6ECA">
              <w:rPr>
                <w:rFonts w:ascii="Calibri" w:eastAsia="Times New Roman" w:hAnsi="Calibri" w:cs="Helvetica"/>
                <w:color w:val="575757"/>
                <w:sz w:val="24"/>
                <w:szCs w:val="24"/>
                <w:lang w:val="bg-BG"/>
              </w:rPr>
              <w:t>Тринадесет от четиринадесетте членове на Съвета изразиха съгласие, а един - несъгласие с това решение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</w:tr>
      <w:tr w:rsidR="00E705BC" w:rsidRPr="00DF6ECA" w:rsidTr="008F5736">
        <w:tc>
          <w:tcPr>
            <w:tcW w:w="6611" w:type="dxa"/>
          </w:tcPr>
          <w:p w:rsidR="00E705BC" w:rsidRPr="00DF6ECA" w:rsidRDefault="00D65A29" w:rsidP="008F5736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 xml:space="preserve">Предприятието следва да оповестява информация, която да дава възможност на потребителите на финансови отчети да разберат </w:t>
            </w:r>
            <w:r w:rsidR="00BB79DF" w:rsidRPr="00DF6ECA">
              <w:rPr>
                <w:rFonts w:ascii="Calibri" w:hAnsi="Calibri"/>
                <w:sz w:val="24"/>
                <w:szCs w:val="24"/>
                <w:lang w:val="bg-BG"/>
              </w:rPr>
              <w:t>разумно възможните справедливи стойности към отчетната дата по отношение на активи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="00BB79DF" w:rsidRPr="00DF6ECA">
              <w:rPr>
                <w:rFonts w:ascii="Calibri" w:hAnsi="Calibri"/>
                <w:sz w:val="24"/>
                <w:szCs w:val="24"/>
                <w:lang w:val="bg-BG"/>
              </w:rPr>
              <w:t>пасиви и инструменти на собствения капитал, оценени по справедлива стойност</w:t>
            </w:r>
          </w:p>
        </w:tc>
        <w:tc>
          <w:tcPr>
            <w:tcW w:w="6611" w:type="dxa"/>
            <w:vAlign w:val="center"/>
          </w:tcPr>
          <w:p w:rsidR="00E705BC" w:rsidRPr="00DF6ECA" w:rsidRDefault="002255CB">
            <w:pPr>
              <w:pStyle w:val="NormalWeb"/>
              <w:rPr>
                <w:rFonts w:ascii="Calibri" w:hAnsi="Calibri"/>
                <w:lang w:val="bg-BG"/>
              </w:rPr>
            </w:pPr>
            <w:r w:rsidRPr="00DF6ECA">
              <w:rPr>
                <w:rFonts w:ascii="Calibri" w:hAnsi="Calibri"/>
                <w:lang w:val="bg-BG"/>
              </w:rPr>
              <w:t>Макар и да не е задължителна, следната информация може да даде възможност на предприятието да изпълни целта по отношение на повтарящи се оценки по справедлива стойност</w:t>
            </w:r>
            <w:r w:rsidR="00E705BC" w:rsidRPr="00DF6ECA">
              <w:rPr>
                <w:rFonts w:ascii="Calibri" w:hAnsi="Calibri"/>
                <w:lang w:val="bg-BG"/>
              </w:rPr>
              <w:t>:</w:t>
            </w:r>
          </w:p>
          <w:p w:rsidR="00E705BC" w:rsidRPr="00DF6ECA" w:rsidRDefault="00E5263B" w:rsidP="00E705B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 несигурността, предизвикана от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използването на съществени входящи данни, ако тези входящи данни биха могли разумно да бъдат различни към отчетната дата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и са довели до значително по-висока или по-ниска оценка по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lastRenderedPageBreak/>
              <w:t>справедлива стойност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E5263B" w:rsidP="00E705B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диапазона на възможни справедливи стойности, отразяващи по-високата и по-ниската оценка по справедлива стойност, използвайки разумно възможните алтернативни входящи данни към отчетната дата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E5263B" w:rsidP="00E705B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 взаимовръзките между входящите данни, използвани при оценяването по справедлива стойност и как те увеличават или намаляват ефекта от промени във входящите данни върху оценката по справедлива стойност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E5263B" w:rsidP="00E705BC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как е изчислен ефектът от промяната, за да бъдат отразени разумно възможните алтернативни входящи данни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C706B6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eastAsia="Times New Roman" w:hAnsi="Calibri" w:cs="Helvetica"/>
                <w:color w:val="575757"/>
                <w:sz w:val="24"/>
                <w:szCs w:val="24"/>
                <w:lang w:val="bg-BG"/>
              </w:rPr>
              <w:t>Тринадесет от четиринадесетте членове на Съвета изразиха съгласие, а един - несъгласие с това решение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</w:tr>
    </w:tbl>
    <w:p w:rsidR="00E705BC" w:rsidRPr="00DF6ECA" w:rsidRDefault="00E705BC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</w:p>
    <w:p w:rsidR="00E46BB9" w:rsidRPr="00DF6ECA" w:rsidRDefault="007D51DD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Съветът даде указания на екипа да подготви и представи на бъдещо заседание на Съвета допълнителен анализ относно </w:t>
      </w:r>
      <w:r w:rsidR="008E6A4C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това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дали отделна цел на оповестяването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,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 респективно информация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,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следва да бъде включена в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13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относно разбиране на</w:t>
      </w:r>
      <w:r w:rsidR="008E6A4C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ефекта от оценките по справедлива стойност върху отчета за финансовите резултати от дейността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8E6A4C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Наред с това, Съветът реши в порядък на работна хипотеза</w:t>
      </w:r>
      <w:r w:rsidR="008F5736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8E6A4C" w:rsidP="00E46BB9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 запази информацията, обхваната от изискването за оповестяване в параграф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92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13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като част от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всеобхватната цел на оповестяването с висока степен на обобщеност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.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съгласие, а един - несъгласие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.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Един от членовете отсъстваше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8E6A4C" w:rsidP="00E46BB9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 отстрани изискването за оповестяване в параграф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93(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ж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)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13.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Единадесет от четиринадесетте членове на Съвета изразиха съгласие, а трима - несъгласие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8E6A4C" w:rsidP="00E46BB9">
      <w:pPr>
        <w:numPr>
          <w:ilvl w:val="0"/>
          <w:numId w:val="21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lastRenderedPageBreak/>
        <w:t>да запази информацията, обхваната от изискването за оповестяване в параграф 93 от МСФО 13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. </w:t>
      </w:r>
      <w:r w:rsidR="008664CE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8E6A4C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По отношение на активи и пасиви, които не са оценени по справедлива стойност, но за които справедливата стойност е оповестена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1"/>
        <w:gridCol w:w="6611"/>
      </w:tblGrid>
      <w:tr w:rsidR="003547B5" w:rsidRPr="00DF6ECA" w:rsidTr="006B6404">
        <w:tc>
          <w:tcPr>
            <w:tcW w:w="6611" w:type="dxa"/>
            <w:vAlign w:val="center"/>
          </w:tcPr>
          <w:p w:rsidR="003547B5" w:rsidRPr="00DF6ECA" w:rsidRDefault="003547B5" w:rsidP="006B640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bg-BG"/>
              </w:rPr>
            </w:pPr>
            <w:r w:rsidRPr="00DF6ECA">
              <w:rPr>
                <w:rStyle w:val="Strong"/>
                <w:lang w:val="bg-BG"/>
              </w:rPr>
              <w:t>Специфични цели на оповестяването</w:t>
            </w:r>
          </w:p>
        </w:tc>
        <w:tc>
          <w:tcPr>
            <w:tcW w:w="6611" w:type="dxa"/>
            <w:vAlign w:val="center"/>
          </w:tcPr>
          <w:p w:rsidR="003547B5" w:rsidRPr="00DF6ECA" w:rsidRDefault="003547B5" w:rsidP="006B640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bg-BG"/>
              </w:rPr>
            </w:pPr>
            <w:r w:rsidRPr="00DF6ECA">
              <w:rPr>
                <w:rStyle w:val="Strong"/>
                <w:rFonts w:ascii="Calibri" w:hAnsi="Calibri"/>
                <w:sz w:val="24"/>
                <w:szCs w:val="24"/>
                <w:lang w:val="bg-BG"/>
              </w:rPr>
              <w:t>Взетите в порядък на работна хипотеза от Съвета решения относно необходимата информация, за да могат предприятията да изпълнят специфичните цели на оповестяването</w:t>
            </w:r>
          </w:p>
        </w:tc>
      </w:tr>
      <w:tr w:rsidR="00E705BC" w:rsidRPr="00DF6ECA" w:rsidTr="008F5736">
        <w:tc>
          <w:tcPr>
            <w:tcW w:w="6611" w:type="dxa"/>
          </w:tcPr>
          <w:p w:rsidR="00E705BC" w:rsidRPr="00DF6ECA" w:rsidRDefault="00D65A29" w:rsidP="008F5736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Предприятието следва да оповестява информация, която да дава възможност на потребителите на финансови отчети да разберат </w:t>
            </w:r>
            <w:r w:rsidR="008E6A4C" w:rsidRPr="00DF6ECA">
              <w:rPr>
                <w:rFonts w:ascii="Calibri" w:hAnsi="Calibri"/>
                <w:sz w:val="24"/>
                <w:szCs w:val="24"/>
                <w:lang w:val="bg-BG"/>
              </w:rPr>
              <w:t>сумата, естеството и други характеристики на класовете активи и пасиви в рамките на всяко едно ниво от йерархията на справедливите стойности</w:t>
            </w:r>
          </w:p>
        </w:tc>
        <w:tc>
          <w:tcPr>
            <w:tcW w:w="6611" w:type="dxa"/>
            <w:vAlign w:val="center"/>
          </w:tcPr>
          <w:p w:rsidR="00E705BC" w:rsidRPr="00DF6ECA" w:rsidRDefault="008E6A4C" w:rsidP="00E705B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Предприятието следва да оповестява оценките по справедлива стойност към края на отчетния период според нивото от йерархията на справедливите стойности, в рамките на което са категоризирани тези оценки в тяхната цялост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8F49E0" w:rsidP="00E705BC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Макар да не е задължително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описание на естеството, характеристиките и рисковете на активите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,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пасивите и инструментите на собствения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капитал 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(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или кръстосана препратка към мястото, където тази информация е оповестена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 xml:space="preserve">) </w:t>
            </w: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би могло да даде възможност на предприятието да изпълни тази цел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  <w:p w:rsidR="00E705BC" w:rsidRPr="00DF6ECA" w:rsidRDefault="008664CE">
            <w:pPr>
              <w:rPr>
                <w:rFonts w:ascii="Calibri" w:hAnsi="Calibri"/>
                <w:sz w:val="24"/>
                <w:szCs w:val="24"/>
                <w:lang w:val="bg-BG"/>
              </w:rPr>
            </w:pPr>
            <w:r w:rsidRPr="00DF6ECA">
              <w:rPr>
                <w:rFonts w:ascii="Calibri" w:hAnsi="Calibri"/>
                <w:sz w:val="24"/>
                <w:szCs w:val="24"/>
                <w:lang w:val="bg-BG"/>
              </w:rPr>
              <w:t>Всичките четиринадесет членове на Съвета изразиха съгласие с това решение</w:t>
            </w:r>
            <w:r w:rsidR="00E705BC" w:rsidRPr="00DF6ECA">
              <w:rPr>
                <w:rFonts w:ascii="Calibri" w:hAnsi="Calibri"/>
                <w:sz w:val="24"/>
                <w:szCs w:val="24"/>
                <w:lang w:val="bg-BG"/>
              </w:rPr>
              <w:t>.</w:t>
            </w:r>
          </w:p>
        </w:tc>
      </w:tr>
    </w:tbl>
    <w:p w:rsidR="00E705BC" w:rsidRPr="00DF6ECA" w:rsidRDefault="00E705BC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E46BB9" w:rsidRPr="00DF6ECA" w:rsidRDefault="001D45C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бъдещо свое заседание Съветът ще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1D45C5" w:rsidP="00E46BB9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lastRenderedPageBreak/>
        <w:t>обсъди допълнително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информация, която е необходима, за да се изпълни специфичната цел на оповестяването относно разбирането на очакваните бъдещи парични потоци, произтичащи от задължението за дефинирани доходи и естеството на тези парични потоци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1D45C5" w:rsidP="00E46BB9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прецени дали отделна цел на оповестяването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, </w:t>
      </w:r>
      <w:r w:rsidR="007E090A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 съответно информация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, </w:t>
      </w:r>
      <w:r w:rsidR="007E090A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следва да бъде включена в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13 </w:t>
      </w:r>
      <w:r w:rsidR="007E090A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относно разбирането на ефекта от оценките по справедлива стойност върху отчета за финансовите резултати от дейността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7E090A" w:rsidP="00E46BB9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обсъди съпоставка на взетите в порядък на работна хипотеза решения от Съвета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относно оповестяванията в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B40335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МСС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19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 изискванията за оповестяване в стандарта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7E090A" w:rsidP="00E46BB9">
      <w:pPr>
        <w:numPr>
          <w:ilvl w:val="0"/>
          <w:numId w:val="23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обсъди уроците, усвоени в резултат на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целевия преглед на ниво стандарти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за процеса на тестване на оповестяванията и произтичащите в резултат потенциални изменения в проекто насоките на Съвета за разработване и редактиране на цели на оповестяването и изисквания за оповестяване в бъдеще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E46BB9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 </w:t>
      </w:r>
    </w:p>
    <w:p w:rsidR="00E46BB9" w:rsidRPr="00DF6ECA" w:rsidRDefault="00EB23D5" w:rsidP="00E46BB9">
      <w:pPr>
        <w:shd w:val="clear" w:color="auto" w:fill="FFFFFF"/>
        <w:spacing w:before="450" w:after="300" w:line="240" w:lineRule="auto"/>
        <w:outlineLvl w:val="1"/>
        <w:rPr>
          <w:rFonts w:ascii="Calibri" w:eastAsia="Times New Roman" w:hAnsi="Calibri" w:cs="Helvetica"/>
          <w:b/>
          <w:bCs/>
          <w:color w:val="333333"/>
          <w:sz w:val="34"/>
          <w:szCs w:val="34"/>
          <w:lang w:val="bg-BG"/>
        </w:rPr>
      </w:pPr>
      <w:bookmarkStart w:id="3" w:name="4"/>
      <w:r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Препратки към </w:t>
      </w:r>
      <w:r w:rsidRPr="00DF6ECA">
        <w:rPr>
          <w:rFonts w:ascii="Calibri" w:eastAsia="Times New Roman" w:hAnsi="Calibri" w:cs="Helvetica"/>
          <w:b/>
          <w:bCs/>
          <w:i/>
          <w:iCs/>
          <w:color w:val="CD3333"/>
          <w:sz w:val="34"/>
          <w:szCs w:val="34"/>
          <w:lang w:val="bg-BG"/>
        </w:rPr>
        <w:t xml:space="preserve">Концептуалната рамка 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(</w:t>
      </w:r>
      <w:r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Изменения в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3) (</w:t>
      </w:r>
      <w:r w:rsidR="00211A87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10)</w:t>
      </w:r>
      <w:bookmarkEnd w:id="3"/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На 20 ноември 2019 г. Съветът проведе заседание, за да обсъди </w:t>
      </w:r>
      <w:r w:rsidR="00EB23D5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обобщение на становищата, предоставени като обратна информация във връзка с Проекта за обсъждане </w:t>
      </w:r>
      <w:r w:rsidR="00EB23D5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 xml:space="preserve">Препратки към </w:t>
      </w:r>
      <w:r w:rsidR="00EB23D5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Концептуалната рамка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EB23D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E46BB9" w:rsidRPr="00DF6ECA" w:rsidRDefault="00EB23D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бъдещо свое заседание Съветът ще разисква повторно определени аспекти на предложенията в Проекта за обсъждане в светлината на въпросите, повдигнати от предоставилите становище лица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E46BB9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 </w:t>
      </w:r>
    </w:p>
    <w:p w:rsidR="00E46BB9" w:rsidRPr="00DF6ECA" w:rsidRDefault="00EB23D5" w:rsidP="00E46BB9">
      <w:pPr>
        <w:shd w:val="clear" w:color="auto" w:fill="FFFFFF"/>
        <w:spacing w:before="450" w:after="300" w:line="240" w:lineRule="auto"/>
        <w:outlineLvl w:val="1"/>
        <w:rPr>
          <w:rFonts w:ascii="Calibri" w:eastAsia="Times New Roman" w:hAnsi="Calibri" w:cs="Helvetica"/>
          <w:b/>
          <w:bCs/>
          <w:color w:val="333333"/>
          <w:sz w:val="34"/>
          <w:szCs w:val="34"/>
          <w:lang w:val="bg-BG"/>
        </w:rPr>
      </w:pPr>
      <w:bookmarkStart w:id="4" w:name="5"/>
      <w:r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Коментар на ръководството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211A87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15)</w:t>
      </w:r>
      <w:bookmarkEnd w:id="4"/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lastRenderedPageBreak/>
        <w:t xml:space="preserve">На 20 ноември 2019 г. Съветът проведе заседание, за да обсъди </w:t>
      </w:r>
      <w:r w:rsidR="00373D8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как преработеното Изложение за практика по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1 </w:t>
      </w:r>
      <w:r w:rsidR="00373D84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Коментар на ръководството</w:t>
      </w:r>
      <w:r w:rsidR="00E46BB9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 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(</w:t>
      </w:r>
      <w:r w:rsidR="00373D8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„Изложението за практика“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) </w:t>
      </w:r>
      <w:r w:rsidR="00373D8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следва да обясни какъв е бизнес моделът на предприятието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373D84" w:rsidP="00373D84">
      <w:pPr>
        <w:shd w:val="clear" w:color="auto" w:fill="FFFFFF"/>
        <w:tabs>
          <w:tab w:val="left" w:pos="10138"/>
        </w:tabs>
        <w:spacing w:before="300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Какъв е бизнес моделът на предприятието 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(</w:t>
      </w:r>
      <w:r w:rsidR="00211A87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15A)</w:t>
      </w: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ab/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373D8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, че Изложението за практика при обясняване на „бизнес модела“ следва да се позове на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373D84" w:rsidP="00E46BB9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стойността, която предприятието създава за себе си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.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Изложението за практика следва също така ясно да посочи, че идеята за стойността, създавана за предприятието,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е свързана със способността на предприятието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 генерира парични потоци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. </w:t>
      </w:r>
      <w:r w:rsidR="00C706B6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373D84" w:rsidP="00E46BB9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връзката между бизнес модела на предприятието и заявената от предприятието цел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. </w:t>
      </w:r>
      <w:r w:rsidR="008664CE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съгласие, а двама - несъгласие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373D84" w:rsidP="00E46BB9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елементите на бизнес модела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т.е.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,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използваните ресурси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,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процесите 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произвежданите резултати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. </w:t>
      </w:r>
      <w:r w:rsidR="008664CE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съгласие, а двама - несъгласие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373D84" w:rsidP="00E46BB9">
      <w:pPr>
        <w:numPr>
          <w:ilvl w:val="0"/>
          <w:numId w:val="24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бизнес модела като установен факт, годен да бъде наблюдаван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чрез действията на предприятието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. </w:t>
      </w:r>
      <w:r w:rsidR="008664CE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373D84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реши също така в порядък на работна хипотеза, че Изложението за практика следва да изисква ръководството на предприятието да разгледа по-общите косвени последствия или въздействия от функционирането на бизнес модела на предприятието, ако тези въздействия биха могли да окажат влияние върху способността на предприятието да генерира парични потоци в бъдеще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C706B6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E46BB9" w:rsidRPr="00DF6ECA" w:rsidRDefault="000C282F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ще обсъди целта на описанието на бизнес модела на предприятието в коментара на ръководството и възможни насоки относно видовете информация за бизнес модела на предприятието, които следва да бъдат включени в коментара на ръководството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E46BB9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 </w:t>
      </w:r>
    </w:p>
    <w:p w:rsidR="00E46BB9" w:rsidRPr="00DF6ECA" w:rsidRDefault="000C282F" w:rsidP="00E46BB9">
      <w:pPr>
        <w:shd w:val="clear" w:color="auto" w:fill="FFFFFF"/>
        <w:spacing w:before="450" w:after="300" w:line="240" w:lineRule="auto"/>
        <w:outlineLvl w:val="1"/>
        <w:rPr>
          <w:rFonts w:ascii="Calibri" w:eastAsia="Times New Roman" w:hAnsi="Calibri" w:cs="Helvetica"/>
          <w:b/>
          <w:bCs/>
          <w:color w:val="333333"/>
          <w:sz w:val="34"/>
          <w:szCs w:val="34"/>
          <w:lang w:val="bg-BG"/>
        </w:rPr>
      </w:pPr>
      <w:bookmarkStart w:id="5" w:name="6"/>
      <w:r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lastRenderedPageBreak/>
        <w:t>Изменения в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17 (</w:t>
      </w:r>
      <w:r w:rsidR="00211A87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2)</w:t>
      </w:r>
      <w:bookmarkEnd w:id="5"/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На 20 ноември 2019 г. Съветът проведе заседание, за да обсъди </w:t>
      </w:r>
      <w:r w:rsidR="00932B6A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становищата, получени като обратна информация във връзка с Проекта за обсъждане </w:t>
      </w:r>
      <w:r w:rsidR="00932B6A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Изменения в</w:t>
      </w:r>
      <w:r w:rsidR="00E46BB9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 xml:space="preserve"> 17</w:t>
      </w:r>
      <w:r w:rsidR="00932B6A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932B6A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 за да вземе решение относно плана си за повторни разисквания на някои от въпросите, повдигнати от предоставилите становища лица по повод на Проекта за обсъждане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932B6A" w:rsidP="00E46BB9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Обобщение на писмата с коментари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(</w:t>
      </w:r>
      <w:r w:rsidR="003405FC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Документи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2A–2</w:t>
      </w:r>
      <w:r w:rsidR="003405FC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В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)</w:t>
      </w:r>
    </w:p>
    <w:p w:rsidR="00E46BB9" w:rsidRPr="00DF6ECA" w:rsidRDefault="00932B6A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бе запознат с обобщение на писмата с коментари, получени във връзка с Проекта за обсъждане, но от него не бе поискано да взема каквито и да е решения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932B6A" w:rsidP="00E46BB9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План за повторни разисквания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(</w:t>
      </w:r>
      <w:r w:rsidR="00211A87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2</w:t>
      </w:r>
      <w:r w:rsidR="003405FC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Г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)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932B6A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, че на бъдещо заседание ще потвърди предложените изменения по следните теми, без повторно разискване по същество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581D98" w:rsidP="00E46BB9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изключването от обхвата на кредитите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581D98" w:rsidP="00E46BB9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маржа на договорената услуга, който може да бъде отнесен към инвестиционните услуги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единици покритие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по отношение на застрахователни договори с характеристики на пряко участие в разпределението на печалбата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581D98" w:rsidP="00E46BB9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представяне в отчета за финансовото състояние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портфейлно вместо на ниво група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581D98" w:rsidP="00E46BB9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приложимостта на опцията за смекчаване на риска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държани презастрахователни договори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581D98" w:rsidP="00E46BB9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облекчение при преход по отношение на бизнес комбинациите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;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</w:t>
      </w:r>
    </w:p>
    <w:p w:rsidR="00E46BB9" w:rsidRPr="00DF6ECA" w:rsidRDefault="00581D98" w:rsidP="00E46BB9">
      <w:pPr>
        <w:numPr>
          <w:ilvl w:val="0"/>
          <w:numId w:val="25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облекчения при преход по отношение на опцията за смекчаване на риска 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прилагане от датата на преход и опцията за прилагане на подхода на справедливата стойност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8664CE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932B6A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реши също така в порядък на работна хипотеза, че ще обмисли допълнително становищата, получени като обратна информация, по следните теми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581D98" w:rsidP="00E46BB9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предложеното изключване от обхвата на кредитните карти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581D98" w:rsidP="00E46BB9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lastRenderedPageBreak/>
        <w:t>предложеното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изменение по отношение на очакваното възстановяване на паричните потоци при придобиване на застраховане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581D98" w:rsidP="00E46BB9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предложеното изменение по отношение на маржа на договорената услуга, който може да бъде отнесен към инвестиционните услуги 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единици покритие по отношение на застрахователни договори без характеристики на пряко участие в разпределението на печалбата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,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оповестявания и терминология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581D98" w:rsidP="00E46BB9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предложеното изменение по отношение на държани презастрахователни договори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възстановяване на загуби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581D98" w:rsidP="00E46BB9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приложимостта на опцията за смекчаване на риска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недеривативни финансови инструменти по справедлива стойност през печалбата или загубата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581D98" w:rsidP="00E46BB9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предложената дата на влизане в сила на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17;</w:t>
      </w:r>
    </w:p>
    <w:p w:rsidR="00E46BB9" w:rsidRPr="00DF6ECA" w:rsidRDefault="00581D98" w:rsidP="00E46BB9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предложеното удължаване на временното изключване от изискванията </w:t>
      </w:r>
      <w:r w:rsidR="0021585D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9 </w:t>
      </w:r>
      <w:r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 </w:t>
      </w:r>
      <w:r w:rsidR="0021585D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4 </w:t>
      </w:r>
      <w:r w:rsidR="0021585D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Застрахователни договори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21585D" w:rsidP="00E46BB9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преминаване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забраната за ретроспективно прилагане на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опцията за смекчаване на риска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21585D" w:rsidP="00E46BB9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предложените незначителни изменения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21585D" w:rsidP="00E46BB9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нивото на агрегиране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годишни кохорти </w:t>
      </w:r>
      <w:r w:rsidR="0053414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по отношение на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някои специфични застрахователни договори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21585D" w:rsidP="00E46BB9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бизнес комбинации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договори, придобити в техния период на уреждане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21585D" w:rsidP="00E46BB9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междинни финансови отчети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;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</w:t>
      </w:r>
    </w:p>
    <w:p w:rsidR="00E46BB9" w:rsidRPr="00DF6ECA" w:rsidRDefault="0021585D" w:rsidP="00E46BB9">
      <w:pPr>
        <w:numPr>
          <w:ilvl w:val="0"/>
          <w:numId w:val="26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допълнителни специфични модификации и облекчения при преход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8664CE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932B6A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реши също така в порядък на работна хипотеза, че няма да разглежда допълнително становищата, получени като обратна информация, по следните теми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534149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представяне в отчета за финансовото състояние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вземания за премии и задължения по искове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534149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опцията за смекчаване на риска по отношение на застрахователни договори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без характеристики на пряко участие в разпределението на печалбата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534149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датата на влизане в сила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сравнителна информация при първоначално прилагане на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17;</w:t>
      </w:r>
    </w:p>
    <w:p w:rsidR="00E46BB9" w:rsidRPr="00DF6ECA" w:rsidRDefault="00534149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нивото на агрегиране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годишни кохорти по отношение на всички застрахователни договори с изключение на някои специфични договори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534149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lastRenderedPageBreak/>
        <w:t>парични потоци в границите на държан презастрахователен договор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B829CA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субективността при определяне на дисконтовите проценти</w:t>
      </w:r>
      <w:r w:rsidR="00321F13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и корекцията за риск по отношение на нефинансов риск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321F13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корекцията за риск по отношение на нефинансов риск в консолидирана група предприятия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321F13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дисконтовия процент, използван за определяне на корекции в маржа на договорената услуга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321F13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опцията за друг всеобхватен доход по отношение на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застрахователни финансови приходи или разходи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321F13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бизнес комбинации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класифициране на придобити договори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321F13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обхвата на подхода спрямо променливите възнаграждения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държани презастрахователни договори и издадени презастрахователни договори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321F13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взаимозастрахователни дружества,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които издават застрахователни договори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;</w:t>
      </w:r>
    </w:p>
    <w:p w:rsidR="00E46BB9" w:rsidRPr="00DF6ECA" w:rsidRDefault="00321F13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преход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обща възможност за избор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 гъвкавост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 модифицирания ретроспективен подход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;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</w:t>
      </w:r>
    </w:p>
    <w:p w:rsidR="00E46BB9" w:rsidRPr="00DF6ECA" w:rsidRDefault="00321F13" w:rsidP="00E46BB9">
      <w:pPr>
        <w:numPr>
          <w:ilvl w:val="0"/>
          <w:numId w:val="27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преход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облекчения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при пълния ретроспективен подход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C706B6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575757"/>
          <w:sz w:val="24"/>
          <w:szCs w:val="24"/>
          <w:lang w:val="bg-BG"/>
        </w:rPr>
        <w:t>Следващи етапи</w:t>
      </w:r>
    </w:p>
    <w:p w:rsidR="00E46BB9" w:rsidRPr="00DF6ECA" w:rsidRDefault="002F017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На бъдещи свои заседания Съветът ще разисква повторно някои от въпросите, повдигнати от лицата, предоставили становища във връзка с Проекта за обсъждане </w:t>
      </w:r>
      <w:r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Изменения в</w:t>
      </w:r>
      <w:r w:rsidR="00E46BB9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 xml:space="preserve"> 17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E46BB9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 </w:t>
      </w:r>
    </w:p>
    <w:p w:rsidR="00E46BB9" w:rsidRPr="00DF6ECA" w:rsidRDefault="003405FC" w:rsidP="00E46BB9">
      <w:pPr>
        <w:shd w:val="clear" w:color="auto" w:fill="FFFFFF"/>
        <w:spacing w:before="450" w:after="300" w:line="240" w:lineRule="auto"/>
        <w:outlineLvl w:val="1"/>
        <w:rPr>
          <w:rFonts w:ascii="Calibri" w:eastAsia="Times New Roman" w:hAnsi="Calibri" w:cs="Helvetica"/>
          <w:b/>
          <w:bCs/>
          <w:color w:val="333333"/>
          <w:sz w:val="34"/>
          <w:szCs w:val="34"/>
          <w:lang w:val="bg-BG"/>
        </w:rPr>
      </w:pPr>
      <w:bookmarkStart w:id="6" w:name="7"/>
      <w:r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Въпроси, свързани с въвеждането и прилагането на стандартите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211A87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CD3333"/>
          <w:sz w:val="34"/>
          <w:szCs w:val="34"/>
          <w:lang w:val="bg-BG"/>
        </w:rPr>
        <w:t xml:space="preserve"> 12)</w:t>
      </w:r>
      <w:bookmarkEnd w:id="6"/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На 20 ноември 2019 г. Съветът проведе заседание, за да обсъди </w:t>
      </w:r>
      <w:r w:rsidR="002F0175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въпроси, свързани с въвеждането и прилагането на стандартите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6B6404" w:rsidP="00E46BB9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Отсъствие</w:t>
      </w:r>
      <w:r w:rsidR="002F0175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на възможност за обмен на валути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(</w:t>
      </w:r>
      <w:r w:rsidR="00B40335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МСС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21) (</w:t>
      </w:r>
      <w:r w:rsidR="002F0175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Документи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12A–12</w:t>
      </w:r>
      <w:r w:rsidR="002F0175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Г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)</w:t>
      </w:r>
    </w:p>
    <w:p w:rsidR="00E46BB9" w:rsidRPr="00DF6ECA" w:rsidRDefault="006B6404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lastRenderedPageBreak/>
        <w:t>Съветът обсъди препоръка от Комитета по разясненията на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(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„Комитета“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)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 предприеме процес по изготвяне и въвеждане на изменение с тесен обхват във връзка с валутния спот курс, който предприятието използва, когато отсъства възможност за обмен между две валути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EE7794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се съгласи с препоръката на Комитета и реши в порядък на работна хипотеза да предприеме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процес по изготвяне и въвеждане на изменение с тесен обхват във връзка с този въпрос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8664CE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EE7794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Съветът обсъди и препоръките на Комитета относно </w:t>
      </w:r>
      <w:r w:rsidR="001A68A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това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как да измени </w:t>
      </w:r>
      <w:r w:rsidR="00B40335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МСС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21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 това отношение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. 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 частност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,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обсъди изготвения от Комитета анализ и препоръки относно това как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EE7794" w:rsidP="00E46BB9">
      <w:pPr>
        <w:numPr>
          <w:ilvl w:val="0"/>
          <w:numId w:val="28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 дефинира възможността за обмен на валутите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 респективно отсъствието на такава възможност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;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</w:t>
      </w:r>
    </w:p>
    <w:p w:rsidR="00E46BB9" w:rsidRPr="00DF6ECA" w:rsidRDefault="00EE7794" w:rsidP="00E46BB9">
      <w:pPr>
        <w:numPr>
          <w:ilvl w:val="0"/>
          <w:numId w:val="28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 определи валутния спот курс, когато отсъства възможност за обмен на валутите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EE7794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E46BB9" w:rsidRPr="00DF6ECA" w:rsidRDefault="00EE7794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бъдещо свое заседание Съветът ще продължи обсъжданията си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EE7794" w:rsidP="00E46BB9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Годишни подобрения на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стандарти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2018–2020 </w:t>
      </w: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г. 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(</w:t>
      </w: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Документи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12</w:t>
      </w: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–12</w:t>
      </w:r>
      <w:r w:rsidR="001F25A2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й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)</w:t>
      </w:r>
    </w:p>
    <w:p w:rsidR="00E46BB9" w:rsidRPr="00DF6ECA" w:rsidRDefault="00EE7794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обсъди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становищата, получени като обратна информация във връзка с Проекта за обсъждане </w:t>
      </w:r>
      <w:r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Годишни подобрения на</w:t>
      </w:r>
      <w:r w:rsidR="00E46BB9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стандарти</w:t>
      </w:r>
      <w:r w:rsidR="00E46BB9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 xml:space="preserve"> 2018–2020</w:t>
      </w:r>
      <w:r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 xml:space="preserve"> г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EE7794" w:rsidP="00E46BB9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Дъщерно предприятие като предприятие, прилагащо стандартите за първи път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(</w:t>
      </w: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Изменение на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1)</w:t>
      </w: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(</w:t>
      </w:r>
      <w:r w:rsidR="00211A87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12</w:t>
      </w: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Е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)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Съветът реши в порядък на работна хипотеза </w:t>
      </w:r>
      <w:r w:rsidR="00EE779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EE779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измени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1 </w:t>
      </w:r>
      <w:r w:rsidR="00EE7794"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 xml:space="preserve">Прилагане за първи път на Международните стандарти за финансово отчитане, </w:t>
      </w:r>
      <w:r w:rsidR="00EE779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за да позволи на дъщерно предприятие, което избере да прилага параграф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EE779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Г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16(a) </w:t>
      </w:r>
      <w:r w:rsidR="00EE779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 </w:t>
      </w:r>
      <w:r w:rsidR="00EE779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 оцени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="00EE779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използвайки сумата, отчетена от предприятието майка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—</w:t>
      </w:r>
      <w:r w:rsidR="00EE779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кумулативните разлики </w:t>
      </w:r>
      <w:r w:rsidR="002A17AE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</w:t>
      </w:r>
      <w:r w:rsidR="00EE7794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преизчисление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A17AE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по отношение на всички чуждестранни дейности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.  </w:t>
      </w:r>
      <w:r w:rsidR="002A17AE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Тази оценка се базира на датата на преминаване на предприятието майка към МСФО. </w:t>
      </w:r>
      <w:r w:rsidR="002A17AE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lastRenderedPageBreak/>
        <w:t>Изменението ще се прилага също така и спрямо асоциирани и съвместни предприятия, които изберат да прилагат параграф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A17AE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Г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16(a) </w:t>
      </w:r>
      <w:r w:rsidR="002A17AE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1.</w:t>
      </w:r>
    </w:p>
    <w:p w:rsidR="00E46BB9" w:rsidRPr="00DF6ECA" w:rsidRDefault="008664CE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CF0869" w:rsidP="00E46BB9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Такси при теста за „Десетте процента“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за отписване на финансови пасиви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(</w:t>
      </w: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Изменение на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9) 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(</w:t>
      </w:r>
      <w:r w:rsidR="00211A87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12</w:t>
      </w:r>
      <w:r w:rsidR="00EE7794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Ж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)</w:t>
      </w:r>
    </w:p>
    <w:p w:rsidR="00E46BB9" w:rsidRPr="00DF6ECA" w:rsidRDefault="00CF0869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Проектът за обсъждане предлага</w:t>
      </w:r>
      <w:r w:rsidR="00052BAD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ше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CF0869" w:rsidP="00E46BB9">
      <w:pPr>
        <w:numPr>
          <w:ilvl w:val="0"/>
          <w:numId w:val="29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 поясни, че при теста за „десетте процента“ за отписване на финансов пасив в параграф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Б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3.3.6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9 </w:t>
      </w:r>
      <w:r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,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„таксите“ се отнасят единствено да такси, платени или получени между заемателя и заемодателя, включително таксите, платени или получени или от заемодателя, или от заемателя, за сметка на другата страна; и</w:t>
      </w:r>
    </w:p>
    <w:p w:rsidR="00E46BB9" w:rsidRPr="00DF6ECA" w:rsidRDefault="00CF0869" w:rsidP="00E46BB9">
      <w:pPr>
        <w:numPr>
          <w:ilvl w:val="0"/>
          <w:numId w:val="29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 изисква предприятието да прилага изменението спрямо финансови пасиви</w:t>
      </w:r>
      <w:r w:rsidR="00026F8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, които са модифицирани или разменени на или след датата, когато изменението се прилага за първи път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Съветът реши в порядък на работна хипотеза </w:t>
      </w:r>
      <w:r w:rsidR="00CF086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 финализира предложеното изменение в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9</w:t>
      </w:r>
      <w:r w:rsidR="001A68A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,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CF086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без никакви промени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8664CE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026F89" w:rsidP="00E46BB9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Стимули по лизинга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(</w:t>
      </w: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Изменение на илюстративните примери, съпътстващи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16) 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(</w:t>
      </w:r>
      <w:r w:rsidR="00211A87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12</w:t>
      </w: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„</w:t>
      </w:r>
      <w:r w:rsidR="00EE7794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З</w:t>
      </w: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“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)</w:t>
      </w:r>
    </w:p>
    <w:p w:rsidR="00E46BB9" w:rsidRPr="00DF6ECA" w:rsidRDefault="00052BAD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Проектът за обсъждане предлагаше да се измени Илюстративен пример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13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, съпътстващ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16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 xml:space="preserve">Лизинг,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като се отстрани илюстрирането на възстановяването на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средства за подобрения на наетото имущество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Съветът реши в порядък на работна хипотеза </w:t>
      </w:r>
      <w:r w:rsidR="00052BAD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052BAD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финализира предложеното изменение в Илюстративните примери, съпътстващи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211A87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МСФО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16</w:t>
      </w:r>
      <w:r w:rsidR="00052BAD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,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052BAD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без никакви промени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120FBF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съгласие, а един - несъгласие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052BAD" w:rsidP="00E46BB9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Данъчно облагане при оценяване по справедлива стойност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(</w:t>
      </w:r>
      <w:r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Изменение на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B40335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>МСС</w:t>
      </w:r>
      <w:r w:rsidR="00E46BB9" w:rsidRPr="00DF6ECA">
        <w:rPr>
          <w:rFonts w:ascii="Calibri" w:eastAsia="Times New Roman" w:hAnsi="Calibri" w:cs="Helvetica"/>
          <w:b/>
          <w:bCs/>
          <w:i/>
          <w:iCs/>
          <w:color w:val="333333"/>
          <w:sz w:val="24"/>
          <w:szCs w:val="24"/>
          <w:lang w:val="bg-BG"/>
        </w:rPr>
        <w:t xml:space="preserve"> 41) 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(</w:t>
      </w:r>
      <w:r w:rsidR="00211A87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12</w:t>
      </w:r>
      <w:r w:rsidR="00EE7794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И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)</w:t>
      </w:r>
    </w:p>
    <w:p w:rsidR="00E46BB9" w:rsidRPr="00DF6ECA" w:rsidRDefault="00052BAD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lastRenderedPageBreak/>
        <w:t>Проектът за обсъждане предлагаше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:</w:t>
      </w:r>
    </w:p>
    <w:p w:rsidR="00E46BB9" w:rsidRPr="00DF6ECA" w:rsidRDefault="000F6E0C" w:rsidP="00E46BB9">
      <w:pPr>
        <w:numPr>
          <w:ilvl w:val="0"/>
          <w:numId w:val="30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отстраняване на изискването в параграф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22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="00B40335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МСС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41 </w:t>
      </w:r>
      <w:r w:rsidRPr="00DF6ECA">
        <w:rPr>
          <w:rFonts w:ascii="Calibri" w:eastAsia="Times New Roman" w:hAnsi="Calibri" w:cs="Helvetica"/>
          <w:i/>
          <w:iCs/>
          <w:color w:val="575757"/>
          <w:sz w:val="24"/>
          <w:szCs w:val="24"/>
          <w:lang w:val="bg-BG"/>
        </w:rPr>
        <w:t>Земеделие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 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предприятията да изключват паричните потоци за плащане на данъци,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когато оценяват справедливата стойност на биологични активи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;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и</w:t>
      </w:r>
    </w:p>
    <w:p w:rsidR="00E46BB9" w:rsidRPr="00DF6ECA" w:rsidRDefault="000F6E0C" w:rsidP="00E46BB9">
      <w:pPr>
        <w:numPr>
          <w:ilvl w:val="0"/>
          <w:numId w:val="30"/>
        </w:numPr>
        <w:shd w:val="clear" w:color="auto" w:fill="FFFFFF"/>
        <w:spacing w:before="75" w:after="75" w:line="240" w:lineRule="auto"/>
        <w:ind w:left="495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да се изисква предприятието да прилага изменението по отношение на оценяване по справедлива стойност на или след датата, когато прилага изменението за първи път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Съветът реши в порядък на работна хипотеза </w:t>
      </w:r>
      <w:r w:rsidR="00052BAD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да финализира предложеното изменение в </w:t>
      </w: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МСС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 xml:space="preserve"> 41</w:t>
      </w:r>
      <w:r w:rsidR="00052BAD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, без никакви промени.</w:t>
      </w:r>
    </w:p>
    <w:p w:rsidR="00E46BB9" w:rsidRPr="00DF6ECA" w:rsidRDefault="008664CE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B40335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i/>
          <w:iCs/>
          <w:color w:val="575757"/>
          <w:sz w:val="24"/>
          <w:szCs w:val="24"/>
          <w:lang w:val="bg-BG"/>
        </w:rPr>
        <w:t>Следващ етап</w:t>
      </w:r>
    </w:p>
    <w:p w:rsidR="00E46BB9" w:rsidRPr="00DF6ECA" w:rsidRDefault="000F6E0C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На бъдещо свое заседание Съветът ще разгледа датата на влизане в сила и стъпките от регламентираната процедура във връзка с този проект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E46BB9" w:rsidRPr="00DF6ECA" w:rsidRDefault="000F6E0C" w:rsidP="00E46BB9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Криптоактиви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(</w:t>
      </w:r>
      <w:r w:rsidR="00211A87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 xml:space="preserve"> 12</w:t>
      </w:r>
      <w:r w:rsidR="001F25A2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Й</w:t>
      </w:r>
      <w:r w:rsidR="00E46BB9" w:rsidRPr="00DF6ECA">
        <w:rPr>
          <w:rFonts w:ascii="Calibri" w:eastAsia="Times New Roman" w:hAnsi="Calibri" w:cs="Helvetica"/>
          <w:b/>
          <w:bCs/>
          <w:color w:val="333333"/>
          <w:sz w:val="24"/>
          <w:szCs w:val="24"/>
          <w:lang w:val="bg-BG"/>
        </w:rPr>
        <w:t>)</w:t>
      </w:r>
    </w:p>
    <w:p w:rsidR="00E46BB9" w:rsidRPr="00DF6ECA" w:rsidRDefault="000F6E0C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Съветът бе запознат с актуална информация относно текущото наблюдение, осъществено върху криптоактивите, след като Съветът обсъди последно тази тема през ноември 2018 г.</w:t>
      </w:r>
    </w:p>
    <w:p w:rsidR="00E46BB9" w:rsidRPr="00DF6ECA" w:rsidRDefault="001F25A2" w:rsidP="00E46BB9">
      <w:pPr>
        <w:shd w:val="clear" w:color="auto" w:fill="FFFFFF"/>
        <w:spacing w:after="300" w:line="240" w:lineRule="auto"/>
        <w:rPr>
          <w:rFonts w:ascii="Calibri" w:eastAsia="Times New Roman" w:hAnsi="Calibri" w:cs="Helvetica"/>
          <w:color w:val="575757"/>
          <w:sz w:val="24"/>
          <w:szCs w:val="24"/>
          <w:lang w:val="bg-BG"/>
        </w:rPr>
      </w:pPr>
      <w:r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E46BB9" w:rsidRPr="00DF6ECA">
        <w:rPr>
          <w:rFonts w:ascii="Calibri" w:eastAsia="Times New Roman" w:hAnsi="Calibri" w:cs="Helvetica"/>
          <w:color w:val="575757"/>
          <w:sz w:val="24"/>
          <w:szCs w:val="24"/>
          <w:lang w:val="bg-BG"/>
        </w:rPr>
        <w:t>.</w:t>
      </w:r>
    </w:p>
    <w:p w:rsidR="00B43FAE" w:rsidRPr="00DF6ECA" w:rsidRDefault="00B43FAE">
      <w:pPr>
        <w:rPr>
          <w:rFonts w:ascii="Calibri" w:hAnsi="Calibri"/>
          <w:lang w:val="bg-BG"/>
        </w:rPr>
      </w:pPr>
      <w:bookmarkStart w:id="7" w:name="_GoBack"/>
      <w:bookmarkEnd w:id="7"/>
    </w:p>
    <w:sectPr w:rsidR="00B43FAE" w:rsidRPr="00DF6ECA" w:rsidSect="00E46BB9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6A6"/>
    <w:multiLevelType w:val="multilevel"/>
    <w:tmpl w:val="6C36D4C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429CE"/>
    <w:multiLevelType w:val="multilevel"/>
    <w:tmpl w:val="C078556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523D8"/>
    <w:multiLevelType w:val="multilevel"/>
    <w:tmpl w:val="7FFC7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373DA"/>
    <w:multiLevelType w:val="multilevel"/>
    <w:tmpl w:val="5FF6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06532"/>
    <w:multiLevelType w:val="multilevel"/>
    <w:tmpl w:val="E33A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263BA"/>
    <w:multiLevelType w:val="multilevel"/>
    <w:tmpl w:val="5CD02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515FE0"/>
    <w:multiLevelType w:val="multilevel"/>
    <w:tmpl w:val="CB0045D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C2981"/>
    <w:multiLevelType w:val="multilevel"/>
    <w:tmpl w:val="6AC2F68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92DBF"/>
    <w:multiLevelType w:val="multilevel"/>
    <w:tmpl w:val="347CDCF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D5946"/>
    <w:multiLevelType w:val="multilevel"/>
    <w:tmpl w:val="4EFEC3A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E77BF"/>
    <w:multiLevelType w:val="multilevel"/>
    <w:tmpl w:val="5F00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1730C5"/>
    <w:multiLevelType w:val="multilevel"/>
    <w:tmpl w:val="3F18F1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AE66AB"/>
    <w:multiLevelType w:val="multilevel"/>
    <w:tmpl w:val="62A4AAE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B82D19"/>
    <w:multiLevelType w:val="multilevel"/>
    <w:tmpl w:val="B6BA6BE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071132"/>
    <w:multiLevelType w:val="multilevel"/>
    <w:tmpl w:val="A7FCE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540299"/>
    <w:multiLevelType w:val="multilevel"/>
    <w:tmpl w:val="D348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346EAD"/>
    <w:multiLevelType w:val="multilevel"/>
    <w:tmpl w:val="F75C446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8D79F2"/>
    <w:multiLevelType w:val="multilevel"/>
    <w:tmpl w:val="2006F3E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7467F4"/>
    <w:multiLevelType w:val="multilevel"/>
    <w:tmpl w:val="A6A6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654B8"/>
    <w:multiLevelType w:val="multilevel"/>
    <w:tmpl w:val="D55CA4F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A76616"/>
    <w:multiLevelType w:val="multilevel"/>
    <w:tmpl w:val="4F18B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FD357F"/>
    <w:multiLevelType w:val="multilevel"/>
    <w:tmpl w:val="F8D8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5C6A89"/>
    <w:multiLevelType w:val="multilevel"/>
    <w:tmpl w:val="9BBE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477A4C"/>
    <w:multiLevelType w:val="multilevel"/>
    <w:tmpl w:val="FD32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8A0158"/>
    <w:multiLevelType w:val="multilevel"/>
    <w:tmpl w:val="5A0616F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A04F90"/>
    <w:multiLevelType w:val="multilevel"/>
    <w:tmpl w:val="0C7C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1164A2"/>
    <w:multiLevelType w:val="multilevel"/>
    <w:tmpl w:val="C3A6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29460E"/>
    <w:multiLevelType w:val="multilevel"/>
    <w:tmpl w:val="759C70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71DFC"/>
    <w:multiLevelType w:val="multilevel"/>
    <w:tmpl w:val="4F8E49A8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425AA0"/>
    <w:multiLevelType w:val="multilevel"/>
    <w:tmpl w:val="DD40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946771"/>
    <w:multiLevelType w:val="multilevel"/>
    <w:tmpl w:val="5BD6A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FA2CC8"/>
    <w:multiLevelType w:val="multilevel"/>
    <w:tmpl w:val="5FB6424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7446AF"/>
    <w:multiLevelType w:val="multilevel"/>
    <w:tmpl w:val="B1DC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255B12"/>
    <w:multiLevelType w:val="multilevel"/>
    <w:tmpl w:val="F7D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9B6F3C"/>
    <w:multiLevelType w:val="multilevel"/>
    <w:tmpl w:val="5F38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3508D2"/>
    <w:multiLevelType w:val="multilevel"/>
    <w:tmpl w:val="355800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3B41DF"/>
    <w:multiLevelType w:val="multilevel"/>
    <w:tmpl w:val="BA04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AF1A0A"/>
    <w:multiLevelType w:val="multilevel"/>
    <w:tmpl w:val="4D66A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C56F71"/>
    <w:multiLevelType w:val="multilevel"/>
    <w:tmpl w:val="2214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F81DD0"/>
    <w:multiLevelType w:val="multilevel"/>
    <w:tmpl w:val="50F08CE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A5331F"/>
    <w:multiLevelType w:val="multilevel"/>
    <w:tmpl w:val="F4CCFC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271C08"/>
    <w:multiLevelType w:val="multilevel"/>
    <w:tmpl w:val="5C2A141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7C52D3"/>
    <w:multiLevelType w:val="multilevel"/>
    <w:tmpl w:val="4F18AF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FB04E7"/>
    <w:multiLevelType w:val="multilevel"/>
    <w:tmpl w:val="1AC0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B85E8A"/>
    <w:multiLevelType w:val="multilevel"/>
    <w:tmpl w:val="2F149AD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302E9D"/>
    <w:multiLevelType w:val="multilevel"/>
    <w:tmpl w:val="F9C0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3"/>
  </w:num>
  <w:num w:numId="3">
    <w:abstractNumId w:val="24"/>
  </w:num>
  <w:num w:numId="4">
    <w:abstractNumId w:val="31"/>
  </w:num>
  <w:num w:numId="5">
    <w:abstractNumId w:val="7"/>
  </w:num>
  <w:num w:numId="6">
    <w:abstractNumId w:val="20"/>
  </w:num>
  <w:num w:numId="7">
    <w:abstractNumId w:val="27"/>
  </w:num>
  <w:num w:numId="8">
    <w:abstractNumId w:val="45"/>
  </w:num>
  <w:num w:numId="9">
    <w:abstractNumId w:val="38"/>
  </w:num>
  <w:num w:numId="10">
    <w:abstractNumId w:val="23"/>
  </w:num>
  <w:num w:numId="11">
    <w:abstractNumId w:val="30"/>
  </w:num>
  <w:num w:numId="12">
    <w:abstractNumId w:val="21"/>
  </w:num>
  <w:num w:numId="13">
    <w:abstractNumId w:val="35"/>
  </w:num>
  <w:num w:numId="14">
    <w:abstractNumId w:val="36"/>
  </w:num>
  <w:num w:numId="15">
    <w:abstractNumId w:val="11"/>
  </w:num>
  <w:num w:numId="16">
    <w:abstractNumId w:val="18"/>
  </w:num>
  <w:num w:numId="17">
    <w:abstractNumId w:val="42"/>
  </w:num>
  <w:num w:numId="18">
    <w:abstractNumId w:val="10"/>
  </w:num>
  <w:num w:numId="19">
    <w:abstractNumId w:val="40"/>
  </w:num>
  <w:num w:numId="20">
    <w:abstractNumId w:val="32"/>
  </w:num>
  <w:num w:numId="21">
    <w:abstractNumId w:val="44"/>
  </w:num>
  <w:num w:numId="22">
    <w:abstractNumId w:val="15"/>
  </w:num>
  <w:num w:numId="23">
    <w:abstractNumId w:val="9"/>
  </w:num>
  <w:num w:numId="24">
    <w:abstractNumId w:val="16"/>
  </w:num>
  <w:num w:numId="25">
    <w:abstractNumId w:val="41"/>
  </w:num>
  <w:num w:numId="26">
    <w:abstractNumId w:val="8"/>
  </w:num>
  <w:num w:numId="27">
    <w:abstractNumId w:val="6"/>
  </w:num>
  <w:num w:numId="28">
    <w:abstractNumId w:val="39"/>
  </w:num>
  <w:num w:numId="29">
    <w:abstractNumId w:val="28"/>
  </w:num>
  <w:num w:numId="30">
    <w:abstractNumId w:val="0"/>
  </w:num>
  <w:num w:numId="31">
    <w:abstractNumId w:val="34"/>
  </w:num>
  <w:num w:numId="32">
    <w:abstractNumId w:val="19"/>
  </w:num>
  <w:num w:numId="33">
    <w:abstractNumId w:val="14"/>
  </w:num>
  <w:num w:numId="34">
    <w:abstractNumId w:val="25"/>
  </w:num>
  <w:num w:numId="35">
    <w:abstractNumId w:val="5"/>
  </w:num>
  <w:num w:numId="36">
    <w:abstractNumId w:val="26"/>
  </w:num>
  <w:num w:numId="37">
    <w:abstractNumId w:val="22"/>
  </w:num>
  <w:num w:numId="38">
    <w:abstractNumId w:val="1"/>
  </w:num>
  <w:num w:numId="39">
    <w:abstractNumId w:val="37"/>
  </w:num>
  <w:num w:numId="40">
    <w:abstractNumId w:val="13"/>
  </w:num>
  <w:num w:numId="41">
    <w:abstractNumId w:val="2"/>
  </w:num>
  <w:num w:numId="42">
    <w:abstractNumId w:val="17"/>
  </w:num>
  <w:num w:numId="43">
    <w:abstractNumId w:val="43"/>
  </w:num>
  <w:num w:numId="44">
    <w:abstractNumId w:val="12"/>
  </w:num>
  <w:num w:numId="45">
    <w:abstractNumId w:val="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6BB9"/>
    <w:rsid w:val="00026F89"/>
    <w:rsid w:val="00052BAD"/>
    <w:rsid w:val="000971A4"/>
    <w:rsid w:val="000C282F"/>
    <w:rsid w:val="000F6E0C"/>
    <w:rsid w:val="00120FBF"/>
    <w:rsid w:val="001867D8"/>
    <w:rsid w:val="001A68A7"/>
    <w:rsid w:val="001D45C5"/>
    <w:rsid w:val="001F25A2"/>
    <w:rsid w:val="00211A87"/>
    <w:rsid w:val="0021585D"/>
    <w:rsid w:val="002255CB"/>
    <w:rsid w:val="002A17AE"/>
    <w:rsid w:val="002F0175"/>
    <w:rsid w:val="00321F13"/>
    <w:rsid w:val="003405FC"/>
    <w:rsid w:val="003547B5"/>
    <w:rsid w:val="00373D84"/>
    <w:rsid w:val="00393CA5"/>
    <w:rsid w:val="00464910"/>
    <w:rsid w:val="00505895"/>
    <w:rsid w:val="00511DC0"/>
    <w:rsid w:val="00533137"/>
    <w:rsid w:val="00534149"/>
    <w:rsid w:val="00581D98"/>
    <w:rsid w:val="006B6404"/>
    <w:rsid w:val="007D51DD"/>
    <w:rsid w:val="007E090A"/>
    <w:rsid w:val="008664CE"/>
    <w:rsid w:val="008951B0"/>
    <w:rsid w:val="008E6A4C"/>
    <w:rsid w:val="008F49E0"/>
    <w:rsid w:val="008F5736"/>
    <w:rsid w:val="00932B6A"/>
    <w:rsid w:val="00A8085F"/>
    <w:rsid w:val="00AA3131"/>
    <w:rsid w:val="00AE6F3A"/>
    <w:rsid w:val="00B31C6E"/>
    <w:rsid w:val="00B40335"/>
    <w:rsid w:val="00B43FAE"/>
    <w:rsid w:val="00B829CA"/>
    <w:rsid w:val="00BB79DF"/>
    <w:rsid w:val="00C706B6"/>
    <w:rsid w:val="00C77403"/>
    <w:rsid w:val="00CF0869"/>
    <w:rsid w:val="00D65A29"/>
    <w:rsid w:val="00D7286D"/>
    <w:rsid w:val="00DC0DDE"/>
    <w:rsid w:val="00DD0E74"/>
    <w:rsid w:val="00DF6ECA"/>
    <w:rsid w:val="00E46BB9"/>
    <w:rsid w:val="00E5263B"/>
    <w:rsid w:val="00E705BC"/>
    <w:rsid w:val="00E76FCE"/>
    <w:rsid w:val="00EB23D5"/>
    <w:rsid w:val="00ED3B15"/>
    <w:rsid w:val="00EE7794"/>
    <w:rsid w:val="00FB29E6"/>
    <w:rsid w:val="00FB62F4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7677A-C838-44CE-9137-BA9FF8A1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335"/>
    <w:rPr>
      <w:b/>
      <w:bCs/>
    </w:rPr>
  </w:style>
  <w:style w:type="table" w:styleId="TableGrid">
    <w:name w:val="Table Grid"/>
    <w:basedOn w:val="TableNormal"/>
    <w:uiPriority w:val="39"/>
    <w:rsid w:val="00B403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B4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66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347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6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4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november-2019/" TargetMode="External"/><Relationship Id="rId13" Type="http://schemas.openxmlformats.org/officeDocument/2006/relationships/hyperlink" Target="https://www.ifrs.org/news-and-events/updates/iasb-updates/july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november-2019/" TargetMode="External"/><Relationship Id="rId12" Type="http://schemas.openxmlformats.org/officeDocument/2006/relationships/hyperlink" Target="https://www.ifrs.org/news-and-events/updates/iasb-updates/july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november-2019/" TargetMode="External"/><Relationship Id="rId11" Type="http://schemas.openxmlformats.org/officeDocument/2006/relationships/hyperlink" Target="https://www.ifrs.org/news-and-events/updates/iasb-updates/november-2019/" TargetMode="External"/><Relationship Id="rId5" Type="http://schemas.openxmlformats.org/officeDocument/2006/relationships/hyperlink" Target="https://www.ifrs.org/news-and-events/updates/iasb-updates/november-201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frs.org/news-and-events/updates/iasb-updates/november-20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november-201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22</Pages>
  <Words>5004</Words>
  <Characters>29630</Characters>
  <Application>Microsoft Office Word</Application>
  <DocSecurity>0</DocSecurity>
  <Lines>604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VS</cp:lastModifiedBy>
  <cp:revision>23</cp:revision>
  <dcterms:created xsi:type="dcterms:W3CDTF">2019-11-29T08:19:00Z</dcterms:created>
  <dcterms:modified xsi:type="dcterms:W3CDTF">2019-11-30T05:10:00Z</dcterms:modified>
</cp:coreProperties>
</file>