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F6A" w:rsidRPr="008B6235" w:rsidRDefault="008B6235" w:rsidP="008B6235">
      <w:pPr>
        <w:pStyle w:val="Heading1"/>
        <w:shd w:val="clear" w:color="auto" w:fill="A41F35"/>
        <w:tabs>
          <w:tab w:val="left" w:pos="7980"/>
        </w:tabs>
        <w:spacing w:before="0"/>
        <w:rPr>
          <w:rFonts w:asciiTheme="minorHAnsi" w:eastAsia="Times New Roman" w:hAnsiTheme="minorHAnsi" w:cs="Helvetica"/>
          <w:b/>
          <w:bCs/>
          <w:color w:val="FFFFFF"/>
          <w:kern w:val="36"/>
          <w:sz w:val="58"/>
          <w:szCs w:val="58"/>
        </w:rPr>
      </w:pPr>
      <w:r w:rsidRPr="008B6235">
        <w:rPr>
          <w:rFonts w:asciiTheme="minorHAnsi" w:eastAsia="Times New Roman" w:hAnsiTheme="minorHAnsi" w:cs="Helvetica"/>
          <w:b/>
          <w:bCs/>
          <w:color w:val="FFFFFF"/>
          <w:kern w:val="36"/>
          <w:sz w:val="58"/>
          <w:szCs w:val="58"/>
          <w:lang w:val="bg-BG"/>
        </w:rPr>
        <w:t>Информационен бюлетин на Съвета по международни счетоводни стандарти (IASB) – октомври 2019 г.</w:t>
      </w:r>
    </w:p>
    <w:p w:rsidR="00365F6A" w:rsidRPr="008B6235" w:rsidRDefault="00365F6A" w:rsidP="00365F6A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bCs/>
          <w:color w:val="FFFFFF"/>
          <w:kern w:val="36"/>
          <w:sz w:val="58"/>
          <w:szCs w:val="58"/>
        </w:rPr>
      </w:pPr>
      <w:r w:rsidRPr="008B6235">
        <w:rPr>
          <w:rFonts w:eastAsia="Times New Roman" w:cs="Helvetica"/>
          <w:b/>
          <w:bCs/>
          <w:color w:val="FFFFFF"/>
          <w:kern w:val="36"/>
          <w:sz w:val="58"/>
          <w:szCs w:val="58"/>
        </w:rPr>
        <w:t>B Update October 2019</w:t>
      </w:r>
    </w:p>
    <w:p w:rsidR="00365F6A" w:rsidRPr="008B6235" w:rsidRDefault="008B6235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Настоящият бюлетин на Съвета по международни счетоводни стандарти (IASB) (”Съветът”) представя предварителните решения на Съвета. Окончателните решения на Съвета по международни счетоводни стандарти относно: МСФО стандарти (IFRS</w:t>
      </w:r>
      <w:r w:rsidRPr="00E765E5">
        <w:rPr>
          <w:rFonts w:eastAsia="Times New Roman" w:cs="Helvetica"/>
          <w:color w:val="575757"/>
          <w:sz w:val="24"/>
          <w:szCs w:val="24"/>
          <w:vertAlign w:val="superscript"/>
          <w:lang w:val="bg-BG"/>
        </w:rPr>
        <w:t>®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 Standards), Изменения и Разяснения (IFRIC</w:t>
      </w:r>
      <w:r w:rsidRPr="00E765E5">
        <w:rPr>
          <w:rFonts w:eastAsia="Times New Roman" w:cs="Helvetica"/>
          <w:color w:val="575757"/>
          <w:sz w:val="24"/>
          <w:szCs w:val="24"/>
          <w:vertAlign w:val="superscript"/>
          <w:lang w:val="bg-BG"/>
        </w:rPr>
        <w:t>®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 Interpretations) се подлагат на официално гласуване, съгласно предвиденото в </w:t>
      </w:r>
      <w:r w:rsidRPr="00E765E5">
        <w:rPr>
          <w:rFonts w:eastAsia="Times New Roman" w:cs="Helvetica"/>
          <w:i/>
          <w:color w:val="575757"/>
          <w:sz w:val="24"/>
          <w:szCs w:val="24"/>
          <w:lang w:val="bg-BG"/>
        </w:rPr>
        <w:t>Ръководството по регламентираната процедура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на Фондация МСФО (IFRS</w:t>
      </w:r>
      <w:r w:rsidRPr="00E765E5">
        <w:rPr>
          <w:rFonts w:eastAsia="Times New Roman" w:cs="Helvetica"/>
          <w:color w:val="575757"/>
          <w:sz w:val="24"/>
          <w:szCs w:val="24"/>
          <w:vertAlign w:val="superscript"/>
          <w:lang w:val="bg-BG"/>
        </w:rPr>
        <w:t>®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Foundation) и Комитета по разясненията на МСФО (IFRS Interpretation Committee)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.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br/>
      </w:r>
      <w:r w:rsidR="00365F6A" w:rsidRPr="008B6235">
        <w:rPr>
          <w:rFonts w:eastAsia="Times New Roman" w:cs="Helvetica"/>
          <w:color w:val="575757"/>
          <w:sz w:val="24"/>
          <w:szCs w:val="24"/>
        </w:rPr>
        <w:br/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проведе заседания от </w:t>
      </w:r>
      <w:r>
        <w:rPr>
          <w:rFonts w:eastAsia="Times New Roman" w:cs="Helvetica"/>
          <w:color w:val="575757"/>
          <w:sz w:val="24"/>
          <w:szCs w:val="24"/>
          <w:lang w:val="bg-BG"/>
        </w:rPr>
        <w:t>22 октомври 2019 г., вторник, до 24 октомври 2019 г., четвъртък,</w:t>
      </w:r>
      <w:r w:rsidRPr="008B6235">
        <w:rPr>
          <w:rFonts w:eastAsia="Times New Roman" w:cs="Helvetica"/>
          <w:color w:val="575757"/>
          <w:sz w:val="24"/>
          <w:szCs w:val="24"/>
        </w:rPr>
        <w:t xml:space="preserve">  в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офисите на Фондация МСФО в Лондон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.</w:t>
      </w:r>
    </w:p>
    <w:p w:rsidR="00365F6A" w:rsidRPr="008B6235" w:rsidRDefault="008B6235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Темите, по реда на обсъждането им, включваха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:</w:t>
      </w:r>
    </w:p>
    <w:p w:rsidR="00365F6A" w:rsidRPr="008B6235" w:rsidRDefault="005C741F" w:rsidP="00365F6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hyperlink r:id="rId5" w:anchor="1" w:history="1">
        <w:r w:rsidR="004D2EA3" w:rsidRPr="004D2EA3">
          <w:t xml:space="preserve"> </w:t>
        </w:r>
        <w:r w:rsidR="004D2EA3" w:rsidRPr="004D2EA3">
          <w:rPr>
            <w:rFonts w:eastAsia="Times New Roman" w:cs="Helvetica"/>
            <w:color w:val="CD3333"/>
            <w:sz w:val="24"/>
            <w:szCs w:val="24"/>
            <w:u w:val="single"/>
          </w:rPr>
          <w:t>Въпроси, свързани с въвеждането и прилагането на стандартите</w:t>
        </w:r>
      </w:hyperlink>
    </w:p>
    <w:p w:rsidR="00365F6A" w:rsidRPr="008B6235" w:rsidRDefault="005C741F" w:rsidP="00365F6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hyperlink r:id="rId6" w:anchor="2" w:history="1">
        <w:r w:rsidR="004D2EA3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Бизнес комбинации под общ контрол</w:t>
        </w:r>
      </w:hyperlink>
    </w:p>
    <w:p w:rsidR="00365F6A" w:rsidRPr="008B6235" w:rsidRDefault="005C741F" w:rsidP="00365F6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hyperlink r:id="rId7" w:anchor="3" w:history="1">
        <w:r w:rsidR="004D2EA3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Коментар на ръководството</w:t>
        </w:r>
      </w:hyperlink>
    </w:p>
    <w:p w:rsidR="00365F6A" w:rsidRPr="008B6235" w:rsidRDefault="005C741F" w:rsidP="00365F6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hyperlink r:id="rId8" w:anchor="4" w:history="1">
        <w:r w:rsidR="004D2EA3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Изменение на</w:t>
        </w:r>
        <w:r w:rsidR="00365F6A" w:rsidRPr="008B6235">
          <w:rPr>
            <w:rFonts w:eastAsia="Times New Roman" w:cs="Helvetica"/>
            <w:color w:val="CD3333"/>
            <w:sz w:val="24"/>
            <w:szCs w:val="24"/>
            <w:u w:val="single"/>
          </w:rPr>
          <w:t xml:space="preserve"> </w:t>
        </w:r>
        <w:r w:rsidR="008B6235">
          <w:rPr>
            <w:rFonts w:eastAsia="Times New Roman" w:cs="Helvetica"/>
            <w:color w:val="CD3333"/>
            <w:sz w:val="24"/>
            <w:szCs w:val="24"/>
            <w:u w:val="single"/>
          </w:rPr>
          <w:t>МСФО</w:t>
        </w:r>
        <w:r w:rsidR="00365F6A" w:rsidRPr="008B6235">
          <w:rPr>
            <w:rFonts w:eastAsia="Times New Roman" w:cs="Helvetica"/>
            <w:color w:val="CD3333"/>
            <w:sz w:val="24"/>
            <w:szCs w:val="24"/>
            <w:u w:val="single"/>
          </w:rPr>
          <w:t xml:space="preserve"> 17 </w:t>
        </w:r>
        <w:r w:rsidR="004D2EA3">
          <w:rPr>
            <w:rFonts w:eastAsia="Times New Roman" w:cs="Helvetica"/>
            <w:i/>
            <w:iCs/>
            <w:color w:val="CD3333"/>
            <w:sz w:val="24"/>
            <w:szCs w:val="24"/>
            <w:lang w:val="bg-BG"/>
          </w:rPr>
          <w:t>Застрахователни договори</w:t>
        </w:r>
      </w:hyperlink>
    </w:p>
    <w:p w:rsidR="00365F6A" w:rsidRPr="004D2EA3" w:rsidRDefault="005C741F" w:rsidP="00365F6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CD3333"/>
          <w:sz w:val="24"/>
          <w:szCs w:val="24"/>
          <w:u w:val="single"/>
          <w:lang w:val="bg-BG"/>
        </w:rPr>
      </w:pPr>
      <w:hyperlink r:id="rId9" w:anchor="5" w:history="1">
        <w:hyperlink r:id="rId10" w:anchor="7" w:history="1">
          <w:r w:rsidR="004D2EA3" w:rsidRPr="00E765E5">
            <w:rPr>
              <w:rFonts w:eastAsia="Times New Roman" w:cs="Helvetica"/>
              <w:color w:val="CD3333"/>
              <w:sz w:val="24"/>
              <w:szCs w:val="24"/>
              <w:u w:val="single"/>
              <w:lang w:val="bg-BG"/>
            </w:rPr>
            <w:t>Реформа на референтните лихвени проценти</w:t>
          </w:r>
        </w:hyperlink>
        <w:r w:rsidR="004D2EA3" w:rsidRPr="004D2EA3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и ефект</w:t>
        </w:r>
        <w:r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ът</w:t>
        </w:r>
        <w:r w:rsidR="004D2EA3" w:rsidRPr="004D2EA3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</w:t>
        </w:r>
        <w:r w:rsidR="00D61119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й </w:t>
        </w:r>
        <w:r w:rsidR="004D2EA3" w:rsidRPr="004D2EA3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върху финансовото отчитане</w:t>
        </w:r>
      </w:hyperlink>
    </w:p>
    <w:p w:rsidR="00365F6A" w:rsidRPr="008B6235" w:rsidRDefault="005C741F" w:rsidP="00365F6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hyperlink r:id="rId11" w:anchor="6" w:history="1">
        <w:r w:rsidR="00D61119" w:rsidRPr="00E765E5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Финансови инструменти с характеристики на собствен капитал</w:t>
        </w:r>
      </w:hyperlink>
    </w:p>
    <w:p w:rsidR="00365F6A" w:rsidRPr="008B6235" w:rsidRDefault="005C741F" w:rsidP="00365F6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hyperlink r:id="rId12" w:anchor="7" w:history="1">
        <w:r w:rsidR="00D61119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Динамично управление на риска</w:t>
        </w:r>
      </w:hyperlink>
    </w:p>
    <w:p w:rsidR="00365F6A" w:rsidRPr="008B6235" w:rsidRDefault="005C741F" w:rsidP="00365F6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hyperlink r:id="rId13" w:anchor="8" w:history="1">
        <w:r w:rsidR="00D61119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Преглед и актуализация на стандарта за МСП</w:t>
        </w:r>
      </w:hyperlink>
    </w:p>
    <w:p w:rsidR="00365F6A" w:rsidRPr="008B6235" w:rsidRDefault="005C741F" w:rsidP="00365F6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hyperlink r:id="rId14" w:anchor="9" w:history="1">
        <w:hyperlink r:id="rId15" w:anchor="13" w:history="1">
          <w:r w:rsidR="00D61119" w:rsidRPr="00E765E5">
            <w:rPr>
              <w:rFonts w:eastAsia="Times New Roman" w:cs="Helvetica"/>
              <w:color w:val="CD3333"/>
              <w:sz w:val="24"/>
              <w:szCs w:val="24"/>
              <w:u w:val="single"/>
              <w:lang w:val="bg-BG"/>
            </w:rPr>
            <w:t>Дъщерни предприятия, които са МСП</w:t>
          </w:r>
        </w:hyperlink>
      </w:hyperlink>
    </w:p>
    <w:p w:rsidR="00365F6A" w:rsidRPr="008B6235" w:rsidRDefault="005C741F" w:rsidP="00365F6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hyperlink r:id="rId16" w:anchor="10" w:history="1">
        <w:r w:rsidR="00D61119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Счетоводна политика и счетоводни приблизителни оценки</w:t>
        </w:r>
        <w:r w:rsidR="00365F6A" w:rsidRPr="008B6235">
          <w:rPr>
            <w:rFonts w:eastAsia="Times New Roman" w:cs="Helvetica"/>
            <w:color w:val="CD3333"/>
            <w:sz w:val="24"/>
            <w:szCs w:val="24"/>
            <w:u w:val="single"/>
          </w:rPr>
          <w:t xml:space="preserve"> (</w:t>
        </w:r>
        <w:r w:rsidR="00780C43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и</w:t>
        </w:r>
        <w:r w:rsidR="00D61119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зменения в</w:t>
        </w:r>
        <w:r w:rsidR="00365F6A" w:rsidRPr="008B6235">
          <w:rPr>
            <w:rFonts w:eastAsia="Times New Roman" w:cs="Helvetica"/>
            <w:color w:val="CD3333"/>
            <w:sz w:val="24"/>
            <w:szCs w:val="24"/>
            <w:u w:val="single"/>
          </w:rPr>
          <w:t xml:space="preserve"> </w:t>
        </w:r>
        <w:r w:rsidR="008B6235">
          <w:rPr>
            <w:rFonts w:eastAsia="Times New Roman" w:cs="Helvetica"/>
            <w:color w:val="CD3333"/>
            <w:sz w:val="24"/>
            <w:szCs w:val="24"/>
            <w:u w:val="single"/>
          </w:rPr>
          <w:t>МСС</w:t>
        </w:r>
        <w:r w:rsidR="00365F6A" w:rsidRPr="008B6235">
          <w:rPr>
            <w:rFonts w:eastAsia="Times New Roman" w:cs="Helvetica"/>
            <w:color w:val="CD3333"/>
            <w:sz w:val="24"/>
            <w:szCs w:val="24"/>
            <w:u w:val="single"/>
          </w:rPr>
          <w:t xml:space="preserve"> 8)</w:t>
        </w:r>
      </w:hyperlink>
    </w:p>
    <w:p w:rsidR="00365F6A" w:rsidRPr="008B6235" w:rsidRDefault="008B6235" w:rsidP="00365F6A">
      <w:pPr>
        <w:shd w:val="clear" w:color="auto" w:fill="F6F6F6"/>
        <w:spacing w:before="225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E765E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Допълнителна информация</w:t>
      </w:r>
    </w:p>
    <w:p w:rsidR="00365F6A" w:rsidRPr="008B6235" w:rsidRDefault="008B6235" w:rsidP="00365F6A">
      <w:pPr>
        <w:shd w:val="clear" w:color="auto" w:fill="F6F6F6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Предстоящи заседания на Съвета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:</w:t>
      </w:r>
    </w:p>
    <w:p w:rsidR="00365F6A" w:rsidRPr="008B6235" w:rsidRDefault="00365F6A" w:rsidP="00365F6A">
      <w:pPr>
        <w:numPr>
          <w:ilvl w:val="0"/>
          <w:numId w:val="2"/>
        </w:numPr>
        <w:shd w:val="clear" w:color="auto" w:fill="F6F6F6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 w:rsidRPr="008B6235">
        <w:rPr>
          <w:rFonts w:eastAsia="Times New Roman" w:cs="Helvetica"/>
          <w:color w:val="575757"/>
          <w:sz w:val="24"/>
          <w:szCs w:val="24"/>
        </w:rPr>
        <w:t xml:space="preserve">18–22 </w:t>
      </w:r>
      <w:r w:rsidR="008B6235">
        <w:rPr>
          <w:rFonts w:eastAsia="Times New Roman" w:cs="Helvetica"/>
          <w:color w:val="575757"/>
          <w:sz w:val="24"/>
          <w:szCs w:val="24"/>
          <w:lang w:val="bg-BG"/>
        </w:rPr>
        <w:t>ноември</w:t>
      </w:r>
      <w:r w:rsidRPr="008B6235">
        <w:rPr>
          <w:rFonts w:eastAsia="Times New Roman" w:cs="Helvetica"/>
          <w:color w:val="575757"/>
          <w:sz w:val="24"/>
          <w:szCs w:val="24"/>
        </w:rPr>
        <w:t xml:space="preserve"> 2019</w:t>
      </w:r>
      <w:r w:rsidR="008B6235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</w:p>
    <w:p w:rsidR="00365F6A" w:rsidRPr="008B6235" w:rsidRDefault="00365F6A" w:rsidP="00365F6A">
      <w:pPr>
        <w:numPr>
          <w:ilvl w:val="0"/>
          <w:numId w:val="2"/>
        </w:numPr>
        <w:shd w:val="clear" w:color="auto" w:fill="F6F6F6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 w:rsidRPr="008B6235">
        <w:rPr>
          <w:rFonts w:eastAsia="Times New Roman" w:cs="Helvetica"/>
          <w:color w:val="575757"/>
          <w:sz w:val="24"/>
          <w:szCs w:val="24"/>
        </w:rPr>
        <w:t xml:space="preserve">9–12 </w:t>
      </w:r>
      <w:r w:rsidR="008B6235">
        <w:rPr>
          <w:rFonts w:eastAsia="Times New Roman" w:cs="Helvetica"/>
          <w:color w:val="575757"/>
          <w:sz w:val="24"/>
          <w:szCs w:val="24"/>
          <w:lang w:val="bg-BG"/>
        </w:rPr>
        <w:t>декември</w:t>
      </w:r>
      <w:r w:rsidRPr="008B6235">
        <w:rPr>
          <w:rFonts w:eastAsia="Times New Roman" w:cs="Helvetica"/>
          <w:color w:val="575757"/>
          <w:sz w:val="24"/>
          <w:szCs w:val="24"/>
        </w:rPr>
        <w:t xml:space="preserve"> 2019</w:t>
      </w:r>
      <w:r w:rsidR="008B6235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</w:p>
    <w:p w:rsidR="00365F6A" w:rsidRPr="008B6235" w:rsidRDefault="00365F6A" w:rsidP="00365F6A">
      <w:pPr>
        <w:numPr>
          <w:ilvl w:val="0"/>
          <w:numId w:val="2"/>
        </w:numPr>
        <w:shd w:val="clear" w:color="auto" w:fill="F6F6F6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 w:rsidRPr="008B6235">
        <w:rPr>
          <w:rFonts w:eastAsia="Times New Roman" w:cs="Helvetica"/>
          <w:color w:val="575757"/>
          <w:sz w:val="24"/>
          <w:szCs w:val="24"/>
        </w:rPr>
        <w:lastRenderedPageBreak/>
        <w:t xml:space="preserve">27–31 </w:t>
      </w:r>
      <w:r w:rsidR="008B6235">
        <w:rPr>
          <w:rFonts w:eastAsia="Times New Roman" w:cs="Helvetica"/>
          <w:color w:val="575757"/>
          <w:sz w:val="24"/>
          <w:szCs w:val="24"/>
          <w:lang w:val="bg-BG"/>
        </w:rPr>
        <w:t>януари</w:t>
      </w:r>
      <w:r w:rsidRPr="008B6235">
        <w:rPr>
          <w:rFonts w:eastAsia="Times New Roman" w:cs="Helvetica"/>
          <w:color w:val="575757"/>
          <w:sz w:val="24"/>
          <w:szCs w:val="24"/>
        </w:rPr>
        <w:t xml:space="preserve"> 2020</w:t>
      </w:r>
      <w:r w:rsidR="008B6235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</w:p>
    <w:p w:rsidR="00365F6A" w:rsidRPr="008B6235" w:rsidRDefault="009E1ED7" w:rsidP="00365F6A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</w:rPr>
      </w:pPr>
      <w:bookmarkStart w:id="0" w:name="1"/>
      <w:r w:rsidRPr="00E765E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Въпроси, свързани с въвеждането и прилагането на стандартите </w:t>
      </w:r>
      <w:r w:rsidR="00365F6A" w:rsidRPr="008B6235">
        <w:rPr>
          <w:rFonts w:eastAsia="Times New Roman" w:cs="Helvetica"/>
          <w:b/>
          <w:bCs/>
          <w:color w:val="CD3333"/>
          <w:sz w:val="34"/>
          <w:szCs w:val="34"/>
        </w:rPr>
        <w:t>(</w:t>
      </w:r>
      <w:r w:rsidR="008B6235">
        <w:rPr>
          <w:rFonts w:eastAsia="Times New Roman" w:cs="Helvetica"/>
          <w:b/>
          <w:bCs/>
          <w:color w:val="CD3333"/>
          <w:sz w:val="34"/>
          <w:szCs w:val="34"/>
        </w:rPr>
        <w:t>Документ по програмата</w:t>
      </w:r>
      <w:r w:rsidR="00365F6A" w:rsidRPr="008B6235">
        <w:rPr>
          <w:rFonts w:eastAsia="Times New Roman" w:cs="Helvetica"/>
          <w:b/>
          <w:bCs/>
          <w:color w:val="CD3333"/>
          <w:sz w:val="34"/>
          <w:szCs w:val="34"/>
        </w:rPr>
        <w:t xml:space="preserve"> 12)</w:t>
      </w:r>
      <w:bookmarkEnd w:id="0"/>
    </w:p>
    <w:p w:rsidR="00365F6A" w:rsidRPr="008B6235" w:rsidRDefault="00A97EDB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На 2</w:t>
      </w:r>
      <w:r>
        <w:rPr>
          <w:rFonts w:eastAsia="Times New Roman" w:cs="Helvetica"/>
          <w:color w:val="575757"/>
          <w:sz w:val="24"/>
          <w:szCs w:val="24"/>
          <w:lang w:val="bg-BG"/>
        </w:rPr>
        <w:t>2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октомври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2019 г. Съветът проведе заседание, за да обсъди </w:t>
      </w:r>
      <w:r w:rsidR="009E1ED7" w:rsidRPr="00E765E5">
        <w:rPr>
          <w:rFonts w:eastAsia="Times New Roman" w:cs="Helvetica"/>
          <w:color w:val="575757"/>
          <w:sz w:val="24"/>
          <w:szCs w:val="24"/>
          <w:lang w:val="bg-BG"/>
        </w:rPr>
        <w:t>въпроси, свързани с въвеждането и прилагането на стандартите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.</w:t>
      </w:r>
    </w:p>
    <w:p w:rsidR="00365F6A" w:rsidRPr="008B6235" w:rsidRDefault="009E1ED7" w:rsidP="00365F6A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Имоти</w:t>
      </w:r>
      <w:r w:rsidR="00365F6A" w:rsidRPr="008B6235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 xml:space="preserve">, </w:t>
      </w: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машини и съоръжения</w:t>
      </w:r>
      <w:r w:rsidR="00365F6A" w:rsidRPr="008B6235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 xml:space="preserve">: </w:t>
      </w: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постъпления преди предвидената употреба</w:t>
      </w:r>
      <w:r w:rsidR="00365F6A" w:rsidRPr="008B6235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 xml:space="preserve"> (</w:t>
      </w: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изменения в</w:t>
      </w:r>
      <w:r w:rsidR="00365F6A" w:rsidRPr="008B6235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 xml:space="preserve"> </w:t>
      </w:r>
      <w:r w:rsidR="008B6235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>МСС</w:t>
      </w:r>
      <w:r w:rsidR="00365F6A" w:rsidRPr="008B6235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 xml:space="preserve"> 16)</w:t>
      </w: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 </w:t>
      </w:r>
      <w:r w:rsidR="00365F6A" w:rsidRPr="008B6235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8B6235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365F6A" w:rsidRPr="008B6235">
        <w:rPr>
          <w:rFonts w:eastAsia="Times New Roman" w:cs="Helvetica"/>
          <w:b/>
          <w:bCs/>
          <w:color w:val="333333"/>
          <w:sz w:val="24"/>
          <w:szCs w:val="24"/>
        </w:rPr>
        <w:t xml:space="preserve"> 12A)</w:t>
      </w:r>
    </w:p>
    <w:p w:rsidR="00365F6A" w:rsidRPr="008B6235" w:rsidRDefault="00703329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Съветът обсъди изискванията при преход и датата на влизане в сила по отношение на измененията в МС</w:t>
      </w:r>
      <w:r w:rsidR="008B6235">
        <w:rPr>
          <w:rFonts w:eastAsia="Times New Roman" w:cs="Helvetica"/>
          <w:color w:val="575757"/>
          <w:sz w:val="24"/>
          <w:szCs w:val="24"/>
        </w:rPr>
        <w:t>С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16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4F41EE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Имоти</w:t>
      </w:r>
      <w:r w:rsidR="00365F6A" w:rsidRPr="008B6235">
        <w:rPr>
          <w:rFonts w:eastAsia="Times New Roman" w:cs="Helvetica"/>
          <w:i/>
          <w:iCs/>
          <w:color w:val="575757"/>
          <w:sz w:val="24"/>
          <w:szCs w:val="24"/>
        </w:rPr>
        <w:t xml:space="preserve">, </w:t>
      </w:r>
      <w:r w:rsidR="004F41EE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машини и съоръжения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. </w:t>
      </w:r>
      <w:r>
        <w:rPr>
          <w:rFonts w:eastAsia="Times New Roman" w:cs="Helvetica"/>
          <w:color w:val="575757"/>
          <w:sz w:val="24"/>
          <w:szCs w:val="24"/>
          <w:lang w:val="bg-BG"/>
        </w:rPr>
        <w:t>Съветът обсъди също така регламентираната процедура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, </w:t>
      </w:r>
      <w:r w:rsidR="005B29F4">
        <w:rPr>
          <w:rFonts w:eastAsia="Times New Roman" w:cs="Helvetica"/>
          <w:color w:val="575757"/>
          <w:sz w:val="24"/>
          <w:szCs w:val="24"/>
          <w:lang w:val="bg-BG"/>
        </w:rPr>
        <w:t>включително разрешението за гласуване на измененията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.</w:t>
      </w:r>
    </w:p>
    <w:p w:rsidR="00365F6A" w:rsidRPr="008B6235" w:rsidRDefault="005B29F4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Измененията в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</w:t>
      </w:r>
      <w:r w:rsidR="008B6235">
        <w:rPr>
          <w:rFonts w:eastAsia="Times New Roman" w:cs="Helvetica"/>
          <w:color w:val="575757"/>
          <w:sz w:val="24"/>
          <w:szCs w:val="24"/>
        </w:rPr>
        <w:t>МСС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16 </w:t>
      </w:r>
      <w:r>
        <w:rPr>
          <w:rFonts w:eastAsia="Times New Roman" w:cs="Helvetica"/>
          <w:color w:val="575757"/>
          <w:sz w:val="24"/>
          <w:szCs w:val="24"/>
          <w:lang w:val="bg-BG"/>
        </w:rPr>
        <w:t>биха забранили на предприятието да приспада от себестойността/цената на придобиване на позиция от имоти, машини и съоръжения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(</w:t>
      </w:r>
      <w:r>
        <w:rPr>
          <w:rFonts w:eastAsia="Times New Roman" w:cs="Helvetica"/>
          <w:color w:val="575757"/>
          <w:sz w:val="24"/>
          <w:szCs w:val="24"/>
          <w:lang w:val="bg-BG"/>
        </w:rPr>
        <w:t>ИМС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) </w:t>
      </w:r>
      <w:r>
        <w:rPr>
          <w:rFonts w:eastAsia="Times New Roman" w:cs="Helvetica"/>
          <w:color w:val="575757"/>
          <w:sz w:val="24"/>
          <w:szCs w:val="24"/>
          <w:lang w:val="bg-BG"/>
        </w:rPr>
        <w:t>постъпления от продажбата на обекти, произведени докато активът се привежда на мястото и в състоянието, необходимо, за да може да функционира по начина, предвиден от ръководството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.</w:t>
      </w:r>
    </w:p>
    <w:p w:rsidR="00365F6A" w:rsidRPr="008B6235" w:rsidRDefault="005B29F4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Преход и дата на влизане в сила</w:t>
      </w:r>
    </w:p>
    <w:p w:rsidR="00365F6A" w:rsidRPr="005B29F4" w:rsidRDefault="002E1BA2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5B29F4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365F6A" w:rsidRPr="005B29F4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5B29F4" w:rsidRPr="005B29F4">
        <w:rPr>
          <w:rFonts w:eastAsia="Times New Roman" w:cs="Helvetica"/>
          <w:color w:val="575757"/>
          <w:sz w:val="24"/>
          <w:szCs w:val="24"/>
          <w:lang w:val="bg-BG"/>
        </w:rPr>
        <w:t>да изисква предприятието да прилага измененията ретроспективно само по отношение на позиции от ИМС, които са предоставени на разположение за употреба на или след началото на най-ранния представен период, когато предприятието прилага за първи път измененията</w:t>
      </w:r>
      <w:r w:rsidR="00365F6A" w:rsidRPr="005B29F4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65F6A" w:rsidRPr="005B29F4" w:rsidRDefault="002E1BA2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5B29F4">
        <w:rPr>
          <w:rFonts w:eastAsia="Times New Roman" w:cs="Helvetica"/>
          <w:color w:val="575757"/>
          <w:sz w:val="24"/>
          <w:szCs w:val="24"/>
          <w:lang w:val="bg-BG"/>
        </w:rPr>
        <w:t>Дванадесет от четиринадесетте членове на Съвета изразиха съгласие, а един - несъгласие с това решение</w:t>
      </w:r>
      <w:r w:rsidR="00365F6A" w:rsidRPr="005B29F4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5B29F4">
        <w:rPr>
          <w:rFonts w:eastAsia="Times New Roman" w:cs="Helvetica"/>
          <w:color w:val="575757"/>
          <w:sz w:val="24"/>
          <w:szCs w:val="24"/>
          <w:lang w:val="bg-BG"/>
        </w:rPr>
        <w:t>Един от членовете отсъстваше</w:t>
      </w:r>
      <w:r w:rsidR="00365F6A" w:rsidRPr="005B29F4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65F6A" w:rsidRPr="005B29F4" w:rsidRDefault="002E1BA2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5B29F4">
        <w:rPr>
          <w:rFonts w:eastAsia="Times New Roman" w:cs="Helvetica"/>
          <w:color w:val="575757"/>
          <w:sz w:val="24"/>
          <w:szCs w:val="24"/>
          <w:lang w:val="bg-BG"/>
        </w:rPr>
        <w:t>Съветът реши също така в порядък на работна хипотеза</w:t>
      </w:r>
      <w:r w:rsidR="00365F6A" w:rsidRPr="005B29F4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5B29F4" w:rsidRPr="005B29F4">
        <w:rPr>
          <w:rFonts w:eastAsia="Times New Roman" w:cs="Helvetica"/>
          <w:color w:val="575757"/>
          <w:sz w:val="24"/>
          <w:szCs w:val="24"/>
          <w:lang w:val="bg-BG"/>
        </w:rPr>
        <w:t>да не предоставя облекчения при преход по отношение на предприятията, прилагащи стандартите за първи път</w:t>
      </w:r>
      <w:r w:rsidR="00365F6A" w:rsidRPr="005B29F4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65F6A" w:rsidRPr="005B29F4" w:rsidRDefault="002E1BA2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5B29F4">
        <w:rPr>
          <w:rFonts w:eastAsia="Times New Roman" w:cs="Helvetica"/>
          <w:color w:val="575757"/>
          <w:sz w:val="24"/>
          <w:szCs w:val="24"/>
          <w:lang w:val="bg-BG"/>
        </w:rPr>
        <w:t>Единадесет от четиринадесетте членове на Съвета изразиха съгласие, а двама - несъгласие с това решение</w:t>
      </w:r>
      <w:r w:rsidR="00365F6A" w:rsidRPr="005B29F4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5B29F4">
        <w:rPr>
          <w:rFonts w:eastAsia="Times New Roman" w:cs="Helvetica"/>
          <w:color w:val="575757"/>
          <w:sz w:val="24"/>
          <w:szCs w:val="24"/>
          <w:lang w:val="bg-BG"/>
        </w:rPr>
        <w:t>Един от членовете отсъстваше</w:t>
      </w:r>
      <w:r w:rsidR="00365F6A" w:rsidRPr="005B29F4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65F6A" w:rsidRPr="005B29F4" w:rsidRDefault="002E1BA2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5B29F4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5B29F4" w:rsidRPr="005B29F4">
        <w:rPr>
          <w:rFonts w:eastAsia="Times New Roman" w:cs="Helvetica"/>
          <w:color w:val="575757"/>
          <w:sz w:val="24"/>
          <w:szCs w:val="24"/>
          <w:lang w:val="bg-BG"/>
        </w:rPr>
        <w:t>, че датата на влизане в сила на измененията ще е за годишни периоди, започващи на или след</w:t>
      </w:r>
      <w:r w:rsidR="00365F6A" w:rsidRPr="005B29F4">
        <w:rPr>
          <w:rFonts w:eastAsia="Times New Roman" w:cs="Helvetica"/>
          <w:color w:val="575757"/>
          <w:sz w:val="24"/>
          <w:szCs w:val="24"/>
          <w:lang w:val="bg-BG"/>
        </w:rPr>
        <w:t xml:space="preserve"> 1 </w:t>
      </w:r>
      <w:r w:rsidR="005B29F4" w:rsidRPr="005B29F4">
        <w:rPr>
          <w:rFonts w:eastAsia="Times New Roman" w:cs="Helvetica"/>
          <w:color w:val="575757"/>
          <w:sz w:val="24"/>
          <w:szCs w:val="24"/>
          <w:lang w:val="bg-BG"/>
        </w:rPr>
        <w:t>януари</w:t>
      </w:r>
      <w:r w:rsidR="00365F6A" w:rsidRPr="005B29F4">
        <w:rPr>
          <w:rFonts w:eastAsia="Times New Roman" w:cs="Helvetica"/>
          <w:color w:val="575757"/>
          <w:sz w:val="24"/>
          <w:szCs w:val="24"/>
          <w:lang w:val="bg-BG"/>
        </w:rPr>
        <w:t xml:space="preserve"> 2022</w:t>
      </w:r>
      <w:r w:rsidR="005B29F4" w:rsidRPr="005B29F4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  <w:r w:rsidR="00365F6A" w:rsidRPr="005B29F4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5B29F4" w:rsidRPr="005B29F4">
        <w:rPr>
          <w:rFonts w:eastAsia="Times New Roman" w:cs="Helvetica"/>
          <w:color w:val="575757"/>
          <w:sz w:val="24"/>
          <w:szCs w:val="24"/>
          <w:lang w:val="bg-BG"/>
        </w:rPr>
        <w:t>като по-ранното прилагане ще бъде разрешено</w:t>
      </w:r>
      <w:r w:rsidR="00365F6A" w:rsidRPr="005B29F4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65F6A" w:rsidRPr="005B29F4" w:rsidRDefault="002E1BA2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5B29F4">
        <w:rPr>
          <w:rFonts w:eastAsia="Times New Roman" w:cs="Helvetica"/>
          <w:color w:val="575757"/>
          <w:sz w:val="24"/>
          <w:szCs w:val="24"/>
          <w:lang w:val="bg-BG"/>
        </w:rPr>
        <w:t>Тринадесет от четиринадесетте членове на Съвета изразиха съгласие с това решение</w:t>
      </w:r>
      <w:r w:rsidR="00365F6A" w:rsidRPr="005B29F4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5B29F4">
        <w:rPr>
          <w:rFonts w:eastAsia="Times New Roman" w:cs="Helvetica"/>
          <w:color w:val="575757"/>
          <w:sz w:val="24"/>
          <w:szCs w:val="24"/>
          <w:lang w:val="bg-BG"/>
        </w:rPr>
        <w:t>Един от членовете отсъстваше</w:t>
      </w:r>
      <w:r w:rsidR="00365F6A" w:rsidRPr="005B29F4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65F6A" w:rsidRPr="008B6235" w:rsidRDefault="005B29F4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5B29F4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lastRenderedPageBreak/>
        <w:t>Регламентирана процедура</w:t>
      </w:r>
    </w:p>
    <w:p w:rsidR="00365F6A" w:rsidRPr="00C26555" w:rsidRDefault="00C26555" w:rsidP="00365F6A">
      <w:pPr>
        <w:shd w:val="clear" w:color="auto" w:fill="FFFFFF"/>
        <w:spacing w:after="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C26555">
        <w:rPr>
          <w:rFonts w:eastAsia="Times New Roman" w:cs="Helvetica"/>
          <w:color w:val="575757"/>
          <w:sz w:val="24"/>
          <w:szCs w:val="24"/>
          <w:lang w:val="bg-BG"/>
        </w:rPr>
        <w:t>Съветът се съгласи, че измененията не изискват повторно представяне за обсъждане</w:t>
      </w:r>
      <w:r w:rsidR="00365F6A" w:rsidRPr="00C2655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65F6A" w:rsidRPr="008B6235" w:rsidRDefault="002E1BA2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C26555">
        <w:rPr>
          <w:rFonts w:eastAsia="Times New Roman" w:cs="Helvetica"/>
          <w:color w:val="575757"/>
          <w:sz w:val="24"/>
          <w:szCs w:val="24"/>
          <w:lang w:val="bg-BG"/>
        </w:rPr>
        <w:t>Тринадесет от четиринадесетте членове на Съвета изразиха съгласие с това решение</w:t>
      </w:r>
      <w:r w:rsidR="00C26555" w:rsidRPr="00C26555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C26555">
        <w:rPr>
          <w:rFonts w:eastAsia="Times New Roman" w:cs="Helvetica"/>
          <w:color w:val="575757"/>
          <w:sz w:val="24"/>
          <w:szCs w:val="24"/>
          <w:lang w:val="bg-BG"/>
        </w:rPr>
        <w:t>Един от членовете отсъстваше</w:t>
      </w:r>
      <w:r w:rsidR="00365F6A" w:rsidRPr="00C26555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C26555" w:rsidRPr="00C26555">
        <w:rPr>
          <w:rFonts w:eastAsia="Times New Roman" w:cs="Helvetica"/>
          <w:color w:val="575757"/>
          <w:sz w:val="24"/>
          <w:szCs w:val="24"/>
          <w:lang w:val="bg-BG"/>
        </w:rPr>
        <w:t>Тринадесет от четиринадесетте членове на Съвета потвърдиха, че са се уверили, че Съветът е изпълнил изискванията на приложимата регламентирана процедура и е осъществил консултации и анализи в достатъчен обем, за да се пристъпи към процедурата по гласуване по отношение на измененията</w:t>
      </w:r>
      <w:r w:rsidR="00365F6A" w:rsidRPr="00C26555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C26555">
        <w:rPr>
          <w:rFonts w:eastAsia="Times New Roman" w:cs="Helvetica"/>
          <w:color w:val="575757"/>
          <w:sz w:val="24"/>
          <w:szCs w:val="24"/>
          <w:lang w:val="bg-BG"/>
        </w:rPr>
        <w:t>Един от членовете отсъстваше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.</w:t>
      </w:r>
    </w:p>
    <w:p w:rsidR="00365F6A" w:rsidRPr="008B6235" w:rsidRDefault="00C26555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Нито един от членовете на Съвета не даде индикации, че възнамерява да изрази несъгласие с издаване на измененията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.</w:t>
      </w:r>
    </w:p>
    <w:p w:rsidR="00365F6A" w:rsidRPr="008B6235" w:rsidRDefault="00C26555" w:rsidP="00365F6A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Обременяващи договори</w:t>
      </w:r>
      <w:r w:rsidR="00365F6A" w:rsidRPr="008B6235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>—</w:t>
      </w: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разходи за изпълнение на договора</w:t>
      </w:r>
      <w:r w:rsidR="00365F6A" w:rsidRPr="008B6235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 xml:space="preserve"> (</w:t>
      </w: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изменения в</w:t>
      </w:r>
      <w:r w:rsidR="00365F6A" w:rsidRPr="008B6235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 xml:space="preserve"> </w:t>
      </w:r>
      <w:r w:rsidR="008B6235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>МСС</w:t>
      </w:r>
      <w:r w:rsidR="00365F6A" w:rsidRPr="008B6235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 xml:space="preserve"> 37)</w:t>
      </w: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 </w:t>
      </w:r>
      <w:r w:rsidR="00365F6A" w:rsidRPr="008B6235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8B6235">
        <w:rPr>
          <w:rFonts w:eastAsia="Times New Roman" w:cs="Helvetica"/>
          <w:b/>
          <w:bCs/>
          <w:color w:val="333333"/>
          <w:sz w:val="24"/>
          <w:szCs w:val="24"/>
        </w:rPr>
        <w:t>Документ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и</w:t>
      </w:r>
      <w:r w:rsidR="008B6235">
        <w:rPr>
          <w:rFonts w:eastAsia="Times New Roman" w:cs="Helvetica"/>
          <w:b/>
          <w:bCs/>
          <w:color w:val="333333"/>
          <w:sz w:val="24"/>
          <w:szCs w:val="24"/>
        </w:rPr>
        <w:t xml:space="preserve"> по 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програмата</w:t>
      </w:r>
      <w:r w:rsidR="00365F6A" w:rsidRPr="008B6235">
        <w:rPr>
          <w:rFonts w:eastAsia="Times New Roman" w:cs="Helvetica"/>
          <w:b/>
          <w:bCs/>
          <w:color w:val="333333"/>
          <w:sz w:val="24"/>
          <w:szCs w:val="24"/>
        </w:rPr>
        <w:t xml:space="preserve"> 12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Б</w:t>
      </w:r>
      <w:r w:rsidR="00365F6A" w:rsidRPr="008B6235">
        <w:rPr>
          <w:rFonts w:eastAsia="Times New Roman" w:cs="Helvetica"/>
          <w:b/>
          <w:bCs/>
          <w:color w:val="333333"/>
          <w:sz w:val="24"/>
          <w:szCs w:val="24"/>
        </w:rPr>
        <w:t>–12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Г</w:t>
      </w:r>
      <w:r w:rsidR="00365F6A" w:rsidRPr="008B6235">
        <w:rPr>
          <w:rFonts w:eastAsia="Times New Roman" w:cs="Helvetica"/>
          <w:b/>
          <w:bCs/>
          <w:color w:val="333333"/>
          <w:sz w:val="24"/>
          <w:szCs w:val="24"/>
        </w:rPr>
        <w:t>)</w:t>
      </w:r>
    </w:p>
    <w:p w:rsidR="00365F6A" w:rsidRPr="008B6235" w:rsidRDefault="00C26555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обсъди обратна информация във връзка с Проекта за обсъждане </w:t>
      </w:r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Обременяващи договори</w:t>
      </w:r>
      <w:r w:rsidR="00365F6A" w:rsidRPr="008B6235">
        <w:rPr>
          <w:rFonts w:eastAsia="Times New Roman" w:cs="Helvetica"/>
          <w:i/>
          <w:iCs/>
          <w:color w:val="575757"/>
          <w:sz w:val="24"/>
          <w:szCs w:val="24"/>
        </w:rPr>
        <w:t>—</w:t>
      </w:r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разходи за изпълнение на договора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.</w:t>
      </w:r>
    </w:p>
    <w:p w:rsidR="00365F6A" w:rsidRPr="008B6235" w:rsidRDefault="00C26555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В Проекта за обсъждане Съветът предлага изменение с тесен обхват на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</w:t>
      </w:r>
      <w:r w:rsidR="008B6235">
        <w:rPr>
          <w:rFonts w:eastAsia="Times New Roman" w:cs="Helvetica"/>
          <w:color w:val="575757"/>
          <w:sz w:val="24"/>
          <w:szCs w:val="24"/>
        </w:rPr>
        <w:t>МСС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37</w:t>
      </w:r>
      <w:r>
        <w:rPr>
          <w:rFonts w:eastAsia="Times New Roman" w:cs="Helvetica"/>
          <w:color w:val="575757"/>
          <w:sz w:val="24"/>
          <w:szCs w:val="24"/>
          <w:lang w:val="bg-BG"/>
        </w:rPr>
        <w:t>, за да поясни кои разходи предприятието включва при определяне на „разходите за изпълнение” на даден договор за целите на оценяване на това дали този договор е обременяващ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. </w:t>
      </w:r>
      <w:r>
        <w:rPr>
          <w:rFonts w:eastAsia="Times New Roman" w:cs="Helvetica"/>
          <w:color w:val="575757"/>
          <w:sz w:val="24"/>
          <w:szCs w:val="24"/>
          <w:lang w:val="bg-BG"/>
        </w:rPr>
        <w:t>Съветът предлага да поясни, че тези разходи включват разходите, които са пряко свързани с договора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. </w:t>
      </w:r>
      <w:r>
        <w:rPr>
          <w:rFonts w:eastAsia="Times New Roman" w:cs="Helvetica"/>
          <w:color w:val="575757"/>
          <w:sz w:val="24"/>
          <w:szCs w:val="24"/>
          <w:lang w:val="bg-BG"/>
        </w:rPr>
        <w:t>Съветът предлага също така да добави към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</w:t>
      </w:r>
      <w:r w:rsidR="008B6235">
        <w:rPr>
          <w:rFonts w:eastAsia="Times New Roman" w:cs="Helvetica"/>
          <w:color w:val="575757"/>
          <w:sz w:val="24"/>
          <w:szCs w:val="24"/>
        </w:rPr>
        <w:t>МСС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37 </w:t>
      </w:r>
      <w:r>
        <w:rPr>
          <w:rFonts w:eastAsia="Times New Roman" w:cs="Helvetica"/>
          <w:color w:val="575757"/>
          <w:sz w:val="24"/>
          <w:szCs w:val="24"/>
          <w:lang w:val="bg-BG"/>
        </w:rPr>
        <w:t>примери за разходи, които са пряко свързани с договора и за такива, които не са пряко свързани с него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.</w:t>
      </w:r>
    </w:p>
    <w:p w:rsidR="00365F6A" w:rsidRPr="002761E9" w:rsidRDefault="002E1BA2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2761E9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365F6A" w:rsidRPr="002761E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26555" w:rsidRPr="002761E9">
        <w:rPr>
          <w:rFonts w:eastAsia="Times New Roman" w:cs="Helvetica"/>
          <w:color w:val="575757"/>
          <w:sz w:val="24"/>
          <w:szCs w:val="24"/>
          <w:lang w:val="bg-BG"/>
        </w:rPr>
        <w:t>да замени примерите, предложени в Проекта за обсъждане, с пояснение, че разходите, които са пряко свързани с договора, се състоят от</w:t>
      </w:r>
      <w:r w:rsidR="00365F6A" w:rsidRPr="002761E9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365F6A" w:rsidRPr="002761E9" w:rsidRDefault="00C26555" w:rsidP="00365F6A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2761E9">
        <w:rPr>
          <w:rFonts w:eastAsia="Times New Roman" w:cs="Helvetica"/>
          <w:color w:val="575757"/>
          <w:sz w:val="24"/>
          <w:szCs w:val="24"/>
          <w:lang w:val="bg-BG"/>
        </w:rPr>
        <w:t>диференцираните допълнителни разходи за изпълнение на договора</w:t>
      </w:r>
      <w:r w:rsidR="00365F6A" w:rsidRPr="002761E9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2761E9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365F6A" w:rsidRPr="002761E9" w:rsidRDefault="00C26555" w:rsidP="00365F6A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2761E9">
        <w:rPr>
          <w:rFonts w:eastAsia="Times New Roman" w:cs="Helvetica"/>
          <w:color w:val="575757"/>
          <w:sz w:val="24"/>
          <w:szCs w:val="24"/>
          <w:lang w:val="bg-BG"/>
        </w:rPr>
        <w:t>разпределение на разходите</w:t>
      </w:r>
      <w:r w:rsidR="002761E9" w:rsidRPr="002761E9">
        <w:rPr>
          <w:rFonts w:eastAsia="Times New Roman" w:cs="Helvetica"/>
          <w:color w:val="575757"/>
          <w:sz w:val="24"/>
          <w:szCs w:val="24"/>
          <w:lang w:val="bg-BG"/>
        </w:rPr>
        <w:t>, които са пряко свързани с изпълнението на този и на други договори</w:t>
      </w:r>
      <w:r w:rsidR="00365F6A" w:rsidRPr="002761E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65F6A" w:rsidRPr="002761E9" w:rsidRDefault="002E1BA2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2761E9">
        <w:rPr>
          <w:rFonts w:eastAsia="Times New Roman" w:cs="Helvetica"/>
          <w:color w:val="575757"/>
          <w:sz w:val="24"/>
          <w:szCs w:val="24"/>
          <w:lang w:val="bg-BG"/>
        </w:rPr>
        <w:t>Тринадесет от четиринадесетте членове на Съвета изразиха съгласие с това решение</w:t>
      </w:r>
      <w:r w:rsidR="00365F6A" w:rsidRPr="002761E9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2761E9">
        <w:rPr>
          <w:rFonts w:eastAsia="Times New Roman" w:cs="Helvetica"/>
          <w:color w:val="575757"/>
          <w:sz w:val="24"/>
          <w:szCs w:val="24"/>
          <w:lang w:val="bg-BG"/>
        </w:rPr>
        <w:t>Един от членовете отсъстваше</w:t>
      </w:r>
      <w:r w:rsidR="00365F6A" w:rsidRPr="002761E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65F6A" w:rsidRPr="002761E9" w:rsidRDefault="002E1BA2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2761E9">
        <w:rPr>
          <w:rFonts w:eastAsia="Times New Roman" w:cs="Helvetica"/>
          <w:color w:val="575757"/>
          <w:sz w:val="24"/>
          <w:szCs w:val="24"/>
          <w:lang w:val="bg-BG"/>
        </w:rPr>
        <w:t>Съветът реши също така в порядък на работна хипотеза</w:t>
      </w:r>
      <w:r w:rsidR="00365F6A" w:rsidRPr="002761E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2761E9" w:rsidRPr="002761E9">
        <w:rPr>
          <w:rFonts w:eastAsia="Times New Roman" w:cs="Helvetica"/>
          <w:color w:val="575757"/>
          <w:sz w:val="24"/>
          <w:szCs w:val="24"/>
          <w:lang w:val="bg-BG"/>
        </w:rPr>
        <w:t>да измени параграф</w:t>
      </w:r>
      <w:r w:rsidR="00365F6A" w:rsidRPr="002761E9">
        <w:rPr>
          <w:rFonts w:eastAsia="Times New Roman" w:cs="Helvetica"/>
          <w:color w:val="575757"/>
          <w:sz w:val="24"/>
          <w:szCs w:val="24"/>
          <w:lang w:val="bg-BG"/>
        </w:rPr>
        <w:t xml:space="preserve"> 69 </w:t>
      </w:r>
      <w:r w:rsidR="002761E9" w:rsidRPr="002761E9">
        <w:rPr>
          <w:rFonts w:eastAsia="Times New Roman" w:cs="Helvetica"/>
          <w:color w:val="575757"/>
          <w:sz w:val="24"/>
          <w:szCs w:val="24"/>
          <w:lang w:val="bg-BG"/>
        </w:rPr>
        <w:t>от</w:t>
      </w:r>
      <w:r w:rsidR="00365F6A" w:rsidRPr="002761E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8B6235" w:rsidRPr="002761E9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365F6A" w:rsidRPr="002761E9">
        <w:rPr>
          <w:rFonts w:eastAsia="Times New Roman" w:cs="Helvetica"/>
          <w:color w:val="575757"/>
          <w:sz w:val="24"/>
          <w:szCs w:val="24"/>
          <w:lang w:val="bg-BG"/>
        </w:rPr>
        <w:t xml:space="preserve"> 37</w:t>
      </w:r>
      <w:r w:rsidR="002761E9" w:rsidRPr="002761E9">
        <w:rPr>
          <w:rFonts w:eastAsia="Times New Roman" w:cs="Helvetica"/>
          <w:color w:val="575757"/>
          <w:sz w:val="24"/>
          <w:szCs w:val="24"/>
          <w:lang w:val="bg-BG"/>
        </w:rPr>
        <w:t>, така че да се отнася до активи, които са пряко свързани с договора, а не до активи,</w:t>
      </w:r>
      <w:r w:rsidR="00365F6A" w:rsidRPr="002761E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2761E9" w:rsidRPr="002761E9">
        <w:rPr>
          <w:rFonts w:eastAsia="Times New Roman" w:cs="Helvetica"/>
          <w:color w:val="575757"/>
          <w:sz w:val="24"/>
          <w:szCs w:val="24"/>
          <w:lang w:val="bg-BG"/>
        </w:rPr>
        <w:t>които са свързани с договора</w:t>
      </w:r>
      <w:r w:rsidR="00365F6A" w:rsidRPr="002761E9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2761E9">
        <w:rPr>
          <w:rFonts w:eastAsia="Times New Roman" w:cs="Helvetica"/>
          <w:color w:val="575757"/>
          <w:sz w:val="24"/>
          <w:szCs w:val="24"/>
          <w:lang w:val="bg-BG"/>
        </w:rPr>
        <w:t>Дванадесет от четиринадесетте членове на Съвета изразиха съгласие, а един - несъгласие с това решение</w:t>
      </w:r>
      <w:r w:rsidR="00365F6A" w:rsidRPr="002761E9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2761E9">
        <w:rPr>
          <w:rFonts w:eastAsia="Times New Roman" w:cs="Helvetica"/>
          <w:color w:val="575757"/>
          <w:sz w:val="24"/>
          <w:szCs w:val="24"/>
          <w:lang w:val="bg-BG"/>
        </w:rPr>
        <w:t>Един от членовете отсъстваше</w:t>
      </w:r>
      <w:r w:rsidR="00365F6A" w:rsidRPr="002761E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65F6A" w:rsidRPr="008B6235" w:rsidRDefault="002E1BA2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2761E9">
        <w:rPr>
          <w:rFonts w:eastAsia="Times New Roman" w:cs="Helvetica"/>
          <w:color w:val="575757"/>
          <w:sz w:val="24"/>
          <w:szCs w:val="24"/>
          <w:lang w:val="bg-BG"/>
        </w:rPr>
        <w:t>Съветът реши също така в порядък на работна хипотеза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:</w:t>
      </w:r>
    </w:p>
    <w:p w:rsidR="00365F6A" w:rsidRPr="008B6235" w:rsidRDefault="002761E9" w:rsidP="00365F6A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да не разрешава ретроспективното прилагане на измененията, използвайки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</w:t>
      </w:r>
      <w:r w:rsidR="008B6235">
        <w:rPr>
          <w:rFonts w:eastAsia="Times New Roman" w:cs="Helvetica"/>
          <w:color w:val="575757"/>
          <w:sz w:val="24"/>
          <w:szCs w:val="24"/>
        </w:rPr>
        <w:t>МСС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8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4F41EE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Счетоводна политика</w:t>
      </w:r>
      <w:r w:rsidR="00365F6A" w:rsidRPr="008B6235">
        <w:rPr>
          <w:rFonts w:eastAsia="Times New Roman" w:cs="Helvetica"/>
          <w:i/>
          <w:iCs/>
          <w:color w:val="575757"/>
          <w:sz w:val="24"/>
          <w:szCs w:val="24"/>
        </w:rPr>
        <w:t xml:space="preserve">, </w:t>
      </w:r>
      <w:r w:rsidR="004F41EE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промени в </w:t>
      </w:r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счетоводните</w:t>
      </w:r>
      <w:r w:rsidR="004F41EE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приблизителни оценки и грешки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;</w:t>
      </w:r>
    </w:p>
    <w:p w:rsidR="00365F6A" w:rsidRPr="008B6235" w:rsidRDefault="002761E9" w:rsidP="00365F6A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да поясни в рамките на изискванията при преход, че предприятието прилага измененията по отношение на договори, по които предприятието не е изпълнило все още всички свои задължения към началото на годишния период, в който предприятието прилага за първи път измененията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;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365F6A" w:rsidRPr="008B6235" w:rsidRDefault="002761E9" w:rsidP="00365F6A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да не предоставя изключение или освобождаване от изискванията по отношение на предприятия, прилагащи стандартите за първи път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.</w:t>
      </w:r>
    </w:p>
    <w:p w:rsidR="00365F6A" w:rsidRPr="008B6235" w:rsidRDefault="002E1BA2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</w:rPr>
        <w:t>Тринадесет от четиринадесетте членове на Съвета изразиха съгласие с това решение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. </w:t>
      </w:r>
      <w:r>
        <w:rPr>
          <w:rFonts w:eastAsia="Times New Roman" w:cs="Helvetica"/>
          <w:color w:val="575757"/>
          <w:sz w:val="24"/>
          <w:szCs w:val="24"/>
        </w:rPr>
        <w:t>Един от членовете отсъстваше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.</w:t>
      </w:r>
    </w:p>
    <w:p w:rsidR="00365F6A" w:rsidRPr="008B6235" w:rsidRDefault="002761E9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Съветът реши да не разширява обхвата на проекта, за да адресира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:</w:t>
      </w:r>
    </w:p>
    <w:p w:rsidR="00365F6A" w:rsidRPr="008B6235" w:rsidRDefault="002761E9" w:rsidP="00365F6A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значението на „икономически ползи” в дефиницията за обременяващ договор в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</w:t>
      </w:r>
      <w:r w:rsidR="008B6235">
        <w:rPr>
          <w:rFonts w:eastAsia="Times New Roman" w:cs="Helvetica"/>
          <w:color w:val="575757"/>
          <w:sz w:val="24"/>
          <w:szCs w:val="24"/>
        </w:rPr>
        <w:t>МСС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37;</w:t>
      </w:r>
    </w:p>
    <w:p w:rsidR="00365F6A" w:rsidRPr="008B6235" w:rsidRDefault="002761E9" w:rsidP="00365F6A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дали и кога предприятието следва да комбинира или разделя договори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; </w:t>
      </w:r>
      <w:r>
        <w:rPr>
          <w:rFonts w:eastAsia="Times New Roman" w:cs="Helvetica"/>
          <w:color w:val="575757"/>
          <w:sz w:val="24"/>
          <w:szCs w:val="24"/>
          <w:lang w:val="bg-BG"/>
        </w:rPr>
        <w:t>или</w:t>
      </w:r>
    </w:p>
    <w:p w:rsidR="00365F6A" w:rsidRPr="008B6235" w:rsidRDefault="002761E9" w:rsidP="00365F6A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как предприятието следва да оценява пасива по обременяващ договор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.</w:t>
      </w:r>
    </w:p>
    <w:p w:rsidR="00365F6A" w:rsidRPr="008B6235" w:rsidRDefault="002E1BA2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</w:rPr>
        <w:t>Дванадесет от четиринадесетте членове на Съвета изразиха съгласие, а един - несъгласие с това решение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. </w:t>
      </w:r>
      <w:r>
        <w:rPr>
          <w:rFonts w:eastAsia="Times New Roman" w:cs="Helvetica"/>
          <w:color w:val="575757"/>
          <w:sz w:val="24"/>
          <w:szCs w:val="24"/>
        </w:rPr>
        <w:t>Един от членовете отсъстваше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.</w:t>
      </w:r>
    </w:p>
    <w:p w:rsidR="00365F6A" w:rsidRPr="008B6235" w:rsidRDefault="008B6235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575757"/>
          <w:sz w:val="24"/>
          <w:szCs w:val="24"/>
        </w:rPr>
        <w:t>Следващ етап</w:t>
      </w:r>
    </w:p>
    <w:p w:rsidR="00365F6A" w:rsidRPr="008B6235" w:rsidRDefault="002761E9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На бъдещо свое заседание Съветът ще обсъди стъпките от регламентираната процедура във връзка с проекта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.</w:t>
      </w:r>
    </w:p>
    <w:p w:rsidR="00365F6A" w:rsidRPr="008B6235" w:rsidRDefault="00D5070C" w:rsidP="00365F6A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Продажба на </w:t>
      </w:r>
      <w:r w:rsidRPr="00D5070C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предприятие с един-единствен актив</w:t>
      </w: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, съдържащ недвижим имот</w:t>
      </w:r>
      <w:r w:rsidRPr="00D5070C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 xml:space="preserve"> </w:t>
      </w:r>
      <w:r w:rsidR="00365F6A" w:rsidRPr="008B6235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>(</w:t>
      </w:r>
      <w:r w:rsidR="008B6235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>МСФО</w:t>
      </w:r>
      <w:r w:rsidR="00365F6A" w:rsidRPr="008B6235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 xml:space="preserve"> 10)</w:t>
      </w: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 </w:t>
      </w:r>
      <w:r w:rsidR="00365F6A" w:rsidRPr="008B6235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8B6235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365F6A" w:rsidRPr="008B6235">
        <w:rPr>
          <w:rFonts w:eastAsia="Times New Roman" w:cs="Helvetica"/>
          <w:b/>
          <w:bCs/>
          <w:color w:val="333333"/>
          <w:sz w:val="24"/>
          <w:szCs w:val="24"/>
        </w:rPr>
        <w:t xml:space="preserve"> 12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</w:t>
      </w:r>
      <w:r w:rsidR="00365F6A" w:rsidRPr="008B6235">
        <w:rPr>
          <w:rFonts w:eastAsia="Times New Roman" w:cs="Helvetica"/>
          <w:b/>
          <w:bCs/>
          <w:color w:val="333333"/>
          <w:sz w:val="24"/>
          <w:szCs w:val="24"/>
        </w:rPr>
        <w:t>)</w:t>
      </w:r>
    </w:p>
    <w:p w:rsidR="00365F6A" w:rsidRPr="008B6235" w:rsidRDefault="00D5070C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Съветът обсъди въпрос, представен пред Комитета по разясненията на МСФО, относно сделка, при която предприятието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като част от своята обичайна дейност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сключва договор с клиент за продажбата на недвижим имот посредством продажбата на участието си в собствения капитал на предприятие с един-единствен актив, което е негово дъщерно предприятие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.</w:t>
      </w:r>
    </w:p>
    <w:p w:rsidR="00365F6A" w:rsidRPr="008B6235" w:rsidRDefault="00D5070C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Съветът реши да оцени практическата приложимост на изменение с тесен обхват, за да адресира този въпрос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. </w:t>
      </w:r>
      <w:r w:rsidR="002E1BA2">
        <w:rPr>
          <w:rFonts w:eastAsia="Times New Roman" w:cs="Helvetica"/>
          <w:color w:val="575757"/>
          <w:sz w:val="24"/>
          <w:szCs w:val="24"/>
        </w:rPr>
        <w:t>Осем от четиринадесетте членове на Съвета изразиха съгласие, а петима - несъгласие с това решение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. </w:t>
      </w:r>
      <w:r w:rsidR="002E1BA2">
        <w:rPr>
          <w:rFonts w:eastAsia="Times New Roman" w:cs="Helvetica"/>
          <w:color w:val="575757"/>
          <w:sz w:val="24"/>
          <w:szCs w:val="24"/>
        </w:rPr>
        <w:t>Един от членовете отсъстваше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.</w:t>
      </w:r>
    </w:p>
    <w:p w:rsidR="00365F6A" w:rsidRPr="008B6235" w:rsidRDefault="008B6235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575757"/>
          <w:sz w:val="24"/>
          <w:szCs w:val="24"/>
        </w:rPr>
        <w:t>Следващ етап</w:t>
      </w:r>
    </w:p>
    <w:p w:rsidR="00365F6A" w:rsidRPr="008B6235" w:rsidRDefault="00D5070C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На бъдещо свое заседание Съветът ще обсъди практическата приложимост на изменение с тесен обхват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.</w:t>
      </w:r>
    </w:p>
    <w:p w:rsidR="00365F6A" w:rsidRPr="008B6235" w:rsidRDefault="00D5070C" w:rsidP="00365F6A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lastRenderedPageBreak/>
        <w:t xml:space="preserve">Актуална информация от Комитета по разясненията на МСФО </w:t>
      </w:r>
      <w:r w:rsidR="00365F6A" w:rsidRPr="008B6235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8B6235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365F6A" w:rsidRPr="008B6235">
        <w:rPr>
          <w:rFonts w:eastAsia="Times New Roman" w:cs="Helvetica"/>
          <w:b/>
          <w:bCs/>
          <w:color w:val="333333"/>
          <w:sz w:val="24"/>
          <w:szCs w:val="24"/>
        </w:rPr>
        <w:t xml:space="preserve"> 12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Е</w:t>
      </w:r>
      <w:r w:rsidR="00365F6A" w:rsidRPr="008B6235">
        <w:rPr>
          <w:rFonts w:eastAsia="Times New Roman" w:cs="Helvetica"/>
          <w:b/>
          <w:bCs/>
          <w:color w:val="333333"/>
          <w:sz w:val="24"/>
          <w:szCs w:val="24"/>
        </w:rPr>
        <w:t>)</w:t>
      </w:r>
    </w:p>
    <w:p w:rsidR="00365F6A" w:rsidRPr="008B6235" w:rsidRDefault="00D5070C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Съветът бе запознат с актуална информация от проведеното през септември 2019 г. заседание на Комитета по разясненията на МСФО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. </w:t>
      </w:r>
      <w:r>
        <w:rPr>
          <w:rFonts w:eastAsia="Times New Roman" w:cs="Helvetica"/>
          <w:color w:val="575757"/>
          <w:sz w:val="24"/>
          <w:szCs w:val="24"/>
          <w:lang w:val="bg-BG"/>
        </w:rPr>
        <w:t>Подробности за това заседание са публикувани в</w:t>
      </w:r>
      <w:hyperlink r:id="rId17" w:history="1">
        <w:r w:rsidR="00365F6A" w:rsidRPr="008B6235">
          <w:rPr>
            <w:rFonts w:eastAsia="Times New Roman" w:cs="Helvetica"/>
            <w:color w:val="CD3333"/>
            <w:sz w:val="24"/>
            <w:szCs w:val="24"/>
            <w:u w:val="single"/>
          </w:rPr>
          <w:t xml:space="preserve"> </w:t>
        </w:r>
        <w:r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Бюлетина с актуална информация за м. септември 2019 г. на Комитета по разясненията на МСФО</w:t>
        </w:r>
      </w:hyperlink>
      <w:r w:rsidR="00365F6A" w:rsidRPr="008B6235">
        <w:rPr>
          <w:rFonts w:eastAsia="Times New Roman" w:cs="Helvetica"/>
          <w:color w:val="575757"/>
          <w:sz w:val="24"/>
          <w:szCs w:val="24"/>
        </w:rPr>
        <w:t>.</w:t>
      </w:r>
    </w:p>
    <w:p w:rsidR="00365F6A" w:rsidRPr="008B6235" w:rsidRDefault="00D5070C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.</w:t>
      </w:r>
    </w:p>
    <w:p w:rsidR="00365F6A" w:rsidRPr="008B6235" w:rsidRDefault="00365F6A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8B6235">
        <w:rPr>
          <w:rFonts w:eastAsia="Times New Roman" w:cs="Helvetica"/>
          <w:color w:val="575757"/>
          <w:sz w:val="24"/>
          <w:szCs w:val="24"/>
        </w:rPr>
        <w:t> </w:t>
      </w:r>
    </w:p>
    <w:p w:rsidR="00365F6A" w:rsidRPr="008B6235" w:rsidRDefault="005B2A09" w:rsidP="00365F6A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</w:rPr>
      </w:pPr>
      <w:bookmarkStart w:id="1" w:name="2"/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Бизнес комбинации под общ контрол</w:t>
      </w:r>
      <w:r w:rsidR="00365F6A" w:rsidRPr="008B6235">
        <w:rPr>
          <w:rFonts w:eastAsia="Times New Roman" w:cs="Helvetica"/>
          <w:b/>
          <w:bCs/>
          <w:color w:val="CD3333"/>
          <w:sz w:val="34"/>
          <w:szCs w:val="34"/>
        </w:rPr>
        <w:t xml:space="preserve"> (</w:t>
      </w:r>
      <w:r w:rsidR="008B6235">
        <w:rPr>
          <w:rFonts w:eastAsia="Times New Roman" w:cs="Helvetica"/>
          <w:b/>
          <w:bCs/>
          <w:color w:val="CD3333"/>
          <w:sz w:val="34"/>
          <w:szCs w:val="34"/>
        </w:rPr>
        <w:t>Документ по програмата</w:t>
      </w:r>
      <w:r w:rsidR="00365F6A" w:rsidRPr="008B6235">
        <w:rPr>
          <w:rFonts w:eastAsia="Times New Roman" w:cs="Helvetica"/>
          <w:b/>
          <w:bCs/>
          <w:color w:val="CD3333"/>
          <w:sz w:val="34"/>
          <w:szCs w:val="34"/>
        </w:rPr>
        <w:t xml:space="preserve"> 23)</w:t>
      </w:r>
      <w:bookmarkEnd w:id="1"/>
    </w:p>
    <w:p w:rsidR="00365F6A" w:rsidRPr="008B6235" w:rsidRDefault="00A97EDB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На 2</w:t>
      </w:r>
      <w:r>
        <w:rPr>
          <w:rFonts w:eastAsia="Times New Roman" w:cs="Helvetica"/>
          <w:color w:val="575757"/>
          <w:sz w:val="24"/>
          <w:szCs w:val="24"/>
          <w:lang w:val="bg-BG"/>
        </w:rPr>
        <w:t>2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октомври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2019 г. Съветът проведе заседание, за да обсъди </w:t>
      </w:r>
      <w:r w:rsidR="005B2A09">
        <w:rPr>
          <w:rFonts w:eastAsia="Times New Roman" w:cs="Helvetica"/>
          <w:color w:val="575757"/>
          <w:sz w:val="24"/>
          <w:szCs w:val="24"/>
          <w:lang w:val="bg-BG"/>
        </w:rPr>
        <w:t>изследователския си проект, посветен на бизнес комбинациите под общ контрол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. </w:t>
      </w:r>
      <w:r w:rsidR="005B2A09">
        <w:rPr>
          <w:rFonts w:eastAsia="Times New Roman" w:cs="Helvetica"/>
          <w:color w:val="575757"/>
          <w:sz w:val="24"/>
          <w:szCs w:val="24"/>
          <w:lang w:val="bg-BG"/>
        </w:rPr>
        <w:t>По-конкретно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, </w:t>
      </w:r>
      <w:r w:rsidR="005B2A09">
        <w:rPr>
          <w:rFonts w:eastAsia="Times New Roman" w:cs="Helvetica"/>
          <w:color w:val="575757"/>
          <w:sz w:val="24"/>
          <w:szCs w:val="24"/>
          <w:lang w:val="bg-BG"/>
        </w:rPr>
        <w:t>Съветът обсъди как следва да бъде прилагат подход</w:t>
      </w:r>
      <w:r w:rsidR="00CA541D">
        <w:rPr>
          <w:rFonts w:eastAsia="Times New Roman" w:cs="Helvetica"/>
          <w:color w:val="575757"/>
          <w:sz w:val="24"/>
          <w:szCs w:val="24"/>
          <w:lang w:val="bg-BG"/>
        </w:rPr>
        <w:t>ът на счетоводно отчитане на базата на балансовите стойности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.</w:t>
      </w:r>
    </w:p>
    <w:p w:rsidR="00365F6A" w:rsidRPr="008B6235" w:rsidRDefault="00CA541D" w:rsidP="00365F6A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Подход</w:t>
      </w:r>
      <w:r w:rsidRPr="00CA541D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 на счетоводно отчитане на базата на балансовите стойности</w:t>
      </w:r>
      <w:r w:rsidRPr="00CA541D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 xml:space="preserve"> </w:t>
      </w:r>
      <w:r w:rsidR="00365F6A" w:rsidRPr="008B6235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>—</w:t>
      </w: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 балансови стойности преди комбинацията </w:t>
      </w:r>
      <w:r w:rsidR="00365F6A" w:rsidRPr="008B6235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8B6235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365F6A" w:rsidRPr="008B6235">
        <w:rPr>
          <w:rFonts w:eastAsia="Times New Roman" w:cs="Helvetica"/>
          <w:b/>
          <w:bCs/>
          <w:color w:val="333333"/>
          <w:sz w:val="24"/>
          <w:szCs w:val="24"/>
        </w:rPr>
        <w:t xml:space="preserve"> 23A)</w:t>
      </w:r>
    </w:p>
    <w:p w:rsidR="00365F6A" w:rsidRPr="008B6235" w:rsidRDefault="002E1BA2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</w:rPr>
        <w:t>Съветът реши в порядък на работна хипотеза</w:t>
      </w:r>
      <w:r w:rsidR="00CA541D">
        <w:rPr>
          <w:rFonts w:eastAsia="Times New Roman" w:cs="Helvetica"/>
          <w:color w:val="575757"/>
          <w:sz w:val="24"/>
          <w:szCs w:val="24"/>
          <w:lang w:val="bg-BG"/>
        </w:rPr>
        <w:t>, че получаващото предприятие следва да признава и оценява активите и пасивите, прехвърляни при бизнес комбинация под общ контрол, по балансовите стойности, включени във финансовия отчет на прехвърляното предприятие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.</w:t>
      </w:r>
    </w:p>
    <w:p w:rsidR="00365F6A" w:rsidRPr="008B6235" w:rsidRDefault="002E1BA2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</w:rPr>
        <w:t>Единадесет от четиринадесетте членове на Съвета изразиха съгласие, а двама - несъгласие с това решение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. </w:t>
      </w:r>
      <w:r w:rsidRPr="002E1BA2">
        <w:rPr>
          <w:rFonts w:eastAsia="Times New Roman" w:cs="Helvetica"/>
          <w:color w:val="575757"/>
          <w:sz w:val="24"/>
          <w:szCs w:val="24"/>
        </w:rPr>
        <w:t>Един от членовете отсъстваше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.</w:t>
      </w:r>
    </w:p>
    <w:p w:rsidR="00365F6A" w:rsidRPr="008B6235" w:rsidRDefault="00CA541D" w:rsidP="00365F6A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Подход</w:t>
      </w:r>
      <w:r w:rsidRPr="00CA541D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 на счетоводно отчитане на базата на балансовите стойности</w:t>
      </w:r>
      <w:r w:rsidRPr="00CA541D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 xml:space="preserve"> </w:t>
      </w:r>
      <w:r w:rsidR="00365F6A" w:rsidRPr="008B6235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>—</w:t>
      </w: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 информация преди комбинацията </w:t>
      </w:r>
      <w:r w:rsidR="00365F6A" w:rsidRPr="008B6235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8B6235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365F6A" w:rsidRPr="008B6235">
        <w:rPr>
          <w:rFonts w:eastAsia="Times New Roman" w:cs="Helvetica"/>
          <w:b/>
          <w:bCs/>
          <w:color w:val="333333"/>
          <w:sz w:val="24"/>
          <w:szCs w:val="24"/>
        </w:rPr>
        <w:t xml:space="preserve"> 23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Б</w:t>
      </w:r>
      <w:r w:rsidR="00365F6A" w:rsidRPr="008B6235">
        <w:rPr>
          <w:rFonts w:eastAsia="Times New Roman" w:cs="Helvetica"/>
          <w:b/>
          <w:bCs/>
          <w:color w:val="333333"/>
          <w:sz w:val="24"/>
          <w:szCs w:val="24"/>
        </w:rPr>
        <w:t>)</w:t>
      </w:r>
    </w:p>
    <w:p w:rsidR="00365F6A" w:rsidRPr="008B6235" w:rsidRDefault="002E1BA2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</w:rPr>
        <w:t>Съветът реши в порядък на работна хипотеза</w:t>
      </w:r>
      <w:r w:rsidR="00CA541D">
        <w:rPr>
          <w:rFonts w:eastAsia="Times New Roman" w:cs="Helvetica"/>
          <w:color w:val="575757"/>
          <w:sz w:val="24"/>
          <w:szCs w:val="24"/>
          <w:lang w:val="bg-BG"/>
        </w:rPr>
        <w:t>, че информация преди комбинацията в основните финансови отчети следва да бъде предоставяна единствено относно получаващото предприятие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.</w:t>
      </w:r>
    </w:p>
    <w:p w:rsidR="00365F6A" w:rsidRPr="008B6235" w:rsidRDefault="002E1BA2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</w:rPr>
        <w:t>Дванадесет от четиринадесетте членове на Съвета изразиха съгласие, а един - несъгласие с това решение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. </w:t>
      </w:r>
      <w:r w:rsidRPr="002E1BA2">
        <w:rPr>
          <w:rFonts w:eastAsia="Times New Roman" w:cs="Helvetica"/>
          <w:color w:val="575757"/>
          <w:sz w:val="24"/>
          <w:szCs w:val="24"/>
        </w:rPr>
        <w:t>Един от членовете отсъстваше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.</w:t>
      </w:r>
    </w:p>
    <w:p w:rsidR="00365F6A" w:rsidRPr="008B6235" w:rsidRDefault="00CA541D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На бъдещо свое заседание Съветът ще обсъди дали конкретна информация преди комбинацията следва да бъде предоставяна в пояснителните приложения към финансовия отчет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.</w:t>
      </w:r>
    </w:p>
    <w:p w:rsidR="00365F6A" w:rsidRPr="008B6235" w:rsidRDefault="008B6235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575757"/>
          <w:sz w:val="24"/>
          <w:szCs w:val="24"/>
        </w:rPr>
        <w:lastRenderedPageBreak/>
        <w:t>Следващи етапи</w:t>
      </w:r>
    </w:p>
    <w:p w:rsidR="00365F6A" w:rsidRPr="008B6235" w:rsidRDefault="00CA541D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На бъдещи свои заседания Съветът ще приключи обсъжданията си относно това как следва да бъде прилаган подходът </w:t>
      </w:r>
      <w:r w:rsidRPr="00CA541D">
        <w:rPr>
          <w:rFonts w:eastAsia="Times New Roman" w:cs="Helvetica"/>
          <w:color w:val="575757"/>
          <w:sz w:val="24"/>
          <w:szCs w:val="24"/>
          <w:lang w:val="bg-BG"/>
        </w:rPr>
        <w:t>на счетоводно отчитане на базата на балансовите стойности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ще обсъди дали и как методът на придобиването следва да бъде изменен по отношение на сделки, попадащи в обхвата на проекта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и ще обсъди каква информация следва да бъде предоставяна в пояснителните приложения към финансовия отчет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.</w:t>
      </w:r>
    </w:p>
    <w:p w:rsidR="00365F6A" w:rsidRPr="008B6235" w:rsidRDefault="00365F6A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8B6235">
        <w:rPr>
          <w:rFonts w:eastAsia="Times New Roman" w:cs="Helvetica"/>
          <w:color w:val="575757"/>
          <w:sz w:val="24"/>
          <w:szCs w:val="24"/>
        </w:rPr>
        <w:t> </w:t>
      </w:r>
    </w:p>
    <w:p w:rsidR="00365F6A" w:rsidRPr="008B6235" w:rsidRDefault="00CA541D" w:rsidP="00365F6A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</w:rPr>
      </w:pPr>
      <w:bookmarkStart w:id="2" w:name="3"/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Коментар на</w:t>
      </w:r>
      <w:r w:rsidR="00780C43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</w:t>
      </w:r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ръководството</w:t>
      </w:r>
      <w:r w:rsidR="00365F6A" w:rsidRPr="008B6235">
        <w:rPr>
          <w:rFonts w:eastAsia="Times New Roman" w:cs="Helvetica"/>
          <w:b/>
          <w:bCs/>
          <w:color w:val="CD3333"/>
          <w:sz w:val="34"/>
          <w:szCs w:val="34"/>
        </w:rPr>
        <w:t xml:space="preserve"> (</w:t>
      </w:r>
      <w:r w:rsidR="008B6235">
        <w:rPr>
          <w:rFonts w:eastAsia="Times New Roman" w:cs="Helvetica"/>
          <w:b/>
          <w:bCs/>
          <w:color w:val="CD3333"/>
          <w:sz w:val="34"/>
          <w:szCs w:val="34"/>
        </w:rPr>
        <w:t>Документ по програмата</w:t>
      </w:r>
      <w:r w:rsidR="00365F6A" w:rsidRPr="008B6235">
        <w:rPr>
          <w:rFonts w:eastAsia="Times New Roman" w:cs="Helvetica"/>
          <w:b/>
          <w:bCs/>
          <w:color w:val="CD3333"/>
          <w:sz w:val="34"/>
          <w:szCs w:val="34"/>
        </w:rPr>
        <w:t xml:space="preserve"> 15)</w:t>
      </w:r>
      <w:bookmarkEnd w:id="2"/>
    </w:p>
    <w:p w:rsidR="00365F6A" w:rsidRPr="008B6235" w:rsidRDefault="00A97EDB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На 2</w:t>
      </w:r>
      <w:r>
        <w:rPr>
          <w:rFonts w:eastAsia="Times New Roman" w:cs="Helvetica"/>
          <w:color w:val="575757"/>
          <w:sz w:val="24"/>
          <w:szCs w:val="24"/>
          <w:lang w:val="bg-BG"/>
        </w:rPr>
        <w:t>2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октомври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2019 г. Съветът проведе заседание, за да обсъди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:</w:t>
      </w:r>
    </w:p>
    <w:p w:rsidR="00365F6A" w:rsidRPr="008B6235" w:rsidRDefault="00961A3C" w:rsidP="00365F6A">
      <w:pPr>
        <w:numPr>
          <w:ilvl w:val="0"/>
          <w:numId w:val="6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възможни насоки относно характеристиките, повишаващи качеството на информацията, които да бъдат включени в проект за обсъждане на преработеното Изложение за практика по </w:t>
      </w:r>
      <w:r w:rsidR="008B6235">
        <w:rPr>
          <w:rFonts w:eastAsia="Times New Roman" w:cs="Helvetica"/>
          <w:color w:val="575757"/>
          <w:sz w:val="24"/>
          <w:szCs w:val="24"/>
        </w:rPr>
        <w:t>МСФО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1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4F41EE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Коментар на ръководството 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(</w:t>
      </w:r>
      <w:r>
        <w:rPr>
          <w:rFonts w:eastAsia="Times New Roman" w:cs="Helvetica"/>
          <w:color w:val="575757"/>
          <w:sz w:val="24"/>
          <w:szCs w:val="24"/>
          <w:lang w:val="bg-BG"/>
        </w:rPr>
        <w:t>„Изложението за практика”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)—</w:t>
      </w:r>
      <w:r w:rsidR="008B6235">
        <w:rPr>
          <w:rFonts w:eastAsia="Times New Roman" w:cs="Helvetica"/>
          <w:color w:val="575757"/>
          <w:sz w:val="24"/>
          <w:szCs w:val="24"/>
        </w:rPr>
        <w:t>Документ по програмата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15A;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365F6A" w:rsidRPr="008B6235" w:rsidRDefault="0075255F" w:rsidP="00365F6A">
      <w:pPr>
        <w:numPr>
          <w:ilvl w:val="0"/>
          <w:numId w:val="6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изследвания и предварителен анализ, които да бъдат използвани при разработване на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възможни насоки относно бизнес модела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—</w:t>
      </w:r>
      <w:r w:rsidR="008B6235">
        <w:rPr>
          <w:rFonts w:eastAsia="Times New Roman" w:cs="Helvetica"/>
          <w:color w:val="575757"/>
          <w:sz w:val="24"/>
          <w:szCs w:val="24"/>
        </w:rPr>
        <w:t>Документ по програмата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15</w:t>
      </w:r>
      <w:r w:rsidR="00961A3C">
        <w:rPr>
          <w:rFonts w:eastAsia="Times New Roman" w:cs="Helvetica"/>
          <w:color w:val="575757"/>
          <w:sz w:val="24"/>
          <w:szCs w:val="24"/>
          <w:lang w:val="bg-BG"/>
        </w:rPr>
        <w:t>Б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.</w:t>
      </w:r>
    </w:p>
    <w:p w:rsidR="00365F6A" w:rsidRPr="008B6235" w:rsidRDefault="0075255F" w:rsidP="00365F6A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 w:rsidRPr="0075255F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Характеристики, повишаващи качеството на информацията </w:t>
      </w: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в коментара на ръководството </w:t>
      </w:r>
      <w:r w:rsidR="00365F6A" w:rsidRPr="008B6235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8B6235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365F6A" w:rsidRPr="008B6235">
        <w:rPr>
          <w:rFonts w:eastAsia="Times New Roman" w:cs="Helvetica"/>
          <w:b/>
          <w:bCs/>
          <w:color w:val="333333"/>
          <w:sz w:val="24"/>
          <w:szCs w:val="24"/>
        </w:rPr>
        <w:t xml:space="preserve"> 15A)</w:t>
      </w:r>
    </w:p>
    <w:p w:rsidR="00365F6A" w:rsidRPr="008B6235" w:rsidRDefault="002E1BA2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</w:rPr>
        <w:t>Съветът реши в порядък на работна хипотеза</w:t>
      </w:r>
      <w:r w:rsidR="0075255F">
        <w:rPr>
          <w:rFonts w:eastAsia="Times New Roman" w:cs="Helvetica"/>
          <w:color w:val="575757"/>
          <w:sz w:val="24"/>
          <w:szCs w:val="24"/>
          <w:lang w:val="bg-BG"/>
        </w:rPr>
        <w:t>, че преработеното Изложение за практика следва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:</w:t>
      </w:r>
    </w:p>
    <w:p w:rsidR="00365F6A" w:rsidRPr="008B6235" w:rsidRDefault="0075255F" w:rsidP="00365F6A">
      <w:pPr>
        <w:numPr>
          <w:ilvl w:val="0"/>
          <w:numId w:val="7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да включва описание на съпоставимостта, отразяващо параграфи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2.24, 2.26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2.28 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от </w:t>
      </w:r>
      <w:r w:rsidR="004F41EE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Концептуалната рамка за финансово отчитане 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(</w:t>
      </w:r>
      <w:r w:rsidR="004F41EE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„Концептуалната рамка”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);</w:t>
      </w:r>
    </w:p>
    <w:p w:rsidR="00365F6A" w:rsidRPr="008B6235" w:rsidRDefault="0075255F" w:rsidP="00365F6A">
      <w:pPr>
        <w:numPr>
          <w:ilvl w:val="0"/>
          <w:numId w:val="7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да пояснява, че макар съпоставимостта с други предприятия да е желана, то тя не следва да е с по-голяма тежест от изискването да се предостави уместна, специфична за даденото предприятие, информация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;</w:t>
      </w:r>
    </w:p>
    <w:p w:rsidR="00365F6A" w:rsidRPr="008B6235" w:rsidRDefault="0075255F" w:rsidP="00365F6A">
      <w:pPr>
        <w:numPr>
          <w:ilvl w:val="0"/>
          <w:numId w:val="7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да посочва, че при изготвяне на коментара на ръководството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ръководството на предприятието следва да вземе под внимание факта, че основните потребители трябва да извършват сравнения с информация, предоставена от други предприятия, с информация, докладвана в коментар на ръководството в предходни периоди, както и с друга информация, публикувана от предприятието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;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365F6A" w:rsidRPr="008B6235" w:rsidRDefault="0075255F" w:rsidP="00365F6A">
      <w:pPr>
        <w:numPr>
          <w:ilvl w:val="0"/>
          <w:numId w:val="7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да изисква ръководството на предприятието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:</w:t>
      </w:r>
    </w:p>
    <w:p w:rsidR="00365F6A" w:rsidRPr="008B6235" w:rsidRDefault="0075255F" w:rsidP="00365F6A">
      <w:pPr>
        <w:numPr>
          <w:ilvl w:val="1"/>
          <w:numId w:val="7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да обяснява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направените предположения и използваните методи за изчисление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при изготвяне на оценка за резултатите от дейността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както и да посочва дали въпросната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оценка за резултатите от дейността</w:t>
      </w:r>
      <w:r w:rsidRPr="008B6235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представлява често и обичайно използван измерител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;</w:t>
      </w:r>
    </w:p>
    <w:p w:rsidR="00365F6A" w:rsidRPr="008B6235" w:rsidRDefault="0075255F" w:rsidP="00365F6A">
      <w:pPr>
        <w:numPr>
          <w:ilvl w:val="1"/>
          <w:numId w:val="7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да обяснява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всички промени в сравнение с предходната година в тези предположения и методи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както и причините за тях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;</w:t>
      </w:r>
    </w:p>
    <w:p w:rsidR="00365F6A" w:rsidRPr="008B6235" w:rsidRDefault="0075255F" w:rsidP="00365F6A">
      <w:pPr>
        <w:numPr>
          <w:ilvl w:val="1"/>
          <w:numId w:val="7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да откроява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</w:t>
      </w:r>
      <w:r w:rsidR="002003C8">
        <w:rPr>
          <w:rFonts w:eastAsia="Times New Roman" w:cs="Helvetica"/>
          <w:color w:val="575757"/>
          <w:sz w:val="24"/>
          <w:szCs w:val="24"/>
          <w:lang w:val="bg-BG"/>
        </w:rPr>
        <w:t>къде е предоставена нова информация относно въпрос, докладван в предходен коментар на ръководството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;</w:t>
      </w:r>
    </w:p>
    <w:p w:rsidR="00365F6A" w:rsidRPr="008B6235" w:rsidRDefault="0075255F" w:rsidP="00365F6A">
      <w:pPr>
        <w:numPr>
          <w:ilvl w:val="1"/>
          <w:numId w:val="7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да предоставя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</w:t>
      </w:r>
      <w:r w:rsidR="002003C8">
        <w:rPr>
          <w:rFonts w:eastAsia="Times New Roman" w:cs="Helvetica"/>
          <w:color w:val="575757"/>
          <w:sz w:val="24"/>
          <w:szCs w:val="24"/>
          <w:lang w:val="bg-BG"/>
        </w:rPr>
        <w:t>сравнителна информация по отношение на всяка оценка на резултатите от дейността в течение на период, който е достатъчно продължителен, за да покаже възникването на тенденции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; </w:t>
      </w:r>
      <w:r w:rsidR="002003C8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365F6A" w:rsidRPr="008B6235" w:rsidRDefault="0075255F" w:rsidP="00365F6A">
      <w:pPr>
        <w:numPr>
          <w:ilvl w:val="1"/>
          <w:numId w:val="7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да преценява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</w:t>
      </w:r>
      <w:r w:rsidR="002003C8">
        <w:rPr>
          <w:rFonts w:eastAsia="Times New Roman" w:cs="Helvetica"/>
          <w:color w:val="575757"/>
          <w:sz w:val="24"/>
          <w:szCs w:val="24"/>
          <w:lang w:val="bg-BG"/>
        </w:rPr>
        <w:t>дали информацията, предоставена в коментара на ръководството е в съответствие с информацията, отчетена във финансовия отчет на предприятието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, </w:t>
      </w:r>
      <w:r w:rsidR="002003C8">
        <w:rPr>
          <w:rFonts w:eastAsia="Times New Roman" w:cs="Helvetica"/>
          <w:color w:val="575757"/>
          <w:sz w:val="24"/>
          <w:szCs w:val="24"/>
          <w:lang w:val="bg-BG"/>
        </w:rPr>
        <w:t>в презентации пред инвеститори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, </w:t>
      </w:r>
      <w:r w:rsidR="002003C8">
        <w:rPr>
          <w:rFonts w:eastAsia="Times New Roman" w:cs="Helvetica"/>
          <w:color w:val="575757"/>
          <w:sz w:val="24"/>
          <w:szCs w:val="24"/>
          <w:lang w:val="bg-BG"/>
        </w:rPr>
        <w:t>в други публично достъпни доклади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, </w:t>
      </w:r>
      <w:r w:rsidR="002003C8">
        <w:rPr>
          <w:rFonts w:eastAsia="Times New Roman" w:cs="Helvetica"/>
          <w:color w:val="575757"/>
          <w:sz w:val="24"/>
          <w:szCs w:val="24"/>
          <w:lang w:val="bg-BG"/>
        </w:rPr>
        <w:t>както и на уебсайта на предприятието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.</w:t>
      </w:r>
    </w:p>
    <w:p w:rsidR="00365F6A" w:rsidRPr="008B6235" w:rsidRDefault="002E1BA2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</w:rPr>
        <w:t>Тринадесет от четиринадесетте членове на Съвета изразиха съгласие с това решение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. </w:t>
      </w:r>
      <w:r>
        <w:rPr>
          <w:rFonts w:eastAsia="Times New Roman" w:cs="Helvetica"/>
          <w:color w:val="575757"/>
          <w:sz w:val="24"/>
          <w:szCs w:val="24"/>
        </w:rPr>
        <w:t>Един от членовете отсъстваше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.</w:t>
      </w:r>
    </w:p>
    <w:p w:rsidR="00365F6A" w:rsidRPr="008B6235" w:rsidRDefault="002E1BA2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</w:rPr>
        <w:t>Съветът реши в порядък на работна хипотеза</w:t>
      </w:r>
      <w:r w:rsidR="002003C8">
        <w:rPr>
          <w:rFonts w:eastAsia="Times New Roman" w:cs="Helvetica"/>
          <w:color w:val="575757"/>
          <w:sz w:val="24"/>
          <w:szCs w:val="24"/>
          <w:lang w:val="bg-BG"/>
        </w:rPr>
        <w:t>, че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</w:t>
      </w:r>
      <w:r w:rsidR="002003C8">
        <w:rPr>
          <w:rFonts w:eastAsia="Times New Roman" w:cs="Helvetica"/>
          <w:color w:val="575757"/>
          <w:sz w:val="24"/>
          <w:szCs w:val="24"/>
          <w:lang w:val="bg-BG"/>
        </w:rPr>
        <w:t>преработеното Изложение за практика следва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:</w:t>
      </w:r>
    </w:p>
    <w:p w:rsidR="00365F6A" w:rsidRPr="008B6235" w:rsidRDefault="00781874" w:rsidP="00365F6A">
      <w:pPr>
        <w:numPr>
          <w:ilvl w:val="0"/>
          <w:numId w:val="8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при разглеждане на разбираемостта да включва настоящите насоки в Изложението за практика относно представянето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;</w:t>
      </w:r>
    </w:p>
    <w:p w:rsidR="00365F6A" w:rsidRPr="008B6235" w:rsidRDefault="00781874" w:rsidP="00365F6A">
      <w:pPr>
        <w:numPr>
          <w:ilvl w:val="0"/>
          <w:numId w:val="8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да пояснява, че представянето на коментара на ръководството в сбит вид представлява важна част от това коментарът на ръководството да е разбираем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;</w:t>
      </w:r>
    </w:p>
    <w:p w:rsidR="00365F6A" w:rsidRPr="008B6235" w:rsidRDefault="00781874" w:rsidP="00365F6A">
      <w:pPr>
        <w:numPr>
          <w:ilvl w:val="0"/>
          <w:numId w:val="8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да разрешава включването на информация в коментара на ръководството чрез кръстосани препратки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при условие, че бъде спазен всеобхватния принцип, че включената посредством кръстосани препратки информация представлява част от коментара на ръководството и следователно трябва да притежава качествените характеристики на полезната финансова информация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. </w:t>
      </w:r>
      <w:r>
        <w:rPr>
          <w:rFonts w:eastAsia="Times New Roman" w:cs="Helvetica"/>
          <w:color w:val="575757"/>
          <w:sz w:val="24"/>
          <w:szCs w:val="24"/>
          <w:lang w:val="bg-BG"/>
        </w:rPr>
        <w:t>За да помогне на ръководството да прилага всеобхватния принцип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преработеното Изложение за практика следва да включва насоки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:</w:t>
      </w:r>
    </w:p>
    <w:p w:rsidR="00365F6A" w:rsidRPr="008B6235" w:rsidRDefault="00781874" w:rsidP="00365F6A">
      <w:pPr>
        <w:numPr>
          <w:ilvl w:val="1"/>
          <w:numId w:val="8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относно повишаване разбираемостта на коментара на ръководството, когато информацията е включена посредством кръстосани препратки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;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365F6A" w:rsidRPr="008B6235" w:rsidRDefault="00781874" w:rsidP="00365F6A">
      <w:pPr>
        <w:numPr>
          <w:ilvl w:val="1"/>
          <w:numId w:val="8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относно условията, които трябва да бъдат изпълнени, от даден доклад, когато коментарът на ръководството включва информация чрез кръстосана препратка към този доклад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.</w:t>
      </w:r>
    </w:p>
    <w:p w:rsidR="00365F6A" w:rsidRPr="008B6235" w:rsidRDefault="002E1BA2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</w:rPr>
        <w:t>Дванадесет от четиринадесетте членове на Съвета изразиха съгласие с това решение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. </w:t>
      </w:r>
      <w:r>
        <w:rPr>
          <w:rFonts w:eastAsia="Times New Roman" w:cs="Helvetica"/>
          <w:color w:val="575757"/>
          <w:sz w:val="24"/>
          <w:szCs w:val="24"/>
        </w:rPr>
        <w:t>Двама от членовете отсъстваха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.</w:t>
      </w:r>
    </w:p>
    <w:p w:rsidR="00365F6A" w:rsidRPr="008B6235" w:rsidRDefault="002E1BA2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</w:rPr>
        <w:t>Съветът реши в порядък на работна хипотеза</w:t>
      </w:r>
      <w:r w:rsidR="00E9439C">
        <w:rPr>
          <w:rFonts w:eastAsia="Times New Roman" w:cs="Helvetica"/>
          <w:color w:val="575757"/>
          <w:sz w:val="24"/>
          <w:szCs w:val="24"/>
          <w:lang w:val="bg-BG"/>
        </w:rPr>
        <w:t>, че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</w:t>
      </w:r>
      <w:r w:rsidR="00E9439C">
        <w:rPr>
          <w:rFonts w:eastAsia="Times New Roman" w:cs="Helvetica"/>
          <w:color w:val="575757"/>
          <w:sz w:val="24"/>
          <w:szCs w:val="24"/>
          <w:lang w:val="bg-BG"/>
        </w:rPr>
        <w:t>преработеното Изложение за практика следва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:</w:t>
      </w:r>
    </w:p>
    <w:p w:rsidR="00365F6A" w:rsidRPr="008B6235" w:rsidRDefault="00E9439C" w:rsidP="00365F6A">
      <w:pPr>
        <w:numPr>
          <w:ilvl w:val="0"/>
          <w:numId w:val="9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да включва описание на възможността за проверка на базата на параграфи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2.30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2.32 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от </w:t>
      </w:r>
      <w:r w:rsidR="004F41EE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Концептуалната рамка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;</w:t>
      </w:r>
    </w:p>
    <w:p w:rsidR="00365F6A" w:rsidRPr="008B6235" w:rsidRDefault="00E9439C" w:rsidP="00365F6A">
      <w:pPr>
        <w:numPr>
          <w:ilvl w:val="0"/>
          <w:numId w:val="9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да изисква ръководството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:</w:t>
      </w:r>
    </w:p>
    <w:p w:rsidR="00365F6A" w:rsidRPr="008B6235" w:rsidRDefault="00E9439C" w:rsidP="00365F6A">
      <w:pPr>
        <w:numPr>
          <w:ilvl w:val="1"/>
          <w:numId w:val="9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да разграничава информацията на базата на преценка от фактическата информация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;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365F6A" w:rsidRPr="008B6235" w:rsidRDefault="00E9439C" w:rsidP="00365F6A">
      <w:pPr>
        <w:numPr>
          <w:ilvl w:val="1"/>
          <w:numId w:val="9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да обяснява процеса и източниците, използвани за изготвяне на информацията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да описва предположенията и методите, използвани за изчисляването й и да посочва ограниченията на информацията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;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365F6A" w:rsidRPr="008B6235" w:rsidRDefault="00E9439C" w:rsidP="00365F6A">
      <w:pPr>
        <w:numPr>
          <w:ilvl w:val="0"/>
          <w:numId w:val="9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да запази изявлението, че преработеното Изложение за практика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не определя задължително нивото на сигурност, на което следва да е обект коментарът на ръководството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.</w:t>
      </w:r>
    </w:p>
    <w:p w:rsidR="00365F6A" w:rsidRPr="008B6235" w:rsidRDefault="002E1BA2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</w:rPr>
        <w:t>Тринадесет от четиринадесетте членове на Съвета изразиха съгласие с това решение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. </w:t>
      </w:r>
      <w:r>
        <w:rPr>
          <w:rFonts w:eastAsia="Times New Roman" w:cs="Helvetica"/>
          <w:color w:val="575757"/>
          <w:sz w:val="24"/>
          <w:szCs w:val="24"/>
        </w:rPr>
        <w:t>Един от членовете отсъстваше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.</w:t>
      </w:r>
    </w:p>
    <w:p w:rsidR="00365F6A" w:rsidRPr="008B6235" w:rsidRDefault="002E1BA2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</w:rPr>
        <w:t>Съветът реши в порядък на работна хипотеза</w:t>
      </w:r>
      <w:r w:rsidR="00E9439C">
        <w:rPr>
          <w:rFonts w:eastAsia="Times New Roman" w:cs="Helvetica"/>
          <w:color w:val="575757"/>
          <w:sz w:val="24"/>
          <w:szCs w:val="24"/>
          <w:lang w:val="bg-BG"/>
        </w:rPr>
        <w:t>, че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</w:t>
      </w:r>
      <w:r w:rsidR="00E9439C">
        <w:rPr>
          <w:rFonts w:eastAsia="Times New Roman" w:cs="Helvetica"/>
          <w:color w:val="575757"/>
          <w:sz w:val="24"/>
          <w:szCs w:val="24"/>
          <w:lang w:val="bg-BG"/>
        </w:rPr>
        <w:t>преработеното Изложение за практика няма да включва насоки относно своевременността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. </w:t>
      </w:r>
      <w:r>
        <w:rPr>
          <w:rFonts w:eastAsia="Times New Roman" w:cs="Helvetica"/>
          <w:color w:val="575757"/>
          <w:sz w:val="24"/>
          <w:szCs w:val="24"/>
        </w:rPr>
        <w:t>Седем от четиринадесетте членове на Съвета изразиха съгласие с това решение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. </w:t>
      </w:r>
      <w:r>
        <w:rPr>
          <w:rFonts w:eastAsia="Times New Roman" w:cs="Helvetica"/>
          <w:color w:val="575757"/>
          <w:sz w:val="24"/>
          <w:szCs w:val="24"/>
        </w:rPr>
        <w:t>Един от членовете отсъстваше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.</w:t>
      </w:r>
    </w:p>
    <w:p w:rsidR="00365F6A" w:rsidRPr="008B6235" w:rsidRDefault="00E9439C" w:rsidP="00365F6A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Въведение към бизнес модела </w:t>
      </w:r>
      <w:r w:rsidR="00365F6A" w:rsidRPr="008B6235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8B6235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365F6A" w:rsidRPr="008B6235">
        <w:rPr>
          <w:rFonts w:eastAsia="Times New Roman" w:cs="Helvetica"/>
          <w:b/>
          <w:bCs/>
          <w:color w:val="333333"/>
          <w:sz w:val="24"/>
          <w:szCs w:val="24"/>
        </w:rPr>
        <w:t xml:space="preserve"> 15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Б</w:t>
      </w:r>
      <w:r w:rsidR="00365F6A" w:rsidRPr="008B6235">
        <w:rPr>
          <w:rFonts w:eastAsia="Times New Roman" w:cs="Helvetica"/>
          <w:b/>
          <w:bCs/>
          <w:color w:val="333333"/>
          <w:sz w:val="24"/>
          <w:szCs w:val="24"/>
        </w:rPr>
        <w:t>)</w:t>
      </w:r>
    </w:p>
    <w:p w:rsidR="00365F6A" w:rsidRPr="008B6235" w:rsidRDefault="00E9439C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Съветът обсъди общ преглед на извършените от екипа изследвания относно бизнес модела и предварителния анализ на екипа на въпросите, които Съветът ще трябва да разгледа при разработване на възможните насоки относно бизнес модела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.</w:t>
      </w:r>
    </w:p>
    <w:p w:rsidR="00365F6A" w:rsidRPr="008B6235" w:rsidRDefault="00D5070C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.</w:t>
      </w:r>
    </w:p>
    <w:p w:rsidR="00365F6A" w:rsidRPr="008B6235" w:rsidRDefault="008B6235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575757"/>
          <w:sz w:val="24"/>
          <w:szCs w:val="24"/>
        </w:rPr>
        <w:t>Следващ етап</w:t>
      </w:r>
    </w:p>
    <w:p w:rsidR="00365F6A" w:rsidRPr="008B6235" w:rsidRDefault="00E9439C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Съветът ще обсъди възможни насоки относно бизнес модела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.</w:t>
      </w:r>
    </w:p>
    <w:p w:rsidR="00365F6A" w:rsidRPr="008B6235" w:rsidRDefault="00365F6A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8B6235">
        <w:rPr>
          <w:rFonts w:eastAsia="Times New Roman" w:cs="Helvetica"/>
          <w:color w:val="575757"/>
          <w:sz w:val="24"/>
          <w:szCs w:val="24"/>
        </w:rPr>
        <w:t> </w:t>
      </w:r>
    </w:p>
    <w:p w:rsidR="00365F6A" w:rsidRPr="008B6235" w:rsidRDefault="00E9439C" w:rsidP="00365F6A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</w:rPr>
      </w:pPr>
      <w:bookmarkStart w:id="3" w:name="4"/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Изменение на</w:t>
      </w:r>
      <w:r w:rsidR="00365F6A" w:rsidRPr="008B6235">
        <w:rPr>
          <w:rFonts w:eastAsia="Times New Roman" w:cs="Helvetica"/>
          <w:b/>
          <w:bCs/>
          <w:color w:val="CD3333"/>
          <w:sz w:val="34"/>
          <w:szCs w:val="34"/>
        </w:rPr>
        <w:t xml:space="preserve"> </w:t>
      </w:r>
      <w:r w:rsidR="008B6235">
        <w:rPr>
          <w:rFonts w:eastAsia="Times New Roman" w:cs="Helvetica"/>
          <w:b/>
          <w:bCs/>
          <w:color w:val="CD3333"/>
          <w:sz w:val="34"/>
          <w:szCs w:val="34"/>
        </w:rPr>
        <w:t>МСФО</w:t>
      </w:r>
      <w:r w:rsidR="00365F6A" w:rsidRPr="008B6235">
        <w:rPr>
          <w:rFonts w:eastAsia="Times New Roman" w:cs="Helvetica"/>
          <w:b/>
          <w:bCs/>
          <w:color w:val="CD3333"/>
          <w:sz w:val="34"/>
          <w:szCs w:val="34"/>
        </w:rPr>
        <w:t xml:space="preserve"> 17 (</w:t>
      </w:r>
      <w:r w:rsidR="008B6235">
        <w:rPr>
          <w:rFonts w:eastAsia="Times New Roman" w:cs="Helvetica"/>
          <w:b/>
          <w:bCs/>
          <w:color w:val="CD3333"/>
          <w:sz w:val="34"/>
          <w:szCs w:val="34"/>
        </w:rPr>
        <w:t>Документ по програмата</w:t>
      </w:r>
      <w:r w:rsidR="00365F6A" w:rsidRPr="008B6235">
        <w:rPr>
          <w:rFonts w:eastAsia="Times New Roman" w:cs="Helvetica"/>
          <w:b/>
          <w:bCs/>
          <w:color w:val="CD3333"/>
          <w:sz w:val="34"/>
          <w:szCs w:val="34"/>
        </w:rPr>
        <w:t xml:space="preserve"> 2)</w:t>
      </w:r>
      <w:bookmarkEnd w:id="3"/>
    </w:p>
    <w:p w:rsidR="00365F6A" w:rsidRPr="008B6235" w:rsidRDefault="00E9439C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бе запознат с обобщение на становищата, получени като обратна информация от дейностите на терен във връзка с Проекта за обсъждане </w:t>
      </w:r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Изменение</w:t>
      </w:r>
      <w:r w:rsidR="00365F6A" w:rsidRPr="008B6235">
        <w:rPr>
          <w:rFonts w:eastAsia="Times New Roman" w:cs="Helvetica"/>
          <w:i/>
          <w:iCs/>
          <w:color w:val="575757"/>
          <w:sz w:val="24"/>
          <w:szCs w:val="24"/>
        </w:rPr>
        <w:t xml:space="preserve"> </w:t>
      </w:r>
      <w:r w:rsidR="008B6235">
        <w:rPr>
          <w:rFonts w:eastAsia="Times New Roman" w:cs="Helvetica"/>
          <w:i/>
          <w:iCs/>
          <w:color w:val="575757"/>
          <w:sz w:val="24"/>
          <w:szCs w:val="24"/>
        </w:rPr>
        <w:t>МСФО</w:t>
      </w:r>
      <w:r w:rsidR="00365F6A" w:rsidRPr="008B6235">
        <w:rPr>
          <w:rFonts w:eastAsia="Times New Roman" w:cs="Helvetica"/>
          <w:i/>
          <w:iCs/>
          <w:color w:val="575757"/>
          <w:sz w:val="24"/>
          <w:szCs w:val="24"/>
        </w:rPr>
        <w:t xml:space="preserve"> 17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. </w:t>
      </w:r>
      <w:r w:rsidR="00D5070C">
        <w:rPr>
          <w:rFonts w:eastAsia="Times New Roman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.</w:t>
      </w:r>
    </w:p>
    <w:p w:rsidR="00365F6A" w:rsidRPr="008B6235" w:rsidRDefault="008B6235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575757"/>
          <w:sz w:val="24"/>
          <w:szCs w:val="24"/>
        </w:rPr>
        <w:t>Следващи етапи</w:t>
      </w:r>
    </w:p>
    <w:p w:rsidR="00365F6A" w:rsidRPr="008B6235" w:rsidRDefault="00E9439C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На заседанието през ноември 2019 г. екипът планира да предостави на Съвета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:</w:t>
      </w:r>
    </w:p>
    <w:p w:rsidR="00365F6A" w:rsidRPr="008B6235" w:rsidRDefault="00E9439C" w:rsidP="00365F6A">
      <w:pPr>
        <w:numPr>
          <w:ilvl w:val="0"/>
          <w:numId w:val="10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обобщение на становищата, получени като обратна информация в писмата с коментари във връзка с Проекта за обсъждане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;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365F6A" w:rsidRPr="008B6235" w:rsidRDefault="00E9439C" w:rsidP="00365F6A">
      <w:pPr>
        <w:numPr>
          <w:ilvl w:val="0"/>
          <w:numId w:val="10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план за повторно разискване на определени теми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.</w:t>
      </w:r>
    </w:p>
    <w:p w:rsidR="00365F6A" w:rsidRPr="008B6235" w:rsidRDefault="00E9439C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Целта на Съвета остава издаването на измененията в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</w:t>
      </w:r>
      <w:r w:rsidR="008B6235">
        <w:rPr>
          <w:rFonts w:eastAsia="Times New Roman" w:cs="Helvetica"/>
          <w:color w:val="575757"/>
          <w:sz w:val="24"/>
          <w:szCs w:val="24"/>
        </w:rPr>
        <w:t>МСФО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17 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в средата на 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2020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г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.</w:t>
      </w:r>
    </w:p>
    <w:p w:rsidR="00365F6A" w:rsidRPr="008B6235" w:rsidRDefault="00365F6A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8B6235">
        <w:rPr>
          <w:rFonts w:eastAsia="Times New Roman" w:cs="Helvetica"/>
          <w:color w:val="575757"/>
          <w:sz w:val="24"/>
          <w:szCs w:val="24"/>
        </w:rPr>
        <w:t> </w:t>
      </w:r>
    </w:p>
    <w:p w:rsidR="00365F6A" w:rsidRPr="008B6235" w:rsidRDefault="00F35F17" w:rsidP="00365F6A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</w:rPr>
      </w:pPr>
      <w:bookmarkStart w:id="4" w:name="5"/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Реформата на референтните лихвени проценти и ефект</w:t>
      </w:r>
      <w:r w:rsidR="005C741F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ът</w:t>
      </w:r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й върху финансовото отчитане </w:t>
      </w:r>
      <w:r w:rsidR="00365F6A" w:rsidRPr="008B6235">
        <w:rPr>
          <w:rFonts w:eastAsia="Times New Roman" w:cs="Helvetica"/>
          <w:b/>
          <w:bCs/>
          <w:color w:val="CD3333"/>
          <w:sz w:val="34"/>
          <w:szCs w:val="34"/>
        </w:rPr>
        <w:t>—</w:t>
      </w:r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Фаза</w:t>
      </w:r>
      <w:r w:rsidR="00365F6A" w:rsidRPr="008B6235">
        <w:rPr>
          <w:rFonts w:eastAsia="Times New Roman" w:cs="Helvetica"/>
          <w:b/>
          <w:bCs/>
          <w:color w:val="CD3333"/>
          <w:sz w:val="34"/>
          <w:szCs w:val="34"/>
        </w:rPr>
        <w:t xml:space="preserve"> 2 (</w:t>
      </w:r>
      <w:r w:rsidR="008B6235">
        <w:rPr>
          <w:rFonts w:eastAsia="Times New Roman" w:cs="Helvetica"/>
          <w:b/>
          <w:bCs/>
          <w:color w:val="CD3333"/>
          <w:sz w:val="34"/>
          <w:szCs w:val="34"/>
        </w:rPr>
        <w:t>Документ по програмата</w:t>
      </w:r>
      <w:r w:rsidR="00365F6A" w:rsidRPr="008B6235">
        <w:rPr>
          <w:rFonts w:eastAsia="Times New Roman" w:cs="Helvetica"/>
          <w:b/>
          <w:bCs/>
          <w:color w:val="CD3333"/>
          <w:sz w:val="34"/>
          <w:szCs w:val="34"/>
        </w:rPr>
        <w:t xml:space="preserve"> 14)</w:t>
      </w:r>
      <w:bookmarkEnd w:id="4"/>
    </w:p>
    <w:p w:rsidR="00365F6A" w:rsidRPr="008B6235" w:rsidRDefault="00A97EDB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На 2</w:t>
      </w:r>
      <w:r>
        <w:rPr>
          <w:rFonts w:eastAsia="Times New Roman" w:cs="Helvetica"/>
          <w:color w:val="575757"/>
          <w:sz w:val="24"/>
          <w:szCs w:val="24"/>
          <w:lang w:val="bg-BG"/>
        </w:rPr>
        <w:t>3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октомври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2019 г. Съветът проведе заседание, за да обсъди </w:t>
      </w:r>
      <w:r w:rsidR="00F35F17">
        <w:rPr>
          <w:rFonts w:eastAsia="Times New Roman" w:cs="Helvetica"/>
          <w:color w:val="575757"/>
          <w:sz w:val="24"/>
          <w:szCs w:val="24"/>
          <w:lang w:val="bg-BG"/>
        </w:rPr>
        <w:t>потенциални счетоводни проблеми, свързани с класифицирането и оценяването на финансови инструменти, които биха могли да възникнат в резултат от реформата на референтните лихвени проценти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. </w:t>
      </w:r>
      <w:r w:rsidR="00F35F17">
        <w:rPr>
          <w:rFonts w:eastAsia="Times New Roman" w:cs="Helvetica"/>
          <w:color w:val="575757"/>
          <w:sz w:val="24"/>
          <w:szCs w:val="24"/>
          <w:lang w:val="bg-BG"/>
        </w:rPr>
        <w:t>По-конкретно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, </w:t>
      </w:r>
      <w:r w:rsidR="00F35F17">
        <w:rPr>
          <w:rFonts w:eastAsia="Times New Roman" w:cs="Helvetica"/>
          <w:color w:val="575757"/>
          <w:sz w:val="24"/>
          <w:szCs w:val="24"/>
          <w:lang w:val="bg-BG"/>
        </w:rPr>
        <w:t>Съветът обсъди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:</w:t>
      </w:r>
    </w:p>
    <w:p w:rsidR="00365F6A" w:rsidRPr="008B6235" w:rsidRDefault="009F511B" w:rsidP="00365F6A">
      <w:pPr>
        <w:numPr>
          <w:ilvl w:val="0"/>
          <w:numId w:val="1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оценка на това дали промяна в договорните парични потоци или условия на финансов инструмент представлява съществена модификация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както и счетоводните изисквания по отношение на модификации, които не са съществени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(</w:t>
      </w:r>
      <w:r>
        <w:rPr>
          <w:rFonts w:eastAsia="Times New Roman" w:cs="Helvetica"/>
          <w:color w:val="575757"/>
          <w:sz w:val="24"/>
          <w:szCs w:val="24"/>
          <w:lang w:val="bg-BG"/>
        </w:rPr>
        <w:t>т.е., модификации, които не водят в резултат до отписването на финансовия инструмент при прилагането на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</w:t>
      </w:r>
      <w:r w:rsidR="008B6235">
        <w:rPr>
          <w:rFonts w:eastAsia="Times New Roman" w:cs="Helvetica"/>
          <w:color w:val="575757"/>
          <w:sz w:val="24"/>
          <w:szCs w:val="24"/>
        </w:rPr>
        <w:t>МСФО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9 </w:t>
      </w:r>
      <w:r w:rsidR="004F41EE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Финансови инструменти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);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365F6A" w:rsidRPr="008B6235" w:rsidRDefault="009F511B" w:rsidP="00365F6A">
      <w:pPr>
        <w:numPr>
          <w:ilvl w:val="0"/>
          <w:numId w:val="1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модификации, които водят в резултат до отписване на съществуващи финансови инструменти и счетоводните последствия от признаването на модифицираните финансови инструменти като „нови“ финансови инструменти.</w:t>
      </w:r>
    </w:p>
    <w:p w:rsidR="00365F6A" w:rsidRPr="008B6235" w:rsidRDefault="009F511B" w:rsidP="00365F6A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Класифициране и оценяване</w:t>
      </w:r>
      <w:r w:rsidR="00365F6A" w:rsidRPr="008B6235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>—</w:t>
      </w: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модификация на финансови инструменти </w:t>
      </w:r>
      <w:r w:rsidR="00365F6A" w:rsidRPr="008B6235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8B6235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365F6A" w:rsidRPr="008B6235">
        <w:rPr>
          <w:rFonts w:eastAsia="Times New Roman" w:cs="Helvetica"/>
          <w:b/>
          <w:bCs/>
          <w:color w:val="333333"/>
          <w:sz w:val="24"/>
          <w:szCs w:val="24"/>
        </w:rPr>
        <w:t xml:space="preserve"> 14A)</w:t>
      </w:r>
    </w:p>
    <w:p w:rsidR="00365F6A" w:rsidRPr="008B6235" w:rsidRDefault="002E1BA2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</w:rPr>
        <w:t>Съветът реши в порядък на работна хипотеза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</w:t>
      </w:r>
      <w:r w:rsidR="009F511B">
        <w:rPr>
          <w:rFonts w:eastAsia="Times New Roman" w:cs="Helvetica"/>
          <w:color w:val="575757"/>
          <w:sz w:val="24"/>
          <w:szCs w:val="24"/>
          <w:lang w:val="bg-BG"/>
        </w:rPr>
        <w:t>да измени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</w:t>
      </w:r>
      <w:r w:rsidR="008B6235">
        <w:rPr>
          <w:rFonts w:eastAsia="Times New Roman" w:cs="Helvetica"/>
          <w:color w:val="575757"/>
          <w:sz w:val="24"/>
          <w:szCs w:val="24"/>
        </w:rPr>
        <w:t>МСФО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9</w:t>
      </w:r>
      <w:r w:rsidR="009F511B">
        <w:rPr>
          <w:rFonts w:eastAsia="Times New Roman" w:cs="Helvetica"/>
          <w:color w:val="575757"/>
          <w:sz w:val="24"/>
          <w:szCs w:val="24"/>
          <w:lang w:val="bg-BG"/>
        </w:rPr>
        <w:t>, така че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:</w:t>
      </w:r>
    </w:p>
    <w:p w:rsidR="00365F6A" w:rsidRPr="008B6235" w:rsidRDefault="00EF6F38" w:rsidP="00365F6A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да поясни, че дори при отсъствието на изменение в договорните условия на финансовия инструмент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промяна в базата, на която се определят договорните парични потоци, която променя това, което се е очаквало първоначално, съставлява модифициране на финансовия инструмент в съответствие с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</w:t>
      </w:r>
      <w:r w:rsidR="008B6235">
        <w:rPr>
          <w:rFonts w:eastAsia="Times New Roman" w:cs="Helvetica"/>
          <w:color w:val="575757"/>
          <w:sz w:val="24"/>
          <w:szCs w:val="24"/>
        </w:rPr>
        <w:t>МСФО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9. </w:t>
      </w:r>
      <w:r w:rsidR="002E1BA2">
        <w:rPr>
          <w:rFonts w:eastAsia="Times New Roman" w:cs="Helvetica"/>
          <w:color w:val="575757"/>
          <w:sz w:val="24"/>
          <w:szCs w:val="24"/>
        </w:rPr>
        <w:t>Дванадесет от четиринадесетте членове на Съвета изразиха съгласие, а един - несъгласие с това решение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. </w:t>
      </w:r>
      <w:r w:rsidR="002E1BA2">
        <w:rPr>
          <w:rFonts w:eastAsia="Times New Roman" w:cs="Helvetica"/>
          <w:color w:val="575757"/>
          <w:sz w:val="24"/>
          <w:szCs w:val="24"/>
        </w:rPr>
        <w:t>Един от членовете се въздържа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.</w:t>
      </w:r>
    </w:p>
    <w:p w:rsidR="00365F6A" w:rsidRPr="008B6235" w:rsidRDefault="00707E6E" w:rsidP="00365F6A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да предостави практически целесъобразна мярка, даваща възможност на предприятието да прилага параграф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Б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5.4.5 </w:t>
      </w:r>
      <w:r>
        <w:rPr>
          <w:rFonts w:eastAsia="Times New Roman" w:cs="Helvetica"/>
          <w:color w:val="575757"/>
          <w:sz w:val="24"/>
          <w:szCs w:val="24"/>
          <w:lang w:val="bg-BG"/>
        </w:rPr>
        <w:t>от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</w:t>
      </w:r>
      <w:r w:rsidR="008B6235">
        <w:rPr>
          <w:rFonts w:eastAsia="Times New Roman" w:cs="Helvetica"/>
          <w:color w:val="575757"/>
          <w:sz w:val="24"/>
          <w:szCs w:val="24"/>
        </w:rPr>
        <w:t>МСФО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9</w:t>
      </w:r>
      <w:r>
        <w:rPr>
          <w:rFonts w:eastAsia="Times New Roman" w:cs="Helvetica"/>
          <w:color w:val="575757"/>
          <w:sz w:val="24"/>
          <w:szCs w:val="24"/>
          <w:lang w:val="bg-BG"/>
        </w:rPr>
        <w:t>, за да отчита счетоводно модификациите, свързани с реформата на референтните лихвени проценти, и да предостави примери в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</w:t>
      </w:r>
      <w:r w:rsidR="008B6235">
        <w:rPr>
          <w:rFonts w:eastAsia="Times New Roman" w:cs="Helvetica"/>
          <w:color w:val="575757"/>
          <w:sz w:val="24"/>
          <w:szCs w:val="24"/>
        </w:rPr>
        <w:t>МСФО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9 </w:t>
      </w:r>
      <w:r w:rsidR="00641D8D">
        <w:rPr>
          <w:rFonts w:eastAsia="Times New Roman" w:cs="Helvetica"/>
          <w:color w:val="575757"/>
          <w:sz w:val="24"/>
          <w:szCs w:val="24"/>
          <w:lang w:val="bg-BG"/>
        </w:rPr>
        <w:t xml:space="preserve">за модификации, които са свързани с </w:t>
      </w:r>
      <w:r w:rsidR="00641D8D" w:rsidRPr="00641D8D">
        <w:rPr>
          <w:rFonts w:eastAsia="Times New Roman" w:cs="Helvetica"/>
          <w:color w:val="575757"/>
          <w:sz w:val="24"/>
          <w:szCs w:val="24"/>
          <w:lang w:val="bg-BG"/>
        </w:rPr>
        <w:t>реформата на референтните лихвени проценти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, </w:t>
      </w:r>
      <w:r w:rsidR="00641D8D">
        <w:rPr>
          <w:rFonts w:eastAsia="Times New Roman" w:cs="Helvetica"/>
          <w:color w:val="575757"/>
          <w:sz w:val="24"/>
          <w:szCs w:val="24"/>
          <w:lang w:val="bg-BG"/>
        </w:rPr>
        <w:t>както и примери за модификации, които не са свързани с тази реформа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. </w:t>
      </w:r>
      <w:r w:rsidR="002E1BA2">
        <w:rPr>
          <w:rFonts w:eastAsia="Times New Roman" w:cs="Helvetica"/>
          <w:color w:val="575757"/>
          <w:sz w:val="24"/>
          <w:szCs w:val="24"/>
        </w:rPr>
        <w:t>Тринадесет от четиринадесетте членове на Съвета изразиха съгласие с това решение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. </w:t>
      </w:r>
      <w:r w:rsidR="002E1BA2">
        <w:rPr>
          <w:rFonts w:eastAsia="Times New Roman" w:cs="Helvetica"/>
          <w:color w:val="575757"/>
          <w:sz w:val="24"/>
          <w:szCs w:val="24"/>
        </w:rPr>
        <w:t>Един от членовете се въздържа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.</w:t>
      </w:r>
    </w:p>
    <w:p w:rsidR="00365F6A" w:rsidRPr="008B6235" w:rsidRDefault="00641D8D" w:rsidP="00365F6A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да поясни, че предприятието следва първо да приложи параграф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Б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5.4.5 </w:t>
      </w:r>
      <w:r>
        <w:rPr>
          <w:rFonts w:eastAsia="Times New Roman" w:cs="Helvetica"/>
          <w:color w:val="575757"/>
          <w:sz w:val="24"/>
          <w:szCs w:val="24"/>
          <w:lang w:val="bg-BG"/>
        </w:rPr>
        <w:t>от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</w:t>
      </w:r>
      <w:r w:rsidR="008B6235">
        <w:rPr>
          <w:rFonts w:eastAsia="Times New Roman" w:cs="Helvetica"/>
          <w:color w:val="575757"/>
          <w:sz w:val="24"/>
          <w:szCs w:val="24"/>
        </w:rPr>
        <w:t>МСФО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9</w:t>
      </w:r>
      <w:r>
        <w:rPr>
          <w:rFonts w:eastAsia="Times New Roman" w:cs="Helvetica"/>
          <w:color w:val="575757"/>
          <w:sz w:val="24"/>
          <w:szCs w:val="24"/>
          <w:lang w:val="bg-BG"/>
        </w:rPr>
        <w:t>,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</w:t>
      </w:r>
      <w:r w:rsidRPr="00641D8D">
        <w:rPr>
          <w:rFonts w:eastAsia="Times New Roman" w:cs="Helvetica"/>
          <w:color w:val="575757"/>
          <w:sz w:val="24"/>
          <w:szCs w:val="24"/>
          <w:lang w:val="bg-BG"/>
        </w:rPr>
        <w:t xml:space="preserve">за да </w:t>
      </w:r>
      <w:r>
        <w:rPr>
          <w:rFonts w:eastAsia="Times New Roman" w:cs="Helvetica"/>
          <w:color w:val="575757"/>
          <w:sz w:val="24"/>
          <w:szCs w:val="24"/>
          <w:lang w:val="bg-BG"/>
        </w:rPr>
        <w:t>отчете</w:t>
      </w:r>
      <w:r w:rsidRPr="00641D8D">
        <w:rPr>
          <w:rFonts w:eastAsia="Times New Roman" w:cs="Helvetica"/>
          <w:color w:val="575757"/>
          <w:sz w:val="24"/>
          <w:szCs w:val="24"/>
          <w:lang w:val="bg-BG"/>
        </w:rPr>
        <w:t xml:space="preserve"> счетоводно модификациите, свързани с реформата на референтните лихвени проценти</w:t>
      </w:r>
      <w:r>
        <w:rPr>
          <w:rFonts w:eastAsia="Times New Roman" w:cs="Helvetica"/>
          <w:color w:val="575757"/>
          <w:sz w:val="24"/>
          <w:szCs w:val="24"/>
          <w:lang w:val="bg-BG"/>
        </w:rPr>
        <w:t>, за които се отнася практически целесъобразната мярка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. </w:t>
      </w:r>
      <w:r>
        <w:rPr>
          <w:rFonts w:eastAsia="Times New Roman" w:cs="Helvetica"/>
          <w:color w:val="575757"/>
          <w:sz w:val="24"/>
          <w:szCs w:val="24"/>
          <w:lang w:val="bg-BG"/>
        </w:rPr>
        <w:t>След това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предприятието следва да приложи </w:t>
      </w:r>
      <w:r w:rsidR="00C531C9">
        <w:rPr>
          <w:rFonts w:eastAsia="Times New Roman" w:cs="Helvetica"/>
          <w:color w:val="575757"/>
          <w:sz w:val="24"/>
          <w:szCs w:val="24"/>
          <w:lang w:val="bg-BG"/>
        </w:rPr>
        <w:t>настоящите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изисквания в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</w:t>
      </w:r>
      <w:r w:rsidR="008B6235">
        <w:rPr>
          <w:rFonts w:eastAsia="Times New Roman" w:cs="Helvetica"/>
          <w:color w:val="575757"/>
          <w:sz w:val="24"/>
          <w:szCs w:val="24"/>
        </w:rPr>
        <w:t>МСФО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9</w:t>
      </w:r>
      <w:r>
        <w:rPr>
          <w:rFonts w:eastAsia="Times New Roman" w:cs="Helvetica"/>
          <w:color w:val="575757"/>
          <w:sz w:val="24"/>
          <w:szCs w:val="24"/>
          <w:lang w:val="bg-BG"/>
        </w:rPr>
        <w:t>, за да определи дали други модификации са съществени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; </w:t>
      </w:r>
      <w:r>
        <w:rPr>
          <w:rFonts w:eastAsia="Times New Roman" w:cs="Helvetica"/>
          <w:color w:val="575757"/>
          <w:sz w:val="24"/>
          <w:szCs w:val="24"/>
          <w:lang w:val="bg-BG"/>
        </w:rPr>
        <w:t>ако тези модификации не са съществени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предприятието следва да приложи параграф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5.4.3 </w:t>
      </w:r>
      <w:r>
        <w:rPr>
          <w:rFonts w:eastAsia="Times New Roman" w:cs="Helvetica"/>
          <w:color w:val="575757"/>
          <w:sz w:val="24"/>
          <w:szCs w:val="24"/>
          <w:lang w:val="bg-BG"/>
        </w:rPr>
        <w:t>от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</w:t>
      </w:r>
      <w:r w:rsidR="008B6235">
        <w:rPr>
          <w:rFonts w:eastAsia="Times New Roman" w:cs="Helvetica"/>
          <w:color w:val="575757"/>
          <w:sz w:val="24"/>
          <w:szCs w:val="24"/>
        </w:rPr>
        <w:t>МСФО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9. </w:t>
      </w:r>
      <w:r w:rsidR="002E1BA2">
        <w:rPr>
          <w:rFonts w:eastAsia="Times New Roman" w:cs="Helvetica"/>
          <w:color w:val="575757"/>
          <w:sz w:val="24"/>
          <w:szCs w:val="24"/>
        </w:rPr>
        <w:t>Тринадесет от четиринадесетте членове на Съвета изразиха съгласие с това решение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. </w:t>
      </w:r>
      <w:r w:rsidR="002E1BA2">
        <w:rPr>
          <w:rFonts w:eastAsia="Times New Roman" w:cs="Helvetica"/>
          <w:color w:val="575757"/>
          <w:sz w:val="24"/>
          <w:szCs w:val="24"/>
        </w:rPr>
        <w:t>Един от членовете се въздържа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.</w:t>
      </w:r>
    </w:p>
    <w:p w:rsidR="00365F6A" w:rsidRPr="008B6235" w:rsidRDefault="00C531C9" w:rsidP="00365F6A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Счетоводни последствия от отписването на модифициран финансов инструмент </w:t>
      </w:r>
      <w:r w:rsidR="00365F6A" w:rsidRPr="008B6235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8B6235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365F6A" w:rsidRPr="008B6235">
        <w:rPr>
          <w:rFonts w:eastAsia="Times New Roman" w:cs="Helvetica"/>
          <w:b/>
          <w:bCs/>
          <w:color w:val="333333"/>
          <w:sz w:val="24"/>
          <w:szCs w:val="24"/>
        </w:rPr>
        <w:t xml:space="preserve"> 14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Б</w:t>
      </w:r>
      <w:r w:rsidR="00365F6A" w:rsidRPr="008B6235">
        <w:rPr>
          <w:rFonts w:eastAsia="Times New Roman" w:cs="Helvetica"/>
          <w:b/>
          <w:bCs/>
          <w:color w:val="333333"/>
          <w:sz w:val="24"/>
          <w:szCs w:val="24"/>
        </w:rPr>
        <w:t>)</w:t>
      </w:r>
    </w:p>
    <w:p w:rsidR="00365F6A" w:rsidRPr="008B6235" w:rsidRDefault="002E1BA2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</w:rPr>
        <w:t>Съветът реши в порядък на работна хипотеза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, </w:t>
      </w:r>
      <w:r w:rsidR="00C531C9">
        <w:rPr>
          <w:rFonts w:eastAsia="Times New Roman" w:cs="Helvetica"/>
          <w:color w:val="575757"/>
          <w:sz w:val="24"/>
          <w:szCs w:val="24"/>
          <w:lang w:val="bg-BG"/>
        </w:rPr>
        <w:t xml:space="preserve">че в контекста на </w:t>
      </w:r>
      <w:r w:rsidR="00C531C9" w:rsidRPr="00C531C9">
        <w:rPr>
          <w:rFonts w:eastAsia="Times New Roman" w:cs="Helvetica"/>
          <w:color w:val="575757"/>
          <w:sz w:val="24"/>
          <w:szCs w:val="24"/>
          <w:lang w:val="bg-BG"/>
        </w:rPr>
        <w:t>реформата на референтните лихвени проценти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, </w:t>
      </w:r>
      <w:r w:rsidR="00C531C9">
        <w:rPr>
          <w:rFonts w:eastAsia="Times New Roman" w:cs="Helvetica"/>
          <w:color w:val="575757"/>
          <w:sz w:val="24"/>
          <w:szCs w:val="24"/>
          <w:lang w:val="bg-BG"/>
        </w:rPr>
        <w:t xml:space="preserve">настоящите изисквания в </w:t>
      </w:r>
      <w:r w:rsidR="008B6235">
        <w:rPr>
          <w:rFonts w:eastAsia="Times New Roman" w:cs="Helvetica"/>
          <w:color w:val="575757"/>
          <w:sz w:val="24"/>
          <w:szCs w:val="24"/>
        </w:rPr>
        <w:t>МСФО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9 </w:t>
      </w:r>
      <w:r w:rsidR="00C531C9">
        <w:rPr>
          <w:rFonts w:eastAsia="Times New Roman" w:cs="Helvetica"/>
          <w:color w:val="575757"/>
          <w:sz w:val="24"/>
          <w:szCs w:val="24"/>
          <w:lang w:val="bg-BG"/>
        </w:rPr>
        <w:t>предоставят достатъчно насоки, за да се определи подходящото счетоводно третиране в следните ситуации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:</w:t>
      </w:r>
    </w:p>
    <w:p w:rsidR="00365F6A" w:rsidRPr="008B6235" w:rsidRDefault="00C531C9" w:rsidP="00365F6A">
      <w:pPr>
        <w:numPr>
          <w:ilvl w:val="0"/>
          <w:numId w:val="1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отписване на финансов актив или финансов пасив от отчета за финансовото състояние и признаване на получената в резултат печалба или загуба след съществена модификация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.</w:t>
      </w:r>
    </w:p>
    <w:p w:rsidR="00365F6A" w:rsidRPr="008B6235" w:rsidRDefault="00C531C9" w:rsidP="00365F6A">
      <w:pPr>
        <w:numPr>
          <w:ilvl w:val="0"/>
          <w:numId w:val="1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определяне на бизнес модела на предприятието по отношение управлението на финансовите активи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.</w:t>
      </w:r>
    </w:p>
    <w:p w:rsidR="00365F6A" w:rsidRPr="008B6235" w:rsidRDefault="00C531C9" w:rsidP="00365F6A">
      <w:pPr>
        <w:numPr>
          <w:ilvl w:val="0"/>
          <w:numId w:val="1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определяне дали лихвеният компонент на договорните парични потоци на новия финансов актив, базиран на алтернативни референтни лихвени проценти</w:t>
      </w:r>
      <w:r w:rsidR="00E2589D">
        <w:rPr>
          <w:rFonts w:eastAsia="Times New Roman" w:cs="Helvetica"/>
          <w:color w:val="575757"/>
          <w:sz w:val="24"/>
          <w:szCs w:val="24"/>
          <w:lang w:val="bg-BG"/>
        </w:rPr>
        <w:t>,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отговаря на критериите за единствено плащане на главница и лихви</w:t>
      </w:r>
      <w:r w:rsidR="00E2589D">
        <w:rPr>
          <w:rFonts w:eastAsia="Times New Roman" w:cs="Helvetica"/>
          <w:color w:val="575757"/>
          <w:sz w:val="24"/>
          <w:szCs w:val="24"/>
          <w:lang w:val="bg-BG"/>
        </w:rPr>
        <w:t xml:space="preserve"> по непогасената сума на главницата 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(</w:t>
      </w:r>
      <w:r w:rsidR="00E2589D">
        <w:rPr>
          <w:rFonts w:eastAsia="Times New Roman" w:cs="Helvetica"/>
          <w:color w:val="575757"/>
          <w:sz w:val="24"/>
          <w:szCs w:val="24"/>
          <w:lang w:val="bg-BG"/>
        </w:rPr>
        <w:t>ЕПГЛ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), </w:t>
      </w:r>
      <w:r w:rsidR="00E2589D">
        <w:rPr>
          <w:rFonts w:eastAsia="Times New Roman" w:cs="Helvetica"/>
          <w:color w:val="575757"/>
          <w:sz w:val="24"/>
          <w:szCs w:val="24"/>
          <w:lang w:val="bg-BG"/>
        </w:rPr>
        <w:t>както се изисква от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</w:t>
      </w:r>
      <w:r w:rsidR="008B6235">
        <w:rPr>
          <w:rFonts w:eastAsia="Times New Roman" w:cs="Helvetica"/>
          <w:color w:val="575757"/>
          <w:sz w:val="24"/>
          <w:szCs w:val="24"/>
        </w:rPr>
        <w:t>МСФО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9. </w:t>
      </w:r>
      <w:r w:rsidR="002E1BA2">
        <w:rPr>
          <w:rFonts w:eastAsia="Times New Roman" w:cs="Helvetica"/>
          <w:color w:val="575757"/>
          <w:sz w:val="24"/>
          <w:szCs w:val="24"/>
        </w:rPr>
        <w:t>Съветът реши също така в порядък на работна хипотеза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</w:t>
      </w:r>
      <w:r w:rsidR="00E2589D">
        <w:rPr>
          <w:rFonts w:eastAsia="Times New Roman" w:cs="Helvetica"/>
          <w:color w:val="575757"/>
          <w:sz w:val="24"/>
          <w:szCs w:val="24"/>
          <w:lang w:val="bg-BG"/>
        </w:rPr>
        <w:t>да добави пример към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</w:t>
      </w:r>
      <w:r w:rsidR="008B6235">
        <w:rPr>
          <w:rFonts w:eastAsia="Times New Roman" w:cs="Helvetica"/>
          <w:color w:val="575757"/>
          <w:sz w:val="24"/>
          <w:szCs w:val="24"/>
        </w:rPr>
        <w:t>МСФО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9</w:t>
      </w:r>
      <w:r w:rsidR="00E2589D">
        <w:rPr>
          <w:rFonts w:eastAsia="Times New Roman" w:cs="Helvetica"/>
          <w:color w:val="575757"/>
          <w:sz w:val="24"/>
          <w:szCs w:val="24"/>
          <w:lang w:val="bg-BG"/>
        </w:rPr>
        <w:t xml:space="preserve">, за да илюстрира прилагането на оценката за ЕПГЛ в контекста на </w:t>
      </w:r>
      <w:r w:rsidR="00E2589D" w:rsidRPr="00E2589D">
        <w:rPr>
          <w:rFonts w:eastAsia="Times New Roman" w:cs="Helvetica"/>
          <w:color w:val="575757"/>
          <w:sz w:val="24"/>
          <w:szCs w:val="24"/>
          <w:lang w:val="bg-BG"/>
        </w:rPr>
        <w:t>реформата на референтните лихвени проценти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.</w:t>
      </w:r>
    </w:p>
    <w:p w:rsidR="00365F6A" w:rsidRPr="008B6235" w:rsidRDefault="00E2589D" w:rsidP="00365F6A">
      <w:pPr>
        <w:numPr>
          <w:ilvl w:val="0"/>
          <w:numId w:val="1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признаване на очакваните кредитни загуби по отношение на новия финансов актив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.</w:t>
      </w:r>
    </w:p>
    <w:p w:rsidR="00365F6A" w:rsidRPr="008B6235" w:rsidRDefault="00E2589D" w:rsidP="00365F6A">
      <w:pPr>
        <w:numPr>
          <w:ilvl w:val="0"/>
          <w:numId w:val="1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счетоводно отчитане на внедрени деривативи по финансови пасиви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.</w:t>
      </w:r>
    </w:p>
    <w:p w:rsidR="00365F6A" w:rsidRPr="008B6235" w:rsidRDefault="002E1BA2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</w:rPr>
        <w:t>Всичките четиринадесет членове на Съвета изразиха съгласие с тези решения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.</w:t>
      </w:r>
    </w:p>
    <w:p w:rsidR="00365F6A" w:rsidRPr="008B6235" w:rsidRDefault="00365F6A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8B6235">
        <w:rPr>
          <w:rFonts w:eastAsia="Times New Roman" w:cs="Helvetica"/>
          <w:color w:val="575757"/>
          <w:sz w:val="24"/>
          <w:szCs w:val="24"/>
        </w:rPr>
        <w:t> </w:t>
      </w:r>
    </w:p>
    <w:p w:rsidR="00365F6A" w:rsidRPr="008B6235" w:rsidRDefault="00E2589D" w:rsidP="00365F6A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</w:rPr>
      </w:pPr>
      <w:bookmarkStart w:id="5" w:name="6"/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Финансови инструменти с характеристики на собствен капитал</w:t>
      </w:r>
      <w:r w:rsidR="00365F6A" w:rsidRPr="008B6235">
        <w:rPr>
          <w:rFonts w:eastAsia="Times New Roman" w:cs="Helvetica"/>
          <w:b/>
          <w:bCs/>
          <w:color w:val="CD3333"/>
          <w:sz w:val="34"/>
          <w:szCs w:val="34"/>
        </w:rPr>
        <w:t xml:space="preserve"> (</w:t>
      </w:r>
      <w:r w:rsidR="008B6235">
        <w:rPr>
          <w:rFonts w:eastAsia="Times New Roman" w:cs="Helvetica"/>
          <w:b/>
          <w:bCs/>
          <w:color w:val="CD3333"/>
          <w:sz w:val="34"/>
          <w:szCs w:val="34"/>
        </w:rPr>
        <w:t>Документ по програмата</w:t>
      </w:r>
      <w:r w:rsidR="00365F6A" w:rsidRPr="008B6235">
        <w:rPr>
          <w:rFonts w:eastAsia="Times New Roman" w:cs="Helvetica"/>
          <w:b/>
          <w:bCs/>
          <w:color w:val="CD3333"/>
          <w:sz w:val="34"/>
          <w:szCs w:val="34"/>
        </w:rPr>
        <w:t xml:space="preserve"> 5)</w:t>
      </w:r>
      <w:bookmarkEnd w:id="5"/>
    </w:p>
    <w:p w:rsidR="00365F6A" w:rsidRPr="008B6235" w:rsidRDefault="00A97EDB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На 2</w:t>
      </w:r>
      <w:r>
        <w:rPr>
          <w:rFonts w:eastAsia="Times New Roman" w:cs="Helvetica"/>
          <w:color w:val="575757"/>
          <w:sz w:val="24"/>
          <w:szCs w:val="24"/>
          <w:lang w:val="bg-BG"/>
        </w:rPr>
        <w:t>3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октомври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2019 г. Съветът проведе заседание, за да обсъди </w:t>
      </w:r>
      <w:r w:rsidR="00E2589D">
        <w:rPr>
          <w:rFonts w:eastAsia="Times New Roman" w:cs="Helvetica"/>
          <w:color w:val="575757"/>
          <w:sz w:val="24"/>
          <w:szCs w:val="24"/>
          <w:lang w:val="bg-BG"/>
        </w:rPr>
        <w:t>плана на проекта във връзка с финансовите инструменти с характеристики на собствен капитал</w:t>
      </w:r>
      <w:r w:rsidR="00365F6A" w:rsidRPr="008B6235">
        <w:rPr>
          <w:rFonts w:eastAsia="Times New Roman" w:cs="Helvetica"/>
          <w:i/>
          <w:iCs/>
          <w:color w:val="575757"/>
          <w:sz w:val="24"/>
          <w:szCs w:val="24"/>
        </w:rPr>
        <w:t>.</w:t>
      </w:r>
      <w:r w:rsidR="00E2589D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</w:t>
      </w:r>
      <w:r w:rsidR="00E2589D">
        <w:rPr>
          <w:rFonts w:eastAsia="Times New Roman" w:cs="Helvetica"/>
          <w:color w:val="575757"/>
          <w:sz w:val="24"/>
          <w:szCs w:val="24"/>
          <w:lang w:val="bg-BG"/>
        </w:rPr>
        <w:t>В частност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, </w:t>
      </w:r>
      <w:r w:rsidR="00E2589D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обсъди свързаните с практиката въпроси, които той би могъл да разгледа в </w:t>
      </w:r>
      <w:r w:rsidR="00E2589D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рамките на обхвата на проекта и индикативни срокове във връзка с проекта, очертаващи очакваното начало на разискванията на Съвета по всеки един въпрос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.</w:t>
      </w:r>
    </w:p>
    <w:p w:rsidR="00365F6A" w:rsidRPr="008B6235" w:rsidRDefault="00D5070C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.</w:t>
      </w:r>
    </w:p>
    <w:p w:rsidR="00365F6A" w:rsidRPr="008B6235" w:rsidRDefault="008B6235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575757"/>
          <w:sz w:val="24"/>
          <w:szCs w:val="24"/>
        </w:rPr>
        <w:t>Следващи етапи</w:t>
      </w:r>
    </w:p>
    <w:p w:rsidR="00365F6A" w:rsidRPr="008B6235" w:rsidRDefault="00203532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На бъдещи свои заседания Съветът ще обсъди практически въпроси в обхвата на проекта и приложимостта на потенциалните им решения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започвайки с класифицирането на финансови инструменти, които може или ще бъдат уредени с инструменти на собствения капитал на емитента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.</w:t>
      </w:r>
    </w:p>
    <w:p w:rsidR="00365F6A" w:rsidRPr="008B6235" w:rsidRDefault="00365F6A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8B6235">
        <w:rPr>
          <w:rFonts w:eastAsia="Times New Roman" w:cs="Helvetica"/>
          <w:color w:val="575757"/>
          <w:sz w:val="24"/>
          <w:szCs w:val="24"/>
        </w:rPr>
        <w:t> </w:t>
      </w:r>
    </w:p>
    <w:p w:rsidR="00365F6A" w:rsidRPr="008B6235" w:rsidRDefault="00203532" w:rsidP="00365F6A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</w:rPr>
      </w:pPr>
      <w:bookmarkStart w:id="6" w:name="7"/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Динамично управление на риска</w:t>
      </w:r>
      <w:r w:rsidR="00365F6A" w:rsidRPr="008B6235">
        <w:rPr>
          <w:rFonts w:eastAsia="Times New Roman" w:cs="Helvetica"/>
          <w:b/>
          <w:bCs/>
          <w:color w:val="CD3333"/>
          <w:sz w:val="34"/>
          <w:szCs w:val="34"/>
        </w:rPr>
        <w:t xml:space="preserve"> (</w:t>
      </w:r>
      <w:r w:rsidR="008B6235">
        <w:rPr>
          <w:rFonts w:eastAsia="Times New Roman" w:cs="Helvetica"/>
          <w:b/>
          <w:bCs/>
          <w:color w:val="CD3333"/>
          <w:sz w:val="34"/>
          <w:szCs w:val="34"/>
        </w:rPr>
        <w:t>Документ по програмата</w:t>
      </w:r>
      <w:r w:rsidR="00365F6A" w:rsidRPr="008B6235">
        <w:rPr>
          <w:rFonts w:eastAsia="Times New Roman" w:cs="Helvetica"/>
          <w:b/>
          <w:bCs/>
          <w:color w:val="CD3333"/>
          <w:sz w:val="34"/>
          <w:szCs w:val="34"/>
        </w:rPr>
        <w:t xml:space="preserve"> 4)</w:t>
      </w:r>
      <w:bookmarkEnd w:id="6"/>
    </w:p>
    <w:p w:rsidR="00365F6A" w:rsidRPr="008B6235" w:rsidRDefault="00A97EDB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На 2</w:t>
      </w:r>
      <w:r>
        <w:rPr>
          <w:rFonts w:eastAsia="Times New Roman" w:cs="Helvetica"/>
          <w:color w:val="575757"/>
          <w:sz w:val="24"/>
          <w:szCs w:val="24"/>
          <w:lang w:val="bg-BG"/>
        </w:rPr>
        <w:t>3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октомври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2019 г. Съветът проведе заседание, за да обсъди </w:t>
      </w:r>
      <w:r w:rsidR="00203532">
        <w:rPr>
          <w:rFonts w:eastAsia="Times New Roman" w:cs="Helvetica"/>
          <w:color w:val="575757"/>
          <w:sz w:val="24"/>
          <w:szCs w:val="24"/>
          <w:lang w:val="bg-BG"/>
        </w:rPr>
        <w:t>плана си да се допита до заинтересованите страни относно базовите елементи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</w:t>
      </w:r>
      <w:r w:rsidR="00203532">
        <w:rPr>
          <w:rFonts w:eastAsia="Times New Roman" w:cs="Helvetica"/>
          <w:color w:val="575757"/>
          <w:sz w:val="24"/>
          <w:szCs w:val="24"/>
          <w:lang w:val="bg-BG"/>
        </w:rPr>
        <w:t>на счетоводния модел на динамичното управление на риска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. </w:t>
      </w:r>
      <w:r w:rsidR="00203532">
        <w:rPr>
          <w:rFonts w:eastAsia="Times New Roman" w:cs="Helvetica"/>
          <w:color w:val="575757"/>
          <w:sz w:val="24"/>
          <w:szCs w:val="24"/>
          <w:lang w:val="bg-BG"/>
        </w:rPr>
        <w:t>След това допитване Съветът ще вземе решение как по най-добър начин да продължи със следващата фаза на проекта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, </w:t>
      </w:r>
      <w:r w:rsidR="00203532">
        <w:rPr>
          <w:rFonts w:eastAsia="Times New Roman" w:cs="Helvetica"/>
          <w:color w:val="575757"/>
          <w:sz w:val="24"/>
          <w:szCs w:val="24"/>
          <w:lang w:val="bg-BG"/>
        </w:rPr>
        <w:t>а именно по-нататъшното разработване на счетоводния модел на динамичното управление на риска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.</w:t>
      </w:r>
    </w:p>
    <w:p w:rsidR="00365F6A" w:rsidRPr="008B6235" w:rsidRDefault="00D5070C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.</w:t>
      </w:r>
    </w:p>
    <w:p w:rsidR="00365F6A" w:rsidRPr="008B6235" w:rsidRDefault="008B6235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575757"/>
          <w:sz w:val="24"/>
          <w:szCs w:val="24"/>
        </w:rPr>
        <w:t>Следващ етап</w:t>
      </w:r>
    </w:p>
    <w:p w:rsidR="00365F6A" w:rsidRPr="008B6235" w:rsidRDefault="00203532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На бъдещо свое заседание Съветът ще разгледа становищата, получени като обратна информация при допитването относно базовите елементи на </w:t>
      </w:r>
      <w:r w:rsidRPr="00203532">
        <w:rPr>
          <w:rFonts w:eastAsia="Times New Roman" w:cs="Helvetica"/>
          <w:color w:val="575757"/>
          <w:sz w:val="24"/>
          <w:szCs w:val="24"/>
          <w:lang w:val="bg-BG"/>
        </w:rPr>
        <w:t>счетоводния модел на динамичното управление на риска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.</w:t>
      </w:r>
    </w:p>
    <w:p w:rsidR="00365F6A" w:rsidRPr="008B6235" w:rsidRDefault="00365F6A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8B6235">
        <w:rPr>
          <w:rFonts w:eastAsia="Times New Roman" w:cs="Helvetica"/>
          <w:color w:val="575757"/>
          <w:sz w:val="24"/>
          <w:szCs w:val="24"/>
        </w:rPr>
        <w:t> </w:t>
      </w:r>
    </w:p>
    <w:p w:rsidR="00365F6A" w:rsidRPr="008B6235" w:rsidRDefault="00203532" w:rsidP="00365F6A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</w:rPr>
      </w:pPr>
      <w:bookmarkStart w:id="7" w:name="8"/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Всеобхватен преглед </w:t>
      </w:r>
      <w:r w:rsidR="00365F6A" w:rsidRPr="008B6235">
        <w:rPr>
          <w:rFonts w:eastAsia="Times New Roman" w:cs="Helvetica"/>
          <w:b/>
          <w:bCs/>
          <w:color w:val="CD3333"/>
          <w:sz w:val="34"/>
          <w:szCs w:val="34"/>
        </w:rPr>
        <w:t xml:space="preserve">2019 </w:t>
      </w:r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г. на стандарта</w:t>
      </w:r>
      <w:r w:rsidR="008B6235">
        <w:rPr>
          <w:rFonts w:eastAsia="Times New Roman" w:cs="Helvetica"/>
          <w:b/>
          <w:bCs/>
          <w:i/>
          <w:iCs/>
          <w:color w:val="CD3333"/>
          <w:sz w:val="34"/>
          <w:szCs w:val="34"/>
        </w:rPr>
        <w:t xml:space="preserve"> МСФО за МСП</w:t>
      </w:r>
      <w:r w:rsidR="00365F6A" w:rsidRPr="008B6235">
        <w:rPr>
          <w:rFonts w:eastAsia="Times New Roman" w:cs="Helvetica"/>
          <w:b/>
          <w:bCs/>
          <w:color w:val="CD3333"/>
          <w:sz w:val="34"/>
          <w:szCs w:val="34"/>
        </w:rPr>
        <w:t xml:space="preserve"> (</w:t>
      </w:r>
      <w:r w:rsidR="008B6235">
        <w:rPr>
          <w:rFonts w:eastAsia="Times New Roman" w:cs="Helvetica"/>
          <w:b/>
          <w:bCs/>
          <w:color w:val="CD3333"/>
          <w:sz w:val="34"/>
          <w:szCs w:val="34"/>
        </w:rPr>
        <w:t>Документ по програмата</w:t>
      </w:r>
      <w:r w:rsidR="00365F6A" w:rsidRPr="008B6235">
        <w:rPr>
          <w:rFonts w:eastAsia="Times New Roman" w:cs="Helvetica"/>
          <w:b/>
          <w:bCs/>
          <w:color w:val="CD3333"/>
          <w:sz w:val="34"/>
          <w:szCs w:val="34"/>
        </w:rPr>
        <w:t xml:space="preserve"> 30)</w:t>
      </w:r>
      <w:bookmarkEnd w:id="7"/>
    </w:p>
    <w:p w:rsidR="00365F6A" w:rsidRPr="008B6235" w:rsidRDefault="00A97EDB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На 2</w:t>
      </w:r>
      <w:r>
        <w:rPr>
          <w:rFonts w:eastAsia="Times New Roman" w:cs="Helvetica"/>
          <w:color w:val="575757"/>
          <w:sz w:val="24"/>
          <w:szCs w:val="24"/>
          <w:lang w:val="bg-BG"/>
        </w:rPr>
        <w:t>3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октомври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2019 г. Съветът проведе заседание, за да обсъди </w:t>
      </w:r>
      <w:r w:rsidR="00203532">
        <w:rPr>
          <w:rFonts w:eastAsia="Times New Roman" w:cs="Helvetica"/>
          <w:color w:val="575757"/>
          <w:sz w:val="24"/>
          <w:szCs w:val="24"/>
          <w:lang w:val="bg-BG"/>
        </w:rPr>
        <w:t>Всеобхватния преглед 2019 г. на стандарта</w:t>
      </w:r>
      <w:r w:rsidR="008B6235">
        <w:rPr>
          <w:rFonts w:eastAsia="Times New Roman" w:cs="Helvetica"/>
          <w:i/>
          <w:iCs/>
          <w:color w:val="575757"/>
          <w:sz w:val="24"/>
          <w:szCs w:val="24"/>
        </w:rPr>
        <w:t xml:space="preserve"> МСФО за МСП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(</w:t>
      </w:r>
      <w:r w:rsidR="00203532">
        <w:rPr>
          <w:rFonts w:eastAsia="Times New Roman" w:cs="Helvetica"/>
          <w:color w:val="575757"/>
          <w:sz w:val="24"/>
          <w:szCs w:val="24"/>
          <w:lang w:val="bg-BG"/>
        </w:rPr>
        <w:t>„Преглед 2019 г.“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).</w:t>
      </w:r>
    </w:p>
    <w:p w:rsidR="00365F6A" w:rsidRPr="008B6235" w:rsidRDefault="00203532" w:rsidP="00365F6A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Предходни решения на Съвета</w:t>
      </w:r>
      <w:r w:rsidR="00365F6A" w:rsidRPr="008B6235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>—</w:t>
      </w:r>
      <w:r w:rsidR="008B6235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>МСФО</w:t>
      </w:r>
      <w:r w:rsidR="00365F6A" w:rsidRPr="008B6235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 xml:space="preserve"> 11</w:t>
      </w: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 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Съвместни споразумения </w:t>
      </w:r>
      <w:r w:rsidR="00365F6A" w:rsidRPr="008B6235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8B6235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365F6A" w:rsidRPr="008B6235">
        <w:rPr>
          <w:rFonts w:eastAsia="Times New Roman" w:cs="Helvetica"/>
          <w:b/>
          <w:bCs/>
          <w:color w:val="333333"/>
          <w:sz w:val="24"/>
          <w:szCs w:val="24"/>
        </w:rPr>
        <w:t xml:space="preserve"> 30A)</w:t>
      </w:r>
    </w:p>
    <w:p w:rsidR="00365F6A" w:rsidRPr="008B6235" w:rsidRDefault="00203532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По време на заседанието си през септември 2019 г. Съветът поиска от екипа да представи доклад, адресиращ потенциалните последствия от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:</w:t>
      </w:r>
    </w:p>
    <w:p w:rsidR="00365F6A" w:rsidRPr="008B6235" w:rsidRDefault="00E90AAE" w:rsidP="00365F6A">
      <w:pPr>
        <w:numPr>
          <w:ilvl w:val="0"/>
          <w:numId w:val="1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хармонизиране на дефиницията на „контрол“ в Раздел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9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Консолидирани и индивидуални финансови отчети </w:t>
      </w:r>
      <w:r>
        <w:rPr>
          <w:rFonts w:eastAsia="Times New Roman" w:cs="Helvetica"/>
          <w:color w:val="575757"/>
          <w:sz w:val="24"/>
          <w:szCs w:val="24"/>
          <w:lang w:val="bg-BG"/>
        </w:rPr>
        <w:t>на стандарта</w:t>
      </w:r>
      <w:r w:rsidR="008B6235">
        <w:rPr>
          <w:rFonts w:eastAsia="Times New Roman" w:cs="Helvetica"/>
          <w:i/>
          <w:iCs/>
          <w:color w:val="575757"/>
          <w:sz w:val="24"/>
          <w:szCs w:val="24"/>
        </w:rPr>
        <w:t xml:space="preserve"> МСФО за МСП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с дефиницията в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</w:t>
      </w:r>
      <w:r w:rsidR="008B6235">
        <w:rPr>
          <w:rFonts w:eastAsia="Times New Roman" w:cs="Helvetica"/>
          <w:color w:val="575757"/>
          <w:sz w:val="24"/>
          <w:szCs w:val="24"/>
        </w:rPr>
        <w:t>МСФО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10 </w:t>
      </w:r>
      <w:r w:rsidR="004F41EE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Консолидирани финансови отчети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и отказа от хармонизиране на дефиницията на „съвместен контрол“ в Раздел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15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4F41EE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Инвестиции в съвместни предприятия</w:t>
      </w:r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на стандарта</w:t>
      </w:r>
      <w:r w:rsidR="008B6235">
        <w:rPr>
          <w:rFonts w:eastAsia="Times New Roman" w:cs="Helvetica"/>
          <w:i/>
          <w:iCs/>
          <w:color w:val="575757"/>
          <w:sz w:val="24"/>
          <w:szCs w:val="24"/>
        </w:rPr>
        <w:t xml:space="preserve"> МСФО за МСП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с дефиницията в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</w:t>
      </w:r>
      <w:r w:rsidR="008B6235">
        <w:rPr>
          <w:rFonts w:eastAsia="Times New Roman" w:cs="Helvetica"/>
          <w:color w:val="575757"/>
          <w:sz w:val="24"/>
          <w:szCs w:val="24"/>
        </w:rPr>
        <w:t>МСФО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11 </w:t>
      </w:r>
      <w:r w:rsidR="004F41EE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Съвместни споразумения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;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365F6A" w:rsidRPr="008B6235" w:rsidRDefault="00E90AAE" w:rsidP="00365F6A">
      <w:pPr>
        <w:numPr>
          <w:ilvl w:val="0"/>
          <w:numId w:val="1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 w:rsidRPr="00E90AAE">
        <w:rPr>
          <w:rFonts w:eastAsia="Times New Roman" w:cs="Helvetica"/>
          <w:color w:val="575757"/>
          <w:sz w:val="24"/>
          <w:szCs w:val="24"/>
          <w:lang w:val="bg-BG"/>
        </w:rPr>
        <w:t>хармонизиране на дефиницията на „съвместен контрол“ в Раздел</w:t>
      </w:r>
      <w:r w:rsidRPr="00E90AAE">
        <w:rPr>
          <w:rFonts w:eastAsia="Times New Roman" w:cs="Helvetica"/>
          <w:color w:val="575757"/>
          <w:sz w:val="24"/>
          <w:szCs w:val="24"/>
        </w:rPr>
        <w:t xml:space="preserve"> 15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с дефиницията в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</w:t>
      </w:r>
      <w:r w:rsidR="008B6235">
        <w:rPr>
          <w:rFonts w:eastAsia="Times New Roman" w:cs="Helvetica"/>
          <w:color w:val="575757"/>
          <w:sz w:val="24"/>
          <w:szCs w:val="24"/>
        </w:rPr>
        <w:t>МСФО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11</w:t>
      </w:r>
      <w:r>
        <w:rPr>
          <w:rFonts w:eastAsia="Times New Roman" w:cs="Helvetica"/>
          <w:color w:val="575757"/>
          <w:sz w:val="24"/>
          <w:szCs w:val="24"/>
          <w:lang w:val="bg-BG"/>
        </w:rPr>
        <w:t>, но запазване на счетоводните изисквания на Раздел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15.</w:t>
      </w:r>
    </w:p>
    <w:p w:rsidR="00365F6A" w:rsidRPr="008B6235" w:rsidRDefault="00E90AAE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Съветът реши в искането за предоставяне на информация, което ще бъде публикувано като част от Преглед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2019 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г. </w:t>
      </w:r>
      <w:r w:rsidRPr="00E90AAE">
        <w:rPr>
          <w:rFonts w:eastAsia="Times New Roman" w:cs="Helvetica"/>
          <w:color w:val="575757"/>
          <w:sz w:val="24"/>
          <w:szCs w:val="24"/>
          <w:lang w:val="bg-BG"/>
        </w:rPr>
        <w:t xml:space="preserve">да потърси виждания </w:t>
      </w:r>
      <w:r>
        <w:rPr>
          <w:rFonts w:eastAsia="Times New Roman" w:cs="Helvetica"/>
          <w:color w:val="575757"/>
          <w:sz w:val="24"/>
          <w:szCs w:val="24"/>
          <w:lang w:val="bg-BG"/>
        </w:rPr>
        <w:t>относно това дали и как да се хармонизира Раздел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15 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с </w:t>
      </w:r>
      <w:r w:rsidR="008B6235">
        <w:rPr>
          <w:rFonts w:eastAsia="Times New Roman" w:cs="Helvetica"/>
          <w:color w:val="575757"/>
          <w:sz w:val="24"/>
          <w:szCs w:val="24"/>
        </w:rPr>
        <w:t>МСФО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11. </w:t>
      </w:r>
      <w:r>
        <w:rPr>
          <w:rFonts w:eastAsia="Times New Roman" w:cs="Helvetica"/>
          <w:color w:val="575757"/>
          <w:sz w:val="24"/>
          <w:szCs w:val="24"/>
          <w:lang w:val="bg-BG"/>
        </w:rPr>
        <w:t>В частност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Съветът ще потърси виждания относно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:</w:t>
      </w:r>
    </w:p>
    <w:p w:rsidR="00365F6A" w:rsidRPr="008B6235" w:rsidRDefault="003A1D07" w:rsidP="00365F6A">
      <w:pPr>
        <w:numPr>
          <w:ilvl w:val="0"/>
          <w:numId w:val="1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прилагане на една и съща дефиниция за „контрол“ в пълните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</w:t>
      </w:r>
      <w:r w:rsidR="008B6235">
        <w:rPr>
          <w:rFonts w:eastAsia="Times New Roman" w:cs="Helvetica"/>
          <w:color w:val="575757"/>
          <w:sz w:val="24"/>
          <w:szCs w:val="24"/>
        </w:rPr>
        <w:t>МСФО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стандарти и в стандарта</w:t>
      </w:r>
      <w:r w:rsidR="008B6235">
        <w:rPr>
          <w:rFonts w:eastAsia="Times New Roman" w:cs="Helvetica"/>
          <w:i/>
          <w:iCs/>
          <w:color w:val="575757"/>
          <w:sz w:val="24"/>
          <w:szCs w:val="24"/>
        </w:rPr>
        <w:t xml:space="preserve"> МСФО за МСП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. </w:t>
      </w:r>
      <w:r w:rsidR="002E1BA2">
        <w:rPr>
          <w:rFonts w:eastAsia="Times New Roman" w:cs="Helvetica"/>
          <w:color w:val="575757"/>
          <w:sz w:val="24"/>
          <w:szCs w:val="24"/>
        </w:rPr>
        <w:t>Всичките четиринадесет членове на Съвета изразиха съгласие с това решение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.</w:t>
      </w:r>
    </w:p>
    <w:p w:rsidR="00365F6A" w:rsidRPr="008B6235" w:rsidRDefault="003A1D07" w:rsidP="00365F6A">
      <w:pPr>
        <w:numPr>
          <w:ilvl w:val="0"/>
          <w:numId w:val="1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 w:rsidRPr="003A1D07">
        <w:rPr>
          <w:rFonts w:eastAsia="Times New Roman" w:cs="Helvetica"/>
          <w:color w:val="575757"/>
          <w:sz w:val="24"/>
          <w:szCs w:val="24"/>
          <w:lang w:val="bg-BG"/>
        </w:rPr>
        <w:t>хармонизиране на дефиницията на „съвместен контрол“ в Раздел</w:t>
      </w:r>
      <w:r w:rsidRPr="003A1D07">
        <w:rPr>
          <w:rFonts w:eastAsia="Times New Roman" w:cs="Helvetica"/>
          <w:color w:val="575757"/>
          <w:sz w:val="24"/>
          <w:szCs w:val="24"/>
        </w:rPr>
        <w:t xml:space="preserve"> 15</w:t>
      </w:r>
      <w:r w:rsidRPr="003A1D07">
        <w:rPr>
          <w:rFonts w:eastAsia="Times New Roman" w:cs="Helvetica"/>
          <w:color w:val="575757"/>
          <w:sz w:val="24"/>
          <w:szCs w:val="24"/>
          <w:lang w:val="bg-BG"/>
        </w:rPr>
        <w:t xml:space="preserve"> с дефиницията в</w:t>
      </w:r>
      <w:r w:rsidRPr="003A1D07">
        <w:rPr>
          <w:rFonts w:eastAsia="Times New Roman" w:cs="Helvetica"/>
          <w:color w:val="575757"/>
          <w:sz w:val="24"/>
          <w:szCs w:val="24"/>
        </w:rPr>
        <w:t xml:space="preserve"> МСФО 11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. </w:t>
      </w:r>
      <w:r w:rsidR="002E1BA2">
        <w:rPr>
          <w:rFonts w:eastAsia="Times New Roman" w:cs="Helvetica"/>
          <w:color w:val="575757"/>
          <w:sz w:val="24"/>
          <w:szCs w:val="24"/>
        </w:rPr>
        <w:t>Дванадесет от четиринадесетте членове на Съвета изразиха съгласие, а двама - несъгласие с това решение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.</w:t>
      </w:r>
    </w:p>
    <w:p w:rsidR="00365F6A" w:rsidRPr="008B6235" w:rsidRDefault="003A1D07" w:rsidP="00365F6A">
      <w:pPr>
        <w:numPr>
          <w:ilvl w:val="0"/>
          <w:numId w:val="1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 w:rsidRPr="003A1D07">
        <w:rPr>
          <w:rFonts w:eastAsia="Times New Roman" w:cs="Helvetica"/>
          <w:color w:val="575757"/>
          <w:sz w:val="24"/>
          <w:szCs w:val="24"/>
          <w:lang w:val="bg-BG"/>
        </w:rPr>
        <w:t>запазване на счетоводните изисквания на Раздел</w:t>
      </w:r>
      <w:r w:rsidRPr="003A1D07">
        <w:rPr>
          <w:rFonts w:eastAsia="Times New Roman" w:cs="Helvetica"/>
          <w:color w:val="575757"/>
          <w:sz w:val="24"/>
          <w:szCs w:val="24"/>
        </w:rPr>
        <w:t xml:space="preserve"> 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15. </w:t>
      </w:r>
      <w:r w:rsidR="002E1BA2">
        <w:rPr>
          <w:rFonts w:eastAsia="Times New Roman" w:cs="Helvetica"/>
          <w:color w:val="575757"/>
          <w:sz w:val="24"/>
          <w:szCs w:val="24"/>
        </w:rPr>
        <w:t>Дванадесет от четиринадесетте членове на Съвета изразиха съгласие, а двама - несъгласие с това решение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.</w:t>
      </w:r>
    </w:p>
    <w:p w:rsidR="00365F6A" w:rsidRPr="008B6235" w:rsidRDefault="00365F6A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8B6235">
        <w:rPr>
          <w:rFonts w:eastAsia="Times New Roman" w:cs="Helvetica"/>
          <w:color w:val="575757"/>
          <w:sz w:val="24"/>
          <w:szCs w:val="24"/>
        </w:rPr>
        <w:t> </w:t>
      </w:r>
    </w:p>
    <w:p w:rsidR="00365F6A" w:rsidRPr="008B6235" w:rsidRDefault="003A1D07" w:rsidP="00365F6A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</w:rPr>
      </w:pPr>
      <w:bookmarkStart w:id="8" w:name="9"/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Дъщерни предприятия, които са МСП</w:t>
      </w:r>
      <w:r w:rsidR="00365F6A" w:rsidRPr="008B6235">
        <w:rPr>
          <w:rFonts w:eastAsia="Times New Roman" w:cs="Helvetica"/>
          <w:b/>
          <w:bCs/>
          <w:color w:val="CD3333"/>
          <w:sz w:val="34"/>
          <w:szCs w:val="34"/>
        </w:rPr>
        <w:t xml:space="preserve"> (</w:t>
      </w:r>
      <w:r w:rsidR="008B6235">
        <w:rPr>
          <w:rFonts w:eastAsia="Times New Roman" w:cs="Helvetica"/>
          <w:b/>
          <w:bCs/>
          <w:color w:val="CD3333"/>
          <w:sz w:val="34"/>
          <w:szCs w:val="34"/>
        </w:rPr>
        <w:t>Документ по програмата</w:t>
      </w:r>
      <w:r w:rsidR="00365F6A" w:rsidRPr="008B6235">
        <w:rPr>
          <w:rFonts w:eastAsia="Times New Roman" w:cs="Helvetica"/>
          <w:b/>
          <w:bCs/>
          <w:color w:val="CD3333"/>
          <w:sz w:val="34"/>
          <w:szCs w:val="34"/>
        </w:rPr>
        <w:t xml:space="preserve"> 31)</w:t>
      </w:r>
      <w:bookmarkEnd w:id="8"/>
    </w:p>
    <w:p w:rsidR="00365F6A" w:rsidRPr="008B6235" w:rsidRDefault="00A97EDB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На 2</w:t>
      </w:r>
      <w:r>
        <w:rPr>
          <w:rFonts w:eastAsia="Times New Roman" w:cs="Helvetica"/>
          <w:color w:val="575757"/>
          <w:sz w:val="24"/>
          <w:szCs w:val="24"/>
          <w:lang w:val="bg-BG"/>
        </w:rPr>
        <w:t>3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октомври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2019 г. Съветът проведе заседание, за да обсъди </w:t>
      </w:r>
      <w:r w:rsidR="003A1D07">
        <w:rPr>
          <w:rFonts w:eastAsia="Times New Roman" w:cs="Helvetica"/>
          <w:color w:val="575757"/>
          <w:sz w:val="24"/>
          <w:szCs w:val="24"/>
          <w:lang w:val="bg-BG"/>
        </w:rPr>
        <w:t>резултатите от втората от двете части на изследователския проект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. </w:t>
      </w:r>
      <w:r w:rsidR="003A1D07">
        <w:rPr>
          <w:rFonts w:eastAsia="Times New Roman" w:cs="Helvetica"/>
          <w:color w:val="575757"/>
          <w:sz w:val="24"/>
          <w:szCs w:val="24"/>
          <w:lang w:val="bg-BG"/>
        </w:rPr>
        <w:t>Съветът разгледа въпроса дали би могъл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, </w:t>
      </w:r>
      <w:r w:rsidR="003A1D07">
        <w:rPr>
          <w:rFonts w:eastAsia="Times New Roman" w:cs="Helvetica"/>
          <w:color w:val="575757"/>
          <w:sz w:val="24"/>
          <w:szCs w:val="24"/>
          <w:lang w:val="bg-BG"/>
        </w:rPr>
        <w:t>с минимално адаптиране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, </w:t>
      </w:r>
      <w:r w:rsidR="003A1D07">
        <w:rPr>
          <w:rFonts w:eastAsia="Times New Roman" w:cs="Helvetica"/>
          <w:color w:val="575757"/>
          <w:sz w:val="24"/>
          <w:szCs w:val="24"/>
          <w:lang w:val="bg-BG"/>
        </w:rPr>
        <w:t>да приспособи изискванията за оповестяване в стандарта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</w:t>
      </w:r>
      <w:r w:rsidR="008B6235">
        <w:rPr>
          <w:rFonts w:eastAsia="Times New Roman" w:cs="Helvetica"/>
          <w:i/>
          <w:iCs/>
          <w:color w:val="575757"/>
          <w:sz w:val="24"/>
          <w:szCs w:val="24"/>
        </w:rPr>
        <w:t>МСФО за МСП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</w:t>
      </w:r>
      <w:r w:rsidR="003A1D07">
        <w:rPr>
          <w:rFonts w:eastAsia="Times New Roman" w:cs="Helvetica"/>
          <w:color w:val="575757"/>
          <w:sz w:val="24"/>
          <w:szCs w:val="24"/>
          <w:lang w:val="bg-BG"/>
        </w:rPr>
        <w:t>за използване от дъщерни предприятия, които са МСП и които прилагат изискванията за признаване и оценяване на МСФО стандартите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. </w:t>
      </w:r>
      <w:r w:rsidR="003A1D07">
        <w:rPr>
          <w:rFonts w:eastAsia="Times New Roman" w:cs="Helvetica"/>
          <w:color w:val="575757"/>
          <w:sz w:val="24"/>
          <w:szCs w:val="24"/>
          <w:lang w:val="bg-BG"/>
        </w:rPr>
        <w:t>Съветът разгледа изготвените от екипа примерни изисквания за оповестяване по отношение на пет МСФО стандарта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.</w:t>
      </w:r>
    </w:p>
    <w:p w:rsidR="00365F6A" w:rsidRPr="008B6235" w:rsidRDefault="003A1D07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Екипът представи два алтернативни подхода спрямо </w:t>
      </w:r>
      <w:r w:rsidRPr="003A1D07">
        <w:rPr>
          <w:rFonts w:eastAsia="Times New Roman" w:cs="Helvetica"/>
          <w:color w:val="575757"/>
          <w:sz w:val="24"/>
          <w:szCs w:val="24"/>
          <w:lang w:val="bg-BG"/>
        </w:rPr>
        <w:t>примерни</w:t>
      </w:r>
      <w:r>
        <w:rPr>
          <w:rFonts w:eastAsia="Times New Roman" w:cs="Helvetica"/>
          <w:color w:val="575757"/>
          <w:sz w:val="24"/>
          <w:szCs w:val="24"/>
          <w:lang w:val="bg-BG"/>
        </w:rPr>
        <w:t>те</w:t>
      </w:r>
      <w:r w:rsidRPr="003A1D07">
        <w:rPr>
          <w:rFonts w:eastAsia="Times New Roman" w:cs="Helvetica"/>
          <w:color w:val="575757"/>
          <w:sz w:val="24"/>
          <w:szCs w:val="24"/>
          <w:lang w:val="bg-BG"/>
        </w:rPr>
        <w:t xml:space="preserve"> изисквания за оповестяване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. </w:t>
      </w:r>
      <w:r w:rsidR="002E1BA2">
        <w:rPr>
          <w:rFonts w:eastAsia="Times New Roman" w:cs="Helvetica"/>
          <w:color w:val="575757"/>
          <w:sz w:val="24"/>
          <w:szCs w:val="24"/>
        </w:rPr>
        <w:t>Съветът реши в порядък на работна хипотеза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да следва Подход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2. </w:t>
      </w:r>
      <w:r w:rsidR="002E1BA2">
        <w:rPr>
          <w:rFonts w:eastAsia="Times New Roman" w:cs="Helvetica"/>
          <w:color w:val="575757"/>
          <w:sz w:val="24"/>
          <w:szCs w:val="24"/>
        </w:rPr>
        <w:t xml:space="preserve">Осем от четиринадесетте членове на Съвета изразиха </w:t>
      </w:r>
      <w:proofErr w:type="spellStart"/>
      <w:r w:rsidR="002E1BA2">
        <w:rPr>
          <w:rFonts w:eastAsia="Times New Roman" w:cs="Helvetica"/>
          <w:color w:val="575757"/>
          <w:sz w:val="24"/>
          <w:szCs w:val="24"/>
        </w:rPr>
        <w:t>съгласие</w:t>
      </w:r>
      <w:proofErr w:type="spellEnd"/>
      <w:r w:rsidR="002E1BA2">
        <w:rPr>
          <w:rFonts w:eastAsia="Times New Roman" w:cs="Helvetica"/>
          <w:color w:val="575757"/>
          <w:sz w:val="24"/>
          <w:szCs w:val="24"/>
        </w:rPr>
        <w:t xml:space="preserve">, а </w:t>
      </w:r>
      <w:proofErr w:type="spellStart"/>
      <w:r w:rsidR="002E1BA2">
        <w:rPr>
          <w:rFonts w:eastAsia="Times New Roman" w:cs="Helvetica"/>
          <w:color w:val="575757"/>
          <w:sz w:val="24"/>
          <w:szCs w:val="24"/>
        </w:rPr>
        <w:t>шест</w:t>
      </w:r>
      <w:proofErr w:type="spellEnd"/>
      <w:r w:rsidR="002E1BA2">
        <w:rPr>
          <w:rFonts w:eastAsia="Times New Roman" w:cs="Helvetica"/>
          <w:color w:val="575757"/>
          <w:sz w:val="24"/>
          <w:szCs w:val="24"/>
        </w:rPr>
        <w:t xml:space="preserve"> - </w:t>
      </w:r>
      <w:proofErr w:type="spellStart"/>
      <w:r w:rsidR="002E1BA2">
        <w:rPr>
          <w:rFonts w:eastAsia="Times New Roman" w:cs="Helvetica"/>
          <w:color w:val="575757"/>
          <w:sz w:val="24"/>
          <w:szCs w:val="24"/>
        </w:rPr>
        <w:t>несъгласие</w:t>
      </w:r>
      <w:proofErr w:type="spellEnd"/>
      <w:r w:rsidR="002E1BA2">
        <w:rPr>
          <w:rFonts w:eastAsia="Times New Roman" w:cs="Helvetica"/>
          <w:color w:val="575757"/>
          <w:sz w:val="24"/>
          <w:szCs w:val="24"/>
        </w:rPr>
        <w:t xml:space="preserve"> с това решение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.</w:t>
      </w:r>
    </w:p>
    <w:p w:rsidR="00365F6A" w:rsidRPr="008B6235" w:rsidRDefault="008B6235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575757"/>
          <w:sz w:val="24"/>
          <w:szCs w:val="24"/>
        </w:rPr>
        <w:lastRenderedPageBreak/>
        <w:t>Следващ етап</w:t>
      </w:r>
    </w:p>
    <w:p w:rsidR="00365F6A" w:rsidRPr="008B6235" w:rsidRDefault="003A1D07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На бъдещо свое заседание Съветът ще обсъди обхвата на проекта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.</w:t>
      </w:r>
    </w:p>
    <w:p w:rsidR="00365F6A" w:rsidRPr="008B6235" w:rsidRDefault="00365F6A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8B6235">
        <w:rPr>
          <w:rFonts w:eastAsia="Times New Roman" w:cs="Helvetica"/>
          <w:color w:val="575757"/>
          <w:sz w:val="24"/>
          <w:szCs w:val="24"/>
        </w:rPr>
        <w:t> </w:t>
      </w:r>
    </w:p>
    <w:p w:rsidR="00365F6A" w:rsidRPr="008B6235" w:rsidRDefault="00DF03B9" w:rsidP="00365F6A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</w:rPr>
      </w:pPr>
      <w:bookmarkStart w:id="9" w:name="10"/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Счетоводна политика и счетоводни приблизителни оценки</w:t>
      </w:r>
      <w:r w:rsidR="00365F6A" w:rsidRPr="008B6235">
        <w:rPr>
          <w:rFonts w:eastAsia="Times New Roman" w:cs="Helvetica"/>
          <w:b/>
          <w:bCs/>
          <w:color w:val="CD3333"/>
          <w:sz w:val="34"/>
          <w:szCs w:val="34"/>
        </w:rPr>
        <w:t xml:space="preserve"> (</w:t>
      </w:r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Изменения в</w:t>
      </w:r>
      <w:r w:rsidR="00365F6A" w:rsidRPr="008B6235">
        <w:rPr>
          <w:rFonts w:eastAsia="Times New Roman" w:cs="Helvetica"/>
          <w:b/>
          <w:bCs/>
          <w:color w:val="CD3333"/>
          <w:sz w:val="34"/>
          <w:szCs w:val="34"/>
        </w:rPr>
        <w:t xml:space="preserve"> </w:t>
      </w:r>
      <w:r w:rsidR="008B6235">
        <w:rPr>
          <w:rFonts w:eastAsia="Times New Roman" w:cs="Helvetica"/>
          <w:b/>
          <w:bCs/>
          <w:color w:val="CD3333"/>
          <w:sz w:val="34"/>
          <w:szCs w:val="34"/>
        </w:rPr>
        <w:t>МСС</w:t>
      </w:r>
      <w:r w:rsidR="00365F6A" w:rsidRPr="008B6235">
        <w:rPr>
          <w:rFonts w:eastAsia="Times New Roman" w:cs="Helvetica"/>
          <w:b/>
          <w:bCs/>
          <w:color w:val="CD3333"/>
          <w:sz w:val="34"/>
          <w:szCs w:val="34"/>
        </w:rPr>
        <w:t xml:space="preserve"> 8) (</w:t>
      </w:r>
      <w:r w:rsidR="008B6235">
        <w:rPr>
          <w:rFonts w:eastAsia="Times New Roman" w:cs="Helvetica"/>
          <w:b/>
          <w:bCs/>
          <w:color w:val="CD3333"/>
          <w:sz w:val="34"/>
          <w:szCs w:val="34"/>
        </w:rPr>
        <w:t>Документ по програмата</w:t>
      </w:r>
      <w:r w:rsidR="00365F6A" w:rsidRPr="008B6235">
        <w:rPr>
          <w:rFonts w:eastAsia="Times New Roman" w:cs="Helvetica"/>
          <w:b/>
          <w:bCs/>
          <w:color w:val="CD3333"/>
          <w:sz w:val="34"/>
          <w:szCs w:val="34"/>
        </w:rPr>
        <w:t xml:space="preserve"> 26)</w:t>
      </w:r>
      <w:bookmarkEnd w:id="9"/>
    </w:p>
    <w:p w:rsidR="00365F6A" w:rsidRPr="00DF03B9" w:rsidRDefault="00A97EDB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765E5">
        <w:rPr>
          <w:rFonts w:eastAsia="Times New Roman" w:cs="Helvetica"/>
          <w:color w:val="575757"/>
          <w:sz w:val="24"/>
          <w:szCs w:val="24"/>
          <w:lang w:val="bg-BG"/>
        </w:rPr>
        <w:t>На 2</w:t>
      </w:r>
      <w:r>
        <w:rPr>
          <w:rFonts w:eastAsia="Times New Roman" w:cs="Helvetica"/>
          <w:color w:val="575757"/>
          <w:sz w:val="24"/>
          <w:szCs w:val="24"/>
          <w:lang w:val="bg-BG"/>
        </w:rPr>
        <w:t>3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октомври</w:t>
      </w:r>
      <w:r w:rsidRPr="00E765E5">
        <w:rPr>
          <w:rFonts w:eastAsia="Times New Roman" w:cs="Helvetica"/>
          <w:color w:val="575757"/>
          <w:sz w:val="24"/>
          <w:szCs w:val="24"/>
          <w:lang w:val="bg-BG"/>
        </w:rPr>
        <w:t xml:space="preserve"> 2019 г. Съветът проведе заседание, за да обсъди </w:t>
      </w:r>
      <w:r w:rsidR="00DF03B9">
        <w:rPr>
          <w:rFonts w:eastAsia="Times New Roman" w:cs="Helvetica"/>
          <w:color w:val="575757"/>
          <w:sz w:val="24"/>
          <w:szCs w:val="24"/>
          <w:lang w:val="bg-BG"/>
        </w:rPr>
        <w:t xml:space="preserve">получените като обратна информация становища във връзка с Проекта за </w:t>
      </w:r>
      <w:r w:rsidR="00DF03B9" w:rsidRPr="00DF03B9">
        <w:rPr>
          <w:rFonts w:eastAsia="Times New Roman" w:cs="Helvetica"/>
          <w:color w:val="575757"/>
          <w:sz w:val="24"/>
          <w:szCs w:val="24"/>
          <w:lang w:val="bg-BG"/>
        </w:rPr>
        <w:t xml:space="preserve">обсъждане </w:t>
      </w:r>
      <w:r w:rsidR="00DF03B9" w:rsidRPr="00DF03B9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Счетоводна политика и счетоводни приблизителни оценки </w:t>
      </w:r>
      <w:r w:rsidR="00365F6A" w:rsidRPr="00DF03B9">
        <w:rPr>
          <w:rFonts w:eastAsia="Times New Roman" w:cs="Helvetica"/>
          <w:color w:val="575757"/>
          <w:sz w:val="24"/>
          <w:szCs w:val="24"/>
          <w:lang w:val="bg-BG"/>
        </w:rPr>
        <w:t>(</w:t>
      </w:r>
      <w:r w:rsidR="00DF03B9" w:rsidRPr="00DF03B9">
        <w:rPr>
          <w:rFonts w:eastAsia="Times New Roman" w:cs="Helvetica"/>
          <w:color w:val="575757"/>
          <w:sz w:val="24"/>
          <w:szCs w:val="24"/>
          <w:lang w:val="bg-BG"/>
        </w:rPr>
        <w:t>предложение за изменение на</w:t>
      </w:r>
      <w:r w:rsidR="00365F6A" w:rsidRPr="00DF03B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8B6235" w:rsidRPr="00DF03B9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5C741F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365F6A" w:rsidRPr="00DF03B9">
        <w:rPr>
          <w:rFonts w:eastAsia="Times New Roman" w:cs="Helvetica"/>
          <w:color w:val="575757"/>
          <w:sz w:val="24"/>
          <w:szCs w:val="24"/>
          <w:lang w:val="bg-BG"/>
        </w:rPr>
        <w:t xml:space="preserve">8) </w:t>
      </w:r>
      <w:r w:rsidR="00DF03B9" w:rsidRPr="00DF03B9">
        <w:rPr>
          <w:rFonts w:eastAsia="Times New Roman" w:cs="Helvetica"/>
          <w:color w:val="575757"/>
          <w:sz w:val="24"/>
          <w:szCs w:val="24"/>
          <w:lang w:val="bg-BG"/>
        </w:rPr>
        <w:t>и посоката на развитие на проекта</w:t>
      </w:r>
      <w:r w:rsidR="00365F6A" w:rsidRPr="00DF03B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65F6A" w:rsidRPr="008B6235" w:rsidRDefault="00DF03B9" w:rsidP="00DF03B9">
      <w:pPr>
        <w:shd w:val="clear" w:color="auto" w:fill="FFFFFF"/>
        <w:tabs>
          <w:tab w:val="left" w:pos="8500"/>
        </w:tabs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Дефиниция на счетоводни приблизителни оценки </w:t>
      </w:r>
      <w:r w:rsidR="00365F6A" w:rsidRPr="008B6235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8B6235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365F6A" w:rsidRPr="008B6235">
        <w:rPr>
          <w:rFonts w:eastAsia="Times New Roman" w:cs="Helvetica"/>
          <w:b/>
          <w:bCs/>
          <w:color w:val="333333"/>
          <w:sz w:val="24"/>
          <w:szCs w:val="24"/>
        </w:rPr>
        <w:t xml:space="preserve"> 26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Б</w:t>
      </w:r>
      <w:r w:rsidR="00365F6A" w:rsidRPr="008B6235">
        <w:rPr>
          <w:rFonts w:eastAsia="Times New Roman" w:cs="Helvetica"/>
          <w:b/>
          <w:bCs/>
          <w:color w:val="333333"/>
          <w:sz w:val="24"/>
          <w:szCs w:val="24"/>
        </w:rPr>
        <w:t>)</w:t>
      </w:r>
    </w:p>
    <w:p w:rsidR="00365F6A" w:rsidRPr="008B6235" w:rsidRDefault="002E1BA2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</w:rPr>
        <w:t>Съветът реши в порядък на работна хипотеза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</w:t>
      </w:r>
      <w:r w:rsidR="006455D8">
        <w:rPr>
          <w:rFonts w:eastAsia="Times New Roman" w:cs="Helvetica"/>
          <w:color w:val="575757"/>
          <w:sz w:val="24"/>
          <w:szCs w:val="24"/>
          <w:lang w:val="bg-BG"/>
        </w:rPr>
        <w:t>да преразгледа дефиницията на счетоводни приблизителни оценки, за да посочи, че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:</w:t>
      </w:r>
    </w:p>
    <w:p w:rsidR="00365F6A" w:rsidRPr="008B6235" w:rsidRDefault="00E14807" w:rsidP="00365F6A">
      <w:pPr>
        <w:numPr>
          <w:ilvl w:val="0"/>
          <w:numId w:val="16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 w:rsidRPr="00E14807">
        <w:rPr>
          <w:rFonts w:eastAsia="Times New Roman" w:cs="Helvetica"/>
          <w:color w:val="575757"/>
          <w:sz w:val="24"/>
          <w:szCs w:val="24"/>
          <w:lang w:val="bg-BG"/>
        </w:rPr>
        <w:t>счетоводни</w:t>
      </w:r>
      <w:r>
        <w:rPr>
          <w:rFonts w:eastAsia="Times New Roman" w:cs="Helvetica"/>
          <w:color w:val="575757"/>
          <w:sz w:val="24"/>
          <w:szCs w:val="24"/>
          <w:lang w:val="bg-BG"/>
        </w:rPr>
        <w:t>те</w:t>
      </w:r>
      <w:r w:rsidRPr="00E14807">
        <w:rPr>
          <w:rFonts w:eastAsia="Times New Roman" w:cs="Helvetica"/>
          <w:color w:val="575757"/>
          <w:sz w:val="24"/>
          <w:szCs w:val="24"/>
          <w:lang w:val="bg-BG"/>
        </w:rPr>
        <w:t xml:space="preserve"> приблизителни оценки</w:t>
      </w:r>
      <w:r w:rsidRPr="00E14807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са парични суми във финансовия отчет, които са обект на несигурност на оценяването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;</w:t>
      </w:r>
    </w:p>
    <w:p w:rsidR="00365F6A" w:rsidRPr="008B6235" w:rsidRDefault="00E14807" w:rsidP="00365F6A">
      <w:pPr>
        <w:numPr>
          <w:ilvl w:val="0"/>
          <w:numId w:val="16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тези парични суми са резултат от техниките за оценяване, използвани при прилагането на счетоводните политики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;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365F6A" w:rsidRPr="008B6235" w:rsidRDefault="00E14807" w:rsidP="00365F6A">
      <w:pPr>
        <w:numPr>
          <w:ilvl w:val="0"/>
          <w:numId w:val="16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предприятието използва преценки и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/</w:t>
      </w:r>
      <w:r>
        <w:rPr>
          <w:rFonts w:eastAsia="Times New Roman" w:cs="Helvetica"/>
          <w:color w:val="575757"/>
          <w:sz w:val="24"/>
          <w:szCs w:val="24"/>
          <w:lang w:val="bg-BG"/>
        </w:rPr>
        <w:t>или предположения при разработването на счетоводна приблизителна оценка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.</w:t>
      </w:r>
    </w:p>
    <w:p w:rsidR="00365F6A" w:rsidRPr="008B6235" w:rsidRDefault="002E1BA2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</w:rPr>
        <w:t>Съветът реши също така в порядък на работна хипотеза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:</w:t>
      </w:r>
    </w:p>
    <w:p w:rsidR="00365F6A" w:rsidRPr="008B6235" w:rsidRDefault="00E14807" w:rsidP="00365F6A">
      <w:pPr>
        <w:numPr>
          <w:ilvl w:val="0"/>
          <w:numId w:val="17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да поясни, че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:</w:t>
      </w:r>
    </w:p>
    <w:p w:rsidR="00365F6A" w:rsidRPr="008B6235" w:rsidRDefault="00E14807" w:rsidP="00365F6A">
      <w:pPr>
        <w:numPr>
          <w:ilvl w:val="1"/>
          <w:numId w:val="17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ефекта от промяна във входящата информация и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/</w:t>
      </w:r>
      <w:r>
        <w:rPr>
          <w:rFonts w:eastAsia="Times New Roman" w:cs="Helvetica"/>
          <w:color w:val="575757"/>
          <w:sz w:val="24"/>
          <w:szCs w:val="24"/>
          <w:lang w:val="bg-BG"/>
        </w:rPr>
        <w:t>или в техника за оценяване, използвана за разработване на счетоводна приблизителна оценка, представлява промяна в счетоводни приблизителни оценки, ако не произтича от корекция на грешка от предходен период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;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365F6A" w:rsidRPr="008B6235" w:rsidRDefault="00E14807" w:rsidP="00365F6A">
      <w:pPr>
        <w:numPr>
          <w:ilvl w:val="1"/>
          <w:numId w:val="17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промяна в счетоводна приблизителна оценка, която произтича от нова информация или нови развития не представлява корекция на грешка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;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365F6A" w:rsidRPr="008B6235" w:rsidRDefault="00E14807" w:rsidP="00365F6A">
      <w:pPr>
        <w:numPr>
          <w:ilvl w:val="0"/>
          <w:numId w:val="17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да посочи, че техниките за приблизително оценяване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и техниките за изготвяне на оценки са примери за техники за оценяване, които предприятието използва за разработване на счетоводните приблизителни оценки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.</w:t>
      </w:r>
    </w:p>
    <w:p w:rsidR="00365F6A" w:rsidRPr="008B6235" w:rsidRDefault="002E1BA2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</w:rPr>
        <w:t>Всичките четиринадесет членове на Съвета изразиха съгласие с тези решения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.</w:t>
      </w:r>
    </w:p>
    <w:p w:rsidR="00365F6A" w:rsidRPr="008B6235" w:rsidRDefault="00E14807" w:rsidP="00365F6A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Други аспекти </w:t>
      </w:r>
      <w:r w:rsidR="00365F6A" w:rsidRPr="008B6235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8B6235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365F6A" w:rsidRPr="008B6235">
        <w:rPr>
          <w:rFonts w:eastAsia="Times New Roman" w:cs="Helvetica"/>
          <w:b/>
          <w:bCs/>
          <w:color w:val="333333"/>
          <w:sz w:val="24"/>
          <w:szCs w:val="24"/>
        </w:rPr>
        <w:t xml:space="preserve"> 26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В</w:t>
      </w:r>
      <w:r w:rsidR="00365F6A" w:rsidRPr="008B6235">
        <w:rPr>
          <w:rFonts w:eastAsia="Times New Roman" w:cs="Helvetica"/>
          <w:b/>
          <w:bCs/>
          <w:color w:val="333333"/>
          <w:sz w:val="24"/>
          <w:szCs w:val="24"/>
        </w:rPr>
        <w:t>)</w:t>
      </w:r>
    </w:p>
    <w:p w:rsidR="00365F6A" w:rsidRPr="008B6235" w:rsidRDefault="002E1BA2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</w:rPr>
        <w:lastRenderedPageBreak/>
        <w:t>Съветът реши в порядък на работна хипотеза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:</w:t>
      </w:r>
    </w:p>
    <w:p w:rsidR="00365F6A" w:rsidRPr="008B6235" w:rsidRDefault="00E14807" w:rsidP="00365F6A">
      <w:pPr>
        <w:numPr>
          <w:ilvl w:val="0"/>
          <w:numId w:val="18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да не изменя дефиницията на счетоводна политика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(</w:t>
      </w:r>
      <w:r>
        <w:rPr>
          <w:rFonts w:eastAsia="Times New Roman" w:cs="Helvetica"/>
          <w:color w:val="575757"/>
          <w:sz w:val="24"/>
          <w:szCs w:val="24"/>
          <w:lang w:val="bg-BG"/>
        </w:rPr>
        <w:t>т.е. да запази съществуващата понастоящем дефиниция на счетоводна политика в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</w:t>
      </w:r>
      <w:r w:rsidR="008B6235">
        <w:rPr>
          <w:rFonts w:eastAsia="Times New Roman" w:cs="Helvetica"/>
          <w:color w:val="575757"/>
          <w:sz w:val="24"/>
          <w:szCs w:val="24"/>
        </w:rPr>
        <w:t>МСС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8);</w:t>
      </w:r>
    </w:p>
    <w:p w:rsidR="00365F6A" w:rsidRPr="008B6235" w:rsidRDefault="00E14807" w:rsidP="00365F6A">
      <w:pPr>
        <w:numPr>
          <w:ilvl w:val="0"/>
          <w:numId w:val="18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да поясни, че ако промяна</w:t>
      </w:r>
      <w:r w:rsidR="00004083">
        <w:rPr>
          <w:rFonts w:eastAsia="Times New Roman" w:cs="Helvetica"/>
          <w:color w:val="575757"/>
          <w:sz w:val="24"/>
          <w:szCs w:val="24"/>
          <w:lang w:val="bg-BG"/>
        </w:rPr>
        <w:t>та представлява промяна в счетоводна приблизителна оценка, тя не може същевременно да е промяна в счетоводната политика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;</w:t>
      </w:r>
    </w:p>
    <w:p w:rsidR="00365F6A" w:rsidRPr="008B6235" w:rsidRDefault="00004083" w:rsidP="00365F6A">
      <w:pPr>
        <w:numPr>
          <w:ilvl w:val="0"/>
          <w:numId w:val="18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да не добавя коментар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който беше включен в параграф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32</w:t>
      </w:r>
      <w:r>
        <w:rPr>
          <w:rFonts w:eastAsia="Times New Roman" w:cs="Helvetica"/>
          <w:color w:val="575757"/>
          <w:sz w:val="24"/>
          <w:szCs w:val="24"/>
          <w:lang w:val="bg-BG"/>
        </w:rPr>
        <w:t>Б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от Проекта за обсъждане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относно това дали изборът на формула за разходване на материалните запаси съставлява избор на счетоводна политика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;</w:t>
      </w:r>
    </w:p>
    <w:p w:rsidR="00365F6A" w:rsidRPr="008B6235" w:rsidRDefault="00004083" w:rsidP="00365F6A">
      <w:pPr>
        <w:numPr>
          <w:ilvl w:val="0"/>
          <w:numId w:val="18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да потвърди заличаването на Пример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3 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от </w:t>
      </w:r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Насоките за прилагане на</w:t>
      </w:r>
      <w:r w:rsidR="00365F6A" w:rsidRPr="008B6235">
        <w:rPr>
          <w:rFonts w:eastAsia="Times New Roman" w:cs="Helvetica"/>
          <w:i/>
          <w:iCs/>
          <w:color w:val="575757"/>
          <w:sz w:val="24"/>
          <w:szCs w:val="24"/>
        </w:rPr>
        <w:t xml:space="preserve"> </w:t>
      </w:r>
      <w:r w:rsidR="008B6235">
        <w:rPr>
          <w:rFonts w:eastAsia="Times New Roman" w:cs="Helvetica"/>
          <w:i/>
          <w:iCs/>
          <w:color w:val="575757"/>
          <w:sz w:val="24"/>
          <w:szCs w:val="24"/>
        </w:rPr>
        <w:t>МСС</w:t>
      </w:r>
      <w:r w:rsidR="00365F6A" w:rsidRPr="008B6235">
        <w:rPr>
          <w:rFonts w:eastAsia="Times New Roman" w:cs="Helvetica"/>
          <w:i/>
          <w:iCs/>
          <w:color w:val="575757"/>
          <w:sz w:val="24"/>
          <w:szCs w:val="24"/>
        </w:rPr>
        <w:t xml:space="preserve"> 8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;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365F6A" w:rsidRPr="008B6235" w:rsidRDefault="00004083" w:rsidP="00365F6A">
      <w:pPr>
        <w:numPr>
          <w:ilvl w:val="0"/>
          <w:numId w:val="18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да добави към </w:t>
      </w:r>
      <w:r w:rsidRPr="00004083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Насоките за прилагане на</w:t>
      </w:r>
      <w:r w:rsidRPr="00004083">
        <w:rPr>
          <w:rFonts w:eastAsia="Times New Roman" w:cs="Helvetica"/>
          <w:i/>
          <w:iCs/>
          <w:color w:val="575757"/>
          <w:sz w:val="24"/>
          <w:szCs w:val="24"/>
        </w:rPr>
        <w:t xml:space="preserve"> </w:t>
      </w:r>
      <w:r w:rsidR="008B6235">
        <w:rPr>
          <w:rFonts w:eastAsia="Times New Roman" w:cs="Helvetica"/>
          <w:i/>
          <w:iCs/>
          <w:color w:val="575757"/>
          <w:sz w:val="24"/>
          <w:szCs w:val="24"/>
        </w:rPr>
        <w:t>МСС</w:t>
      </w:r>
      <w:r w:rsidR="00365F6A" w:rsidRPr="008B6235">
        <w:rPr>
          <w:rFonts w:eastAsia="Times New Roman" w:cs="Helvetica"/>
          <w:i/>
          <w:iCs/>
          <w:color w:val="575757"/>
          <w:sz w:val="24"/>
          <w:szCs w:val="24"/>
        </w:rPr>
        <w:t xml:space="preserve"> 8</w:t>
      </w:r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примери, които да илюстрират как предприятието би прилагало дефиницията за счетоводни приблизителни оценки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—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този материал ще съпътства, но няма да представлява част от </w:t>
      </w:r>
      <w:r w:rsidR="008B6235">
        <w:rPr>
          <w:rFonts w:eastAsia="Times New Roman" w:cs="Helvetica"/>
          <w:color w:val="575757"/>
          <w:sz w:val="24"/>
          <w:szCs w:val="24"/>
        </w:rPr>
        <w:t>МСС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8.</w:t>
      </w:r>
    </w:p>
    <w:p w:rsidR="00365F6A" w:rsidRPr="008B6235" w:rsidRDefault="002E1BA2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</w:rPr>
        <w:t>Тринадесет от четиринадесетте членове на Съвета изразиха съгласие, а един - несъгласие с това решение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.</w:t>
      </w:r>
    </w:p>
    <w:p w:rsidR="00365F6A" w:rsidRPr="008B6235" w:rsidRDefault="00004083" w:rsidP="00365F6A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Посока на развитие на проекта </w:t>
      </w:r>
      <w:r w:rsidR="00365F6A" w:rsidRPr="008B6235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8B6235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365F6A" w:rsidRPr="008B6235">
        <w:rPr>
          <w:rFonts w:eastAsia="Times New Roman" w:cs="Helvetica"/>
          <w:b/>
          <w:bCs/>
          <w:color w:val="333333"/>
          <w:sz w:val="24"/>
          <w:szCs w:val="24"/>
        </w:rPr>
        <w:t xml:space="preserve"> 26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Г</w:t>
      </w:r>
      <w:r w:rsidR="00365F6A" w:rsidRPr="008B6235">
        <w:rPr>
          <w:rFonts w:eastAsia="Times New Roman" w:cs="Helvetica"/>
          <w:b/>
          <w:bCs/>
          <w:color w:val="333333"/>
          <w:sz w:val="24"/>
          <w:szCs w:val="24"/>
        </w:rPr>
        <w:t>)</w:t>
      </w:r>
    </w:p>
    <w:p w:rsidR="00365F6A" w:rsidRPr="008B6235" w:rsidRDefault="002E1BA2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</w:rPr>
        <w:t>Съветът реши в порядък на работна хипотеза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</w:t>
      </w:r>
      <w:r w:rsidR="00004083">
        <w:rPr>
          <w:rFonts w:eastAsia="Times New Roman" w:cs="Helvetica"/>
          <w:color w:val="575757"/>
          <w:sz w:val="24"/>
          <w:szCs w:val="24"/>
          <w:lang w:val="bg-BG"/>
        </w:rPr>
        <w:t>да финализира измененията с модификациите, изложени по-горе</w:t>
      </w:r>
      <w:r w:rsidR="005C741F">
        <w:rPr>
          <w:rFonts w:eastAsia="Times New Roman" w:cs="Helvetica"/>
          <w:color w:val="575757"/>
          <w:sz w:val="24"/>
          <w:szCs w:val="24"/>
          <w:lang w:val="bg-BG"/>
        </w:rPr>
        <w:t>,</w:t>
      </w:r>
      <w:bookmarkStart w:id="10" w:name="_GoBack"/>
      <w:bookmarkEnd w:id="10"/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 </w:t>
      </w:r>
      <w:r w:rsidR="00004083">
        <w:rPr>
          <w:rFonts w:eastAsia="Times New Roman" w:cs="Helvetica"/>
          <w:color w:val="575757"/>
          <w:sz w:val="24"/>
          <w:szCs w:val="24"/>
          <w:lang w:val="bg-BG"/>
        </w:rPr>
        <w:t>както и да не ги представя за повторно обсъждане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.</w:t>
      </w:r>
    </w:p>
    <w:p w:rsidR="00365F6A" w:rsidRPr="008B6235" w:rsidRDefault="002E1BA2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</w:rPr>
        <w:t>Всичките четиринадесет членове на Съвета изразиха съгласие с тези решения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.</w:t>
      </w:r>
    </w:p>
    <w:p w:rsidR="00365F6A" w:rsidRPr="008B6235" w:rsidRDefault="008B6235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575757"/>
          <w:sz w:val="24"/>
          <w:szCs w:val="24"/>
        </w:rPr>
        <w:t>Следващи етапи</w:t>
      </w:r>
    </w:p>
    <w:p w:rsidR="00365F6A" w:rsidRPr="008B6235" w:rsidRDefault="00004083" w:rsidP="00365F6A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На бъдещо свое заседание Съветът ще обсъди изискванията за преход и датата на влизане в сила на измененията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 xml:space="preserve">. </w:t>
      </w:r>
      <w:r>
        <w:rPr>
          <w:rFonts w:eastAsia="Times New Roman" w:cs="Helvetica"/>
          <w:color w:val="575757"/>
          <w:sz w:val="24"/>
          <w:szCs w:val="24"/>
          <w:lang w:val="bg-BG"/>
        </w:rPr>
        <w:t>Съветът ще направи също така преглед на стъпките от регламентираната процедура във връзка с проекта</w:t>
      </w:r>
      <w:r w:rsidR="00365F6A" w:rsidRPr="008B6235">
        <w:rPr>
          <w:rFonts w:eastAsia="Times New Roman" w:cs="Helvetica"/>
          <w:color w:val="575757"/>
          <w:sz w:val="24"/>
          <w:szCs w:val="24"/>
        </w:rPr>
        <w:t>.</w:t>
      </w:r>
    </w:p>
    <w:p w:rsidR="00421758" w:rsidRPr="008B6235" w:rsidRDefault="00421758"/>
    <w:sectPr w:rsidR="00421758" w:rsidRPr="008B6235" w:rsidSect="00FB3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035"/>
    <w:multiLevelType w:val="multilevel"/>
    <w:tmpl w:val="7948373A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00D33"/>
    <w:multiLevelType w:val="multilevel"/>
    <w:tmpl w:val="462C9438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568D5"/>
    <w:multiLevelType w:val="multilevel"/>
    <w:tmpl w:val="55506BFC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910B09"/>
    <w:multiLevelType w:val="multilevel"/>
    <w:tmpl w:val="31725E0A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CD7A7A"/>
    <w:multiLevelType w:val="multilevel"/>
    <w:tmpl w:val="76C25B94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2B245D"/>
    <w:multiLevelType w:val="multilevel"/>
    <w:tmpl w:val="4DBEEF94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AF4658"/>
    <w:multiLevelType w:val="multilevel"/>
    <w:tmpl w:val="87A65EEC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A031BF"/>
    <w:multiLevelType w:val="multilevel"/>
    <w:tmpl w:val="62560AAC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EF713D"/>
    <w:multiLevelType w:val="multilevel"/>
    <w:tmpl w:val="544E9814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F41D2D"/>
    <w:multiLevelType w:val="multilevel"/>
    <w:tmpl w:val="0F0A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FF34AF"/>
    <w:multiLevelType w:val="multilevel"/>
    <w:tmpl w:val="97F87E46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9548A5"/>
    <w:multiLevelType w:val="multilevel"/>
    <w:tmpl w:val="3B6C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9835BF"/>
    <w:multiLevelType w:val="multilevel"/>
    <w:tmpl w:val="ECEE0440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DF61B0"/>
    <w:multiLevelType w:val="multilevel"/>
    <w:tmpl w:val="D65E8AD2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765913"/>
    <w:multiLevelType w:val="multilevel"/>
    <w:tmpl w:val="E988A48A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FB52E1"/>
    <w:multiLevelType w:val="multilevel"/>
    <w:tmpl w:val="A8C40244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C7511D"/>
    <w:multiLevelType w:val="multilevel"/>
    <w:tmpl w:val="CB7E40AA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B13FA2"/>
    <w:multiLevelType w:val="multilevel"/>
    <w:tmpl w:val="DB866166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16"/>
  </w:num>
  <w:num w:numId="5">
    <w:abstractNumId w:val="3"/>
  </w:num>
  <w:num w:numId="6">
    <w:abstractNumId w:val="13"/>
  </w:num>
  <w:num w:numId="7">
    <w:abstractNumId w:val="8"/>
  </w:num>
  <w:num w:numId="8">
    <w:abstractNumId w:val="0"/>
  </w:num>
  <w:num w:numId="9">
    <w:abstractNumId w:val="5"/>
  </w:num>
  <w:num w:numId="10">
    <w:abstractNumId w:val="14"/>
  </w:num>
  <w:num w:numId="11">
    <w:abstractNumId w:val="6"/>
  </w:num>
  <w:num w:numId="12">
    <w:abstractNumId w:val="4"/>
  </w:num>
  <w:num w:numId="13">
    <w:abstractNumId w:val="2"/>
  </w:num>
  <w:num w:numId="14">
    <w:abstractNumId w:val="1"/>
  </w:num>
  <w:num w:numId="15">
    <w:abstractNumId w:val="7"/>
  </w:num>
  <w:num w:numId="16">
    <w:abstractNumId w:val="17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5F6A"/>
    <w:rsid w:val="00004083"/>
    <w:rsid w:val="00027440"/>
    <w:rsid w:val="002003C8"/>
    <w:rsid w:val="00203532"/>
    <w:rsid w:val="002761E9"/>
    <w:rsid w:val="002A5489"/>
    <w:rsid w:val="002E1BA2"/>
    <w:rsid w:val="00365F6A"/>
    <w:rsid w:val="003A1D07"/>
    <w:rsid w:val="00421758"/>
    <w:rsid w:val="004D2EA3"/>
    <w:rsid w:val="004F41EE"/>
    <w:rsid w:val="005B29F4"/>
    <w:rsid w:val="005B2A09"/>
    <w:rsid w:val="005C543F"/>
    <w:rsid w:val="005C741F"/>
    <w:rsid w:val="00641D8D"/>
    <w:rsid w:val="006455D8"/>
    <w:rsid w:val="00664AE2"/>
    <w:rsid w:val="00672E36"/>
    <w:rsid w:val="00703329"/>
    <w:rsid w:val="00707E6E"/>
    <w:rsid w:val="0075255F"/>
    <w:rsid w:val="007644C5"/>
    <w:rsid w:val="00780C43"/>
    <w:rsid w:val="00781874"/>
    <w:rsid w:val="008B050D"/>
    <w:rsid w:val="008B6235"/>
    <w:rsid w:val="00961A3C"/>
    <w:rsid w:val="009E1ED7"/>
    <w:rsid w:val="009F511B"/>
    <w:rsid w:val="00A97EDB"/>
    <w:rsid w:val="00B02DF8"/>
    <w:rsid w:val="00C26555"/>
    <w:rsid w:val="00C531C9"/>
    <w:rsid w:val="00CA541D"/>
    <w:rsid w:val="00CE668B"/>
    <w:rsid w:val="00D5070C"/>
    <w:rsid w:val="00D61119"/>
    <w:rsid w:val="00D90C70"/>
    <w:rsid w:val="00DF03B9"/>
    <w:rsid w:val="00E14807"/>
    <w:rsid w:val="00E2589D"/>
    <w:rsid w:val="00E90AAE"/>
    <w:rsid w:val="00E9439C"/>
    <w:rsid w:val="00EF6F38"/>
    <w:rsid w:val="00F35F17"/>
    <w:rsid w:val="00FB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555B5-34CC-4F9C-A67E-4198BECD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344"/>
  </w:style>
  <w:style w:type="paragraph" w:styleId="Heading1">
    <w:name w:val="heading 1"/>
    <w:basedOn w:val="Normal"/>
    <w:next w:val="Normal"/>
    <w:link w:val="Heading1Char"/>
    <w:uiPriority w:val="9"/>
    <w:qFormat/>
    <w:rsid w:val="00365F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F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1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0426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55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77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5" w:color="C6C6C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14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09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8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rs.org/news-and-events/updates/iasb-updates/october-2019/" TargetMode="External"/><Relationship Id="rId13" Type="http://schemas.openxmlformats.org/officeDocument/2006/relationships/hyperlink" Target="https://www.ifrs.org/news-and-events/updates/iasb-updates/october-2019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frs.org/news-and-events/updates/iasb-updates/october-2019/" TargetMode="External"/><Relationship Id="rId12" Type="http://schemas.openxmlformats.org/officeDocument/2006/relationships/hyperlink" Target="https://www.ifrs.org/news-and-events/updates/iasb-updates/october-2019/" TargetMode="External"/><Relationship Id="rId17" Type="http://schemas.openxmlformats.org/officeDocument/2006/relationships/hyperlink" Target="https://www.ifrs.org/news-and-events/updates/ifric-updates/september-201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frs.org/news-and-events/updates/iasb-updates/october-201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frs.org/news-and-events/updates/iasb-updates/october-2019/" TargetMode="External"/><Relationship Id="rId11" Type="http://schemas.openxmlformats.org/officeDocument/2006/relationships/hyperlink" Target="https://www.ifrs.org/news-and-events/updates/iasb-updates/september-2019/" TargetMode="External"/><Relationship Id="rId5" Type="http://schemas.openxmlformats.org/officeDocument/2006/relationships/hyperlink" Target="https://www.ifrs.org/news-and-events/updates/iasb-updates/october-2019/" TargetMode="External"/><Relationship Id="rId15" Type="http://schemas.openxmlformats.org/officeDocument/2006/relationships/hyperlink" Target="https://www.ifrs.org/news-and-events/updates/iasb-updates/september-2019/" TargetMode="External"/><Relationship Id="rId10" Type="http://schemas.openxmlformats.org/officeDocument/2006/relationships/hyperlink" Target="https://www.ifrs.org/news-and-events/updates/iasb-updates/september-2019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frs.org/news-and-events/updates/iasb-updates/october-2019/" TargetMode="External"/><Relationship Id="rId14" Type="http://schemas.openxmlformats.org/officeDocument/2006/relationships/hyperlink" Target="https://www.ifrs.org/news-and-events/updates/iasb-updates/october-20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14</Pages>
  <Words>4076</Words>
  <Characters>24011</Characters>
  <Application>Microsoft Office Word</Application>
  <DocSecurity>0</DocSecurity>
  <Lines>461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Svetoslava Velinova</dc:creator>
  <cp:keywords/>
  <dc:description/>
  <cp:lastModifiedBy>VS</cp:lastModifiedBy>
  <cp:revision>17</cp:revision>
  <dcterms:created xsi:type="dcterms:W3CDTF">2019-10-31T08:23:00Z</dcterms:created>
  <dcterms:modified xsi:type="dcterms:W3CDTF">2019-10-31T17:44:00Z</dcterms:modified>
</cp:coreProperties>
</file>