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02" w:rsidRPr="000C18DE" w:rsidRDefault="009B1202" w:rsidP="009B1202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0C18DE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IASB and joint IASB–FASB Update July 2019</w:t>
      </w:r>
    </w:p>
    <w:p w:rsidR="009B1202" w:rsidRPr="000C18DE" w:rsidRDefault="000C18DE" w:rsidP="009B1202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0C18DE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(IASB) и съвместен информационен бюлетин на Съвета по международни счетоводни стандарти (IASB) и Съвета на САЩ по финансово-счетоводни стандарти </w:t>
      </w:r>
      <w:r w:rsidRPr="000C18DE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(FASB)</w:t>
      </w:r>
      <w:r w:rsidRPr="000C18DE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 xml:space="preserve"> – юли 2019 г.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9B1202" w:rsidRPr="000C18DE" w:rsidRDefault="000C18D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(МСФО</w:t>
      </w:r>
      <w:r w:rsidRPr="000C18DE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0C18DE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0C18DE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0C18DE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0C18DE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0C18DE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(МСФО</w:t>
      </w:r>
      <w:r w:rsidRPr="000C18DE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0C18DE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(МСФО Interpretation Committee)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br/>
      </w:r>
      <w:r w:rsidR="009B1202" w:rsidRPr="000C18DE">
        <w:rPr>
          <w:rFonts w:eastAsia="Times New Roman" w:cs="Helvetica"/>
          <w:color w:val="575757"/>
          <w:sz w:val="24"/>
          <w:szCs w:val="24"/>
        </w:rPr>
        <w:br/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заседания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22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юли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понеделник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24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юли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 2019 г.,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сряда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 25 юли 2019 г., четвъртък, </w:t>
      </w: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в офисите на Фондация МСФО в Лондон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C18D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0834F6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0834F6">
        <w:rPr>
          <w:rFonts w:eastAsia="Times New Roman" w:cs="Helvetica"/>
          <w:color w:val="CD3333"/>
          <w:sz w:val="24"/>
          <w:szCs w:val="24"/>
          <w:u w:val="single"/>
        </w:rPr>
        <w:t>Преглед и актуализация на стандарта</w:t>
      </w:r>
      <w:r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</w:t>
      </w:r>
      <w:r w:rsidR="000C18DE" w:rsidRPr="000834F6">
        <w:rPr>
          <w:rFonts w:eastAsia="Times New Roman" w:cs="Helvetica"/>
          <w:i/>
          <w:iCs/>
          <w:color w:val="CD3333"/>
          <w:sz w:val="24"/>
          <w:szCs w:val="24"/>
          <w:u w:val="single"/>
        </w:rPr>
        <w:t>МСФО за МСП</w:t>
      </w:r>
    </w:p>
    <w:p w:rsidR="009B1202" w:rsidRPr="000834F6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CD3333"/>
          <w:sz w:val="24"/>
          <w:szCs w:val="24"/>
          <w:u w:val="single"/>
        </w:rPr>
      </w:pPr>
      <w:hyperlink r:id="rId5" w:anchor="2" w:history="1">
        <w:r w:rsidR="000834F6" w:rsidRPr="000834F6">
          <w:rPr>
            <w:rFonts w:eastAsia="Times New Roman" w:cs="Helvetica"/>
            <w:color w:val="CD3333"/>
            <w:sz w:val="24"/>
            <w:szCs w:val="24"/>
            <w:u w:val="single"/>
          </w:rPr>
          <w:t>Въпро</w:t>
        </w:r>
        <w:r w:rsidR="000834F6" w:rsidRP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си, свързани с въвеждане и прилагане на стандартите</w:t>
        </w:r>
        <w:r w:rsidR="009B1202" w:rsidRP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: </w:t>
        </w:r>
        <w:r w:rsidR="000834F6" w:rsidRP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актуален информационен бюлетин на Комитета по разясненията на </w:t>
        </w:r>
        <w:r w:rsidR="000834F6" w:rsidRPr="000834F6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МСФО </w:t>
        </w:r>
        <w:r w:rsidR="000834F6">
          <w:rPr>
            <w:rFonts w:eastAsia="Times New Roman" w:cs="Helvetica"/>
            <w:color w:val="CD3333"/>
            <w:sz w:val="24"/>
            <w:szCs w:val="24"/>
            <w:u w:val="single"/>
          </w:rPr>
          <w:t>(</w:t>
        </w:r>
        <w:r w:rsidR="009B1202" w:rsidRPr="000C18DE">
          <w:rPr>
            <w:rFonts w:eastAsia="Times New Roman" w:cs="Helvetica"/>
            <w:color w:val="CD3333"/>
            <w:sz w:val="24"/>
            <w:szCs w:val="24"/>
            <w:u w:val="single"/>
          </w:rPr>
          <w:t>IFRIC Update</w:t>
        </w:r>
      </w:hyperlink>
      <w:r w:rsidR="000834F6" w:rsidRPr="000834F6">
        <w:rPr>
          <w:rFonts w:eastAsia="Times New Roman" w:cs="Helvetica"/>
          <w:color w:val="CD3333"/>
          <w:sz w:val="24"/>
          <w:szCs w:val="24"/>
          <w:u w:val="single"/>
        </w:rPr>
        <w:t>)</w:t>
      </w:r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3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Класифициране на пасивите като текущи или нетекущи</w:t>
        </w:r>
        <w:r w:rsidR="009B1202" w:rsidRPr="000C18DE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(</w:t>
        </w:r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9B1202" w:rsidRPr="000C18DE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8F11B3">
          <w:rPr>
            <w:rFonts w:eastAsia="Times New Roman" w:cs="Helvetica"/>
            <w:color w:val="CD3333"/>
            <w:sz w:val="24"/>
            <w:szCs w:val="24"/>
            <w:u w:val="single"/>
          </w:rPr>
          <w:t>МСС</w:t>
        </w:r>
        <w:r w:rsidR="009B1202" w:rsidRPr="000C18DE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1)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4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Репутация и обезценка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5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9" w:anchor="6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0" w:anchor="7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Финансови инструменти с характеристики на собствен капитал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1" w:anchor="8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2" w:anchor="9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3" w:anchor="10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4" w:anchor="11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Реформата на референтните лихвени проценти</w:t>
        </w:r>
        <w:r w:rsidR="009B1202" w:rsidRPr="000C18DE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 нейният ефект върху финансовото отчитане</w:t>
        </w:r>
      </w:hyperlink>
    </w:p>
    <w:p w:rsidR="009B1202" w:rsidRPr="000C18DE" w:rsidRDefault="00870530" w:rsidP="009B120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15" w:anchor="12" w:history="1">
        <w:r w:rsidR="000834F6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Динамично управление на риска</w:t>
        </w:r>
      </w:hyperlink>
    </w:p>
    <w:p w:rsidR="009B1202" w:rsidRPr="000C18DE" w:rsidRDefault="006B092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Наред с това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23 юли 2019 г. Съветът по международни счетоводни стандарти</w:t>
      </w:r>
      <w:r>
        <w:rPr>
          <w:rFonts w:eastAsia="Times New Roman" w:cs="Helvetica"/>
          <w:color w:val="575757"/>
          <w:sz w:val="24"/>
          <w:szCs w:val="24"/>
        </w:rPr>
        <w:t xml:space="preserve"> (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проведе съвместно заседание със Съвета на САЩ по финансово-счетоводни стандарти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(FASB)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също в офисите на Фондация МСФО в Лондон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D72BD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6B0923" w:rsidP="009B120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Отчитане по сегменти</w:t>
      </w:r>
    </w:p>
    <w:p w:rsidR="009B1202" w:rsidRPr="000C18DE" w:rsidRDefault="006B0923" w:rsidP="009B120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Основни финансови отчети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/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Отчитане на финансовите резултати от дейността</w:t>
      </w:r>
    </w:p>
    <w:p w:rsidR="009B1202" w:rsidRPr="000C18DE" w:rsidRDefault="006B0923" w:rsidP="009B120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Финансови инструменти с характеристики на собствен капитал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/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Разграничаване на пасивите от собствения капитал</w:t>
      </w:r>
    </w:p>
    <w:p w:rsidR="009B1202" w:rsidRPr="000C18DE" w:rsidRDefault="006B0923" w:rsidP="009B120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Реформа на референтните лихвени проценти</w:t>
      </w:r>
    </w:p>
    <w:p w:rsidR="009B1202" w:rsidRPr="000C18DE" w:rsidRDefault="006B0923" w:rsidP="009B120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Репутация и обезценка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/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Разграничими нематериални активи и последващо счетоводно отчитане на репутацията</w:t>
      </w:r>
    </w:p>
    <w:p w:rsidR="009B1202" w:rsidRPr="000C18DE" w:rsidRDefault="006B0923" w:rsidP="009B120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Инициатива за оповестяване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/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Рамка на оповестяването</w:t>
      </w:r>
    </w:p>
    <w:p w:rsidR="009B1202" w:rsidRPr="000C18DE" w:rsidRDefault="006B0923" w:rsidP="009B1202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Въвеждане и прилагане на стандартите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приходи и лизинг</w:t>
      </w:r>
    </w:p>
    <w:p w:rsidR="009B1202" w:rsidRPr="000C18DE" w:rsidRDefault="000C18DE" w:rsidP="009B1202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D72BD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9B1202" w:rsidRPr="000C18DE" w:rsidRDefault="000C18DE" w:rsidP="009B1202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9B1202" w:rsidP="009B1202">
      <w:pPr>
        <w:numPr>
          <w:ilvl w:val="0"/>
          <w:numId w:val="3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 xml:space="preserve">23–27 </w:t>
      </w:r>
      <w:r w:rsidR="000C18DE"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0C18DE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9B1202" w:rsidRPr="000C18DE" w:rsidRDefault="009B1202" w:rsidP="009B1202">
      <w:pPr>
        <w:numPr>
          <w:ilvl w:val="0"/>
          <w:numId w:val="3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 xml:space="preserve">21–25 </w:t>
      </w:r>
      <w:r w:rsidR="000C18DE">
        <w:rPr>
          <w:rFonts w:eastAsia="Times New Roman" w:cs="Helvetica"/>
          <w:color w:val="575757"/>
          <w:sz w:val="24"/>
          <w:szCs w:val="24"/>
          <w:lang w:val="bg-BG"/>
        </w:rPr>
        <w:t>октомври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0C18DE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9B1202" w:rsidRPr="000C18DE" w:rsidRDefault="009B1202" w:rsidP="009B1202">
      <w:pPr>
        <w:numPr>
          <w:ilvl w:val="0"/>
          <w:numId w:val="3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 xml:space="preserve">18–22 </w:t>
      </w:r>
      <w:r w:rsidR="000C18DE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0C18DE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6B0923" w:rsidRDefault="006B0923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</w:p>
    <w:p w:rsidR="006B0923" w:rsidRDefault="006B0923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r>
        <w:rPr>
          <w:rFonts w:eastAsia="Times New Roman" w:cs="Helvetica"/>
          <w:b/>
          <w:bCs/>
          <w:color w:val="333333"/>
          <w:sz w:val="34"/>
          <w:szCs w:val="34"/>
          <w:lang w:val="bg-BG"/>
        </w:rPr>
        <w:lastRenderedPageBreak/>
        <w:t xml:space="preserve">Заседание на </w:t>
      </w:r>
      <w:r w:rsidRPr="000834F6">
        <w:rPr>
          <w:rFonts w:eastAsia="Times New Roman" w:cs="Helvetica"/>
          <w:b/>
          <w:bCs/>
          <w:color w:val="333333"/>
          <w:sz w:val="34"/>
          <w:szCs w:val="34"/>
          <w:lang w:val="bg-BG"/>
        </w:rPr>
        <w:t>Съвета по междунаро</w:t>
      </w:r>
      <w:r>
        <w:rPr>
          <w:rFonts w:eastAsia="Times New Roman" w:cs="Helvetica"/>
          <w:b/>
          <w:bCs/>
          <w:color w:val="333333"/>
          <w:sz w:val="34"/>
          <w:szCs w:val="34"/>
          <w:lang w:val="bg-BG"/>
        </w:rPr>
        <w:t>дни счетоводни стандарти (IASB)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Всеобхватен преглед 2019 г. на стандарта</w:t>
      </w:r>
      <w:r w:rsidR="000C18DE">
        <w:rPr>
          <w:rFonts w:eastAsia="Times New Roman" w:cs="Helvetica"/>
          <w:b/>
          <w:bCs/>
          <w:i/>
          <w:iCs/>
          <w:color w:val="CD3333"/>
          <w:sz w:val="34"/>
          <w:szCs w:val="34"/>
        </w:rPr>
        <w:t xml:space="preserve"> МСФО за МСП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30)</w:t>
      </w:r>
      <w:bookmarkEnd w:id="0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22 юли 2019 г. Съветът проведе заседание, за да обсъди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C42CF4"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Всеобхватния преглед за 2019 г. на стандарта 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C42CF4">
        <w:rPr>
          <w:rFonts w:eastAsia="Times New Roman" w:cs="Helvetica"/>
          <w:color w:val="575757"/>
          <w:sz w:val="24"/>
          <w:szCs w:val="24"/>
          <w:lang w:val="bg-BG"/>
        </w:rPr>
        <w:t xml:space="preserve">„Преглед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2019 </w:t>
      </w:r>
      <w:r w:rsidR="00C42CF4">
        <w:rPr>
          <w:rFonts w:eastAsia="Times New Roman" w:cs="Helvetica"/>
          <w:color w:val="575757"/>
          <w:sz w:val="24"/>
          <w:szCs w:val="24"/>
          <w:lang w:val="bg-BG"/>
        </w:rPr>
        <w:t>г.”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). </w:t>
      </w:r>
      <w:r w:rsidR="00C42CF4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C42CF4">
        <w:rPr>
          <w:rFonts w:eastAsia="Times New Roman" w:cs="Helvetica"/>
          <w:color w:val="575757"/>
          <w:sz w:val="24"/>
          <w:szCs w:val="24"/>
          <w:lang w:val="bg-BG"/>
        </w:rPr>
        <w:t>Съветът обсъди въпроса дали Искането за предоставяне на информация, което ще бъде публикувано като част от Преглед 2019 г., да потърси виждания относно това дали и как стандартът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C42CF4">
        <w:rPr>
          <w:rFonts w:eastAsia="Times New Roman" w:cs="Helvetica"/>
          <w:color w:val="575757"/>
          <w:sz w:val="24"/>
          <w:szCs w:val="24"/>
          <w:lang w:val="bg-BG"/>
        </w:rPr>
        <w:t>да бъде хармонизиран и приведен в съответствие 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C42CF4">
        <w:rPr>
          <w:rFonts w:eastAsia="Times New Roman" w:cs="Helvetica"/>
          <w:color w:val="575757"/>
          <w:sz w:val="24"/>
          <w:szCs w:val="24"/>
          <w:lang w:val="bg-BG"/>
        </w:rPr>
        <w:t>стандартите и измененията в тях, които не са включени в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C18D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3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 </w:t>
      </w:r>
      <w:r w:rsidR="00FE6F8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Бизнес комбинации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30A)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реши, че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6F83">
        <w:rPr>
          <w:rFonts w:eastAsia="Times New Roman" w:cs="Helvetica"/>
          <w:color w:val="575757"/>
          <w:sz w:val="24"/>
          <w:szCs w:val="24"/>
          <w:lang w:val="bg-BG"/>
        </w:rPr>
        <w:t xml:space="preserve">в Искането за предоставяне на информация ще потърси виждания относно хармонизирането и привеждането в съответствие на стандарта 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6F83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3 </w:t>
      </w:r>
      <w:r w:rsidR="00FE6F83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FE6F83">
        <w:rPr>
          <w:rFonts w:eastAsia="Times New Roman" w:cs="Helvetica"/>
          <w:color w:val="575757"/>
          <w:sz w:val="24"/>
          <w:szCs w:val="24"/>
          <w:lang w:val="bg-BG"/>
        </w:rPr>
        <w:t>Съветът реши да потърси виждания относно това дали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FE6F83" w:rsidP="009B120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въведе в стандарта </w:t>
      </w:r>
      <w:r w:rsidRPr="00FE6F83">
        <w:rPr>
          <w:rFonts w:eastAsia="Times New Roman" w:cs="Helvetica"/>
          <w:i/>
          <w:color w:val="575757"/>
          <w:sz w:val="24"/>
          <w:szCs w:val="24"/>
          <w:lang w:val="bg-BG"/>
        </w:rPr>
        <w:t>МСФО за МСП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изисквания по отношение на придобиването на стъпки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FE6F83" w:rsidP="009B120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хармонизира тези изисквания, ако бъдат въведени, 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>
        <w:rPr>
          <w:rFonts w:eastAsia="Times New Roman" w:cs="Helvetica"/>
          <w:color w:val="575757"/>
          <w:sz w:val="24"/>
          <w:szCs w:val="24"/>
        </w:rPr>
        <w:t xml:space="preserve"> 3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FE6F83" w:rsidP="009B120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признае свързаните с придобиването разходи като разход към 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>момента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придобиване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FE6F83" w:rsidP="009B120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изисква условното възнаграждение да бъде оценявано при първоначално признаване по справедлива стойност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FE6F83" w:rsidP="009B120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разшири изключването/освобождаването от изискванията във връзка с неоправданите разходи или усилия, така че то да е приложимо по отношение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оценяването по справедлива стойност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условно възнаграждение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FE6F83" w:rsidP="009B120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хармонизира дефиницията на бизнес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реши, че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6F83">
        <w:rPr>
          <w:rFonts w:eastAsia="Times New Roman" w:cs="Helvetica"/>
          <w:color w:val="575757"/>
          <w:sz w:val="24"/>
          <w:szCs w:val="24"/>
          <w:lang w:val="bg-BG"/>
        </w:rPr>
        <w:t xml:space="preserve">в Искането за предоставяне на информация ще поясни, че не възнамерява да изменя изискванията 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FE6F83">
        <w:rPr>
          <w:rFonts w:eastAsia="Times New Roman" w:cs="Helvetica"/>
          <w:color w:val="575757"/>
          <w:sz w:val="24"/>
          <w:szCs w:val="24"/>
          <w:lang w:val="bg-BG"/>
        </w:rPr>
        <w:t xml:space="preserve"> стандарта 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FE6F83" w:rsidP="009B120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се въведе опцията за оценяване на неконтролиращите участия по справедлива стойност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FE6F83" w:rsidP="009B120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се изменят критериите за признаване по отношение признаването на нематериален актив, придобит в бизнес комбинация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FE6F83" w:rsidP="009B120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се поясни, че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47323">
        <w:rPr>
          <w:rFonts w:eastAsia="Times New Roman" w:cs="Helvetica"/>
          <w:color w:val="575757"/>
          <w:sz w:val="24"/>
          <w:szCs w:val="24"/>
          <w:lang w:val="bg-BG"/>
        </w:rPr>
        <w:t>събраната работна сила не трябва да се признава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847323" w:rsidP="009B120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се предоставят допълнителни насоки във връзка с повторно придобити права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C18D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10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 </w:t>
      </w:r>
      <w:r w:rsidR="0084732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Консолидирани финансови отчети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30</w:t>
      </w:r>
      <w:r w:rsidR="00847323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4152D9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реши, че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 Искането за предоставяне на информация ще потърси виждания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C7D78" w:rsidRPr="008C7D78">
        <w:rPr>
          <w:rFonts w:eastAsia="Times New Roman" w:cs="Helvetica"/>
          <w:color w:val="575757"/>
          <w:sz w:val="24"/>
          <w:szCs w:val="24"/>
          <w:lang w:val="bg-BG"/>
        </w:rPr>
        <w:t xml:space="preserve">хармонизиране и привеждане в съответствие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на стандарта </w:t>
      </w:r>
      <w:r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10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Консолидирани финансови отчети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да потърси виждания относно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8C7D78" w:rsidP="009B1202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хармонизиране дефиницията на контрол в 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9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10.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C7D78" w:rsidP="009B1202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Запазване на презумпцията, че предприятието контролира предприятие, в което е инвестирало, ако има директни правомощия върху това предприятие, произтичащи единствено от права на глас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4152D9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реши, че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 Искането за предоставяне на информация ще поясни, че </w:t>
      </w:r>
      <w:r w:rsidR="008C7D78">
        <w:rPr>
          <w:rFonts w:eastAsia="Times New Roman" w:cs="Helvetica"/>
          <w:color w:val="575757"/>
          <w:sz w:val="24"/>
          <w:szCs w:val="24"/>
          <w:lang w:val="bg-BG"/>
        </w:rPr>
        <w:t>не възнамерява да въведе изключение и освобождаване от изискванията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C7D78">
        <w:rPr>
          <w:rFonts w:eastAsia="Times New Roman" w:cs="Helvetica"/>
          <w:color w:val="575757"/>
          <w:sz w:val="24"/>
          <w:szCs w:val="24"/>
          <w:lang w:val="bg-BG"/>
        </w:rPr>
        <w:t>в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C7D78">
        <w:rPr>
          <w:rFonts w:eastAsia="Times New Roman" w:cs="Helvetica"/>
          <w:color w:val="575757"/>
          <w:sz w:val="24"/>
          <w:szCs w:val="24"/>
          <w:lang w:val="bg-BG"/>
        </w:rPr>
        <w:t>по отношение счетоводното отчитане на инвестиционни предприятия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C18D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11</w:t>
      </w:r>
      <w:r w:rsidR="0048511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8C7D78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Съвместни споразумения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30</w:t>
      </w:r>
      <w:r w:rsidR="008C7D78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4152D9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реши, че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 Искането за предоставяне на информация ще поясни, че </w:t>
      </w:r>
      <w:r w:rsidR="008C7D78">
        <w:rPr>
          <w:rFonts w:eastAsia="Times New Roman" w:cs="Helvetica"/>
          <w:color w:val="575757"/>
          <w:sz w:val="24"/>
          <w:szCs w:val="24"/>
          <w:lang w:val="bg-BG"/>
        </w:rPr>
        <w:t>не възнамерява да хармонизира и приведе в съответствие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C7D78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11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8C7D78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Съвместни споразумения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съгласие, а шестима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C18D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15</w:t>
      </w:r>
      <w:r w:rsidR="00485119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8C7D78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Приходи от договори с клиенти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8C7D78">
        <w:rPr>
          <w:rFonts w:eastAsia="Times New Roman" w:cs="Helvetica"/>
          <w:b/>
          <w:bCs/>
          <w:color w:val="333333"/>
          <w:sz w:val="24"/>
          <w:szCs w:val="24"/>
        </w:rPr>
        <w:t xml:space="preserve"> 30</w:t>
      </w:r>
      <w:r w:rsidR="008C7D78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реши, </w:t>
      </w:r>
      <w:r w:rsidR="004152D9">
        <w:rPr>
          <w:rFonts w:eastAsia="Times New Roman" w:cs="Helvetica"/>
          <w:color w:val="575757"/>
          <w:sz w:val="24"/>
          <w:szCs w:val="24"/>
          <w:lang w:val="bg-BG"/>
        </w:rPr>
        <w:t>че</w:t>
      </w:r>
      <w:r w:rsidR="004152D9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4152D9">
        <w:rPr>
          <w:rFonts w:eastAsia="Times New Roman" w:cs="Helvetica"/>
          <w:color w:val="575757"/>
          <w:sz w:val="24"/>
          <w:szCs w:val="24"/>
          <w:lang w:val="bg-BG"/>
        </w:rPr>
        <w:t xml:space="preserve">в Искането за предоставяне на информация ще потърси виждания </w:t>
      </w:r>
      <w:proofErr w:type="gramStart"/>
      <w:r w:rsidR="004152D9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4152D9">
        <w:rPr>
          <w:rFonts w:eastAsia="Times New Roman" w:cs="Helvetica"/>
          <w:color w:val="575757"/>
          <w:sz w:val="24"/>
          <w:szCs w:val="24"/>
          <w:lang w:val="bg-BG"/>
        </w:rPr>
        <w:t xml:space="preserve"> три подхода за хармонизиране и привеждане в съответствие на стандарта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4152D9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15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4152D9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4152D9">
        <w:rPr>
          <w:rFonts w:eastAsia="Times New Roman" w:cs="Helvetica"/>
          <w:color w:val="575757"/>
          <w:sz w:val="24"/>
          <w:szCs w:val="24"/>
          <w:lang w:val="bg-BG"/>
        </w:rPr>
        <w:t>По-конкретно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4152D9">
        <w:rPr>
          <w:rFonts w:eastAsia="Times New Roman" w:cs="Helvetica"/>
          <w:color w:val="575757"/>
          <w:sz w:val="24"/>
          <w:szCs w:val="24"/>
          <w:lang w:val="bg-BG"/>
        </w:rPr>
        <w:t>Съветът реши да потърси виждания относно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485119" w:rsidP="009B1202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трите</w:t>
      </w:r>
      <w:proofErr w:type="gramEnd"/>
      <w:r w:rsidR="008C7D78">
        <w:rPr>
          <w:rFonts w:eastAsia="Times New Roman" w:cs="Helvetica"/>
          <w:color w:val="575757"/>
          <w:sz w:val="24"/>
          <w:szCs w:val="24"/>
          <w:lang w:val="bg-BG"/>
        </w:rPr>
        <w:t xml:space="preserve"> подхода, които ще бъдат изложени в Искането за предоставяне на информация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4152D9" w:rsidP="009B1202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Алтернатива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1—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модифициране на 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23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от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67B85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за да се отстранят явните различия между резултатите от прилагане на Раздел 23 и на МСФО 15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без цялостно преработване на 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23;</w:t>
      </w:r>
    </w:p>
    <w:p w:rsidR="009B1202" w:rsidRPr="000C18DE" w:rsidRDefault="004152D9" w:rsidP="009B1202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Алтернатива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2—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цялостно пренаписване на 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23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, за да се отразят принципите и езика, използвани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15;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4152D9" w:rsidP="009B1202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Алтернатива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3—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пропускане на измененията в 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23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от Прегледа 2019 г.</w:t>
      </w:r>
    </w:p>
    <w:p w:rsidR="009B1202" w:rsidRPr="000C18DE" w:rsidRDefault="00FE1FA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6C5A5D" w:rsidRDefault="006C5A5D" w:rsidP="006C5A5D">
      <w:r>
        <w:t>(</w:t>
      </w:r>
      <w:r>
        <w:rPr>
          <w:lang w:val="bg-BG"/>
        </w:rPr>
        <w:t>б</w:t>
      </w:r>
      <w:r>
        <w:t>)</w:t>
      </w:r>
      <w:r>
        <w:rPr>
          <w:lang w:val="bg-BG"/>
        </w:rPr>
        <w:tab/>
      </w:r>
      <w:proofErr w:type="gramStart"/>
      <w:r w:rsidR="00967B85">
        <w:rPr>
          <w:rFonts w:eastAsia="Times New Roman" w:cs="Helvetica"/>
          <w:color w:val="575757"/>
          <w:sz w:val="24"/>
          <w:szCs w:val="24"/>
          <w:lang w:val="bg-BG"/>
        </w:rPr>
        <w:t>идентифициране</w:t>
      </w:r>
      <w:proofErr w:type="gramEnd"/>
      <w:r w:rsidR="00967B85">
        <w:rPr>
          <w:rFonts w:eastAsia="Times New Roman" w:cs="Helvetica"/>
          <w:color w:val="575757"/>
          <w:sz w:val="24"/>
          <w:szCs w:val="24"/>
          <w:lang w:val="bg-BG"/>
        </w:rPr>
        <w:t xml:space="preserve"> на Алтернатива</w:t>
      </w:r>
      <w:r w:rsidR="009B1202" w:rsidRPr="006C5A5D">
        <w:rPr>
          <w:rFonts w:eastAsia="Times New Roman" w:cs="Helvetica"/>
          <w:color w:val="575757"/>
          <w:sz w:val="24"/>
          <w:szCs w:val="24"/>
        </w:rPr>
        <w:t xml:space="preserve"> 1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като предпочитан от Съвета подход за хармонизиране</w:t>
      </w:r>
      <w:r w:rsidR="009B1202" w:rsidRPr="006C5A5D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– несъгласие с това решение</w:t>
      </w:r>
      <w:r w:rsidR="009B1202" w:rsidRPr="006C5A5D">
        <w:t>.</w:t>
      </w:r>
    </w:p>
    <w:p w:rsidR="009B1202" w:rsidRPr="000C18DE" w:rsidRDefault="006C5A5D" w:rsidP="006C5A5D">
      <w:pPr>
        <w:shd w:val="clear" w:color="auto" w:fill="FFFFFF"/>
        <w:spacing w:before="75" w:after="75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ab/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дали да предостави облекчение при преминаване към стандарта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ако Съветът пристъпи към проект за обсъждане, използвайки Алтернатива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или Алтернатива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2, </w:t>
      </w:r>
      <w:r w:rsidR="00967B85">
        <w:rPr>
          <w:rFonts w:eastAsia="Times New Roman" w:cs="Helvetica"/>
          <w:color w:val="575757"/>
          <w:sz w:val="24"/>
          <w:szCs w:val="24"/>
          <w:lang w:val="bg-BG"/>
        </w:rPr>
        <w:t>като разреши на предприятието да продължи да прилага използваното понастоящем счетоводно третиране на приходите по отношение на договори, които вече са в ход към датата на прехода или са предвидени за приключване в рамките на определен период от време след датата на преход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67B85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Изменения в 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МСФО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стандарти и Разяснения на Комитета по разясненията на МСФО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30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967B85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направи преглед на препоръките на екипа за хармонизиране на стандарта 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>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разясненията на Комитета по разясненията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 измененията в МСФО стандартите, които не са включени в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да потърси виждания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тези препоръки в Искането за предоставяне на информация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FE1FAD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B1202" w:rsidRPr="000C18DE" w:rsidRDefault="00967B85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През септември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2019 </w:t>
      </w:r>
      <w:r>
        <w:rPr>
          <w:rFonts w:eastAsia="Times New Roman" w:cs="Helvetica"/>
          <w:color w:val="575757"/>
          <w:sz w:val="24"/>
          <w:szCs w:val="24"/>
          <w:lang w:val="bg-BG"/>
        </w:rPr>
        <w:t>г. Съветът ще продължи да обсъжда дали и как да хармонизира и приведе в съответствие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със стандартите и измененията в тях, които не са включени в стандарта</w:t>
      </w:r>
      <w:r w:rsid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МСФО за МСП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 w:rsidRPr="000834F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Въпроси, свързани с въвеждане и прилагане на стандартите: актуален информационен бюлетин на Комитета по </w:t>
      </w:r>
      <w:r w:rsidRPr="000834F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разясненията на МСФО</w:t>
      </w:r>
      <w:r w:rsidRPr="000834F6">
        <w:rPr>
          <w:rFonts w:eastAsia="Times New Roman" w:cs="Helvetica"/>
          <w:b/>
          <w:bCs/>
          <w:color w:val="CD3333"/>
          <w:sz w:val="34"/>
          <w:szCs w:val="34"/>
        </w:rPr>
        <w:t xml:space="preserve"> (IFRIC Update) 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12)</w:t>
      </w:r>
      <w:bookmarkEnd w:id="1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22 юли 2019 г. Съветът проведе заседание, за да обсъди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C06980">
        <w:rPr>
          <w:rFonts w:eastAsia="Times New Roman" w:cs="Helvetica"/>
          <w:color w:val="575757"/>
          <w:sz w:val="24"/>
          <w:szCs w:val="24"/>
          <w:lang w:val="bg-BG"/>
        </w:rPr>
        <w:t>въпроси, свързани с въвеждането и прилагането на стандартите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C06980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проведеното през юни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2019 </w:t>
      </w:r>
      <w:r>
        <w:rPr>
          <w:rFonts w:eastAsia="Times New Roman" w:cs="Helvetica"/>
          <w:color w:val="575757"/>
          <w:sz w:val="24"/>
          <w:szCs w:val="24"/>
          <w:lang w:val="bg-BG"/>
        </w:rPr>
        <w:t>г. заседание на Комитета по разясненията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Подробности за това заседание са публикувани в бюлетина с актуална информация от Комитета по разясненията (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IFRIC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B1202" w:rsidRPr="000C18DE">
        <w:rPr>
          <w:rFonts w:eastAsia="Times New Roman" w:cs="Helvetica"/>
          <w:i/>
          <w:iCs/>
          <w:color w:val="575757"/>
          <w:sz w:val="24"/>
          <w:szCs w:val="24"/>
        </w:rPr>
        <w:t>Update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)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 w:rsidRPr="000834F6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Класифициране на пасивите като текущи или нетекущи (изменение на МСС</w:t>
      </w:r>
      <w:r w:rsidRPr="000834F6">
        <w:rPr>
          <w:rFonts w:eastAsia="Times New Roman" w:cs="Helvetica"/>
          <w:b/>
          <w:bCs/>
          <w:color w:val="CD3333"/>
          <w:sz w:val="34"/>
          <w:szCs w:val="34"/>
        </w:rPr>
        <w:t xml:space="preserve"> 1) 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29)</w:t>
      </w:r>
      <w:bookmarkEnd w:id="2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22 юли 2019 г. Съветът проведе заседание, за да продължи обсъжданията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B3560B">
        <w:rPr>
          <w:rFonts w:eastAsia="Times New Roman" w:cs="Helvetica"/>
          <w:color w:val="575757"/>
          <w:sz w:val="24"/>
          <w:szCs w:val="24"/>
          <w:lang w:val="bg-BG"/>
        </w:rPr>
        <w:t xml:space="preserve">на коментарите по Проекта за обсъждане </w:t>
      </w:r>
      <w:r w:rsidR="00B3560B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Класифициране на пасиви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B3560B">
        <w:rPr>
          <w:rFonts w:eastAsia="Times New Roman" w:cs="Helvetica"/>
          <w:color w:val="575757"/>
          <w:sz w:val="24"/>
          <w:szCs w:val="24"/>
          <w:lang w:val="bg-BG"/>
        </w:rPr>
        <w:t>който предлага изменения в параграфи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69–76 </w:t>
      </w:r>
      <w:r w:rsidR="00B3560B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</w:t>
      </w:r>
      <w:r w:rsidR="00485119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3560B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B3560B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Пасиви с характеристики на уреждане със собствен капитал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29A)</w:t>
      </w:r>
    </w:p>
    <w:p w:rsidR="009B1202" w:rsidRPr="000C18DE" w:rsidRDefault="00B3560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69(</w:t>
      </w:r>
      <w:r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посочва, че к</w:t>
      </w:r>
      <w:r w:rsidRPr="00B3560B">
        <w:rPr>
          <w:rFonts w:eastAsia="Times New Roman" w:cs="Helvetica"/>
          <w:color w:val="575757"/>
          <w:sz w:val="24"/>
          <w:szCs w:val="24"/>
          <w:lang w:val="bg-BG"/>
        </w:rPr>
        <w:t xml:space="preserve">ласификацията на даден пасив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като текущ или нетекущ </w:t>
      </w:r>
      <w:r w:rsidRPr="00B3560B">
        <w:rPr>
          <w:rFonts w:eastAsia="Times New Roman" w:cs="Helvetica"/>
          <w:color w:val="575757"/>
          <w:sz w:val="24"/>
          <w:szCs w:val="24"/>
          <w:lang w:val="bg-BG"/>
        </w:rPr>
        <w:t>не се влияе от условията във връзка с него, които биха позволили на контрагента при желание да го уреди чрез издаване на инструменти на собствения капитал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B3560B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B3560B">
        <w:rPr>
          <w:rFonts w:eastAsia="Times New Roman" w:cs="Helvetica"/>
          <w:color w:val="575757"/>
          <w:sz w:val="24"/>
          <w:szCs w:val="24"/>
          <w:lang w:val="bg-BG"/>
        </w:rPr>
        <w:t xml:space="preserve"> 1, за да поясни, че този текст е приложим само по отношение на опция за конвертиране на контрагента, призната отделно от пасива като компонент на собствен капитал на съставен финансов инструмент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B3560B">
        <w:rPr>
          <w:rFonts w:eastAsia="Times New Roman" w:cs="Helvetica"/>
          <w:color w:val="575757"/>
          <w:sz w:val="24"/>
          <w:szCs w:val="24"/>
          <w:lang w:val="bg-BG"/>
        </w:rPr>
        <w:t xml:space="preserve">Всякакви други условия на </w:t>
      </w:r>
      <w:proofErr w:type="gramStart"/>
      <w:r w:rsidR="00B3560B">
        <w:rPr>
          <w:rFonts w:eastAsia="Times New Roman" w:cs="Helvetica"/>
          <w:color w:val="575757"/>
          <w:sz w:val="24"/>
          <w:szCs w:val="24"/>
          <w:lang w:val="bg-BG"/>
        </w:rPr>
        <w:t>пасива, които биха могли да доведат до уреждане чрез прехвърляне на инструменти на собствения капитал на предприятието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B3560B">
        <w:rPr>
          <w:rFonts w:eastAsia="Times New Roman" w:cs="Helvetica"/>
          <w:color w:val="575757"/>
          <w:sz w:val="24"/>
          <w:szCs w:val="24"/>
          <w:lang w:val="bg-BG"/>
        </w:rPr>
        <w:t>оказват влияние върху класифицирането на пасива</w:t>
      </w:r>
      <w:proofErr w:type="gramEnd"/>
      <w:r w:rsidR="00B3560B">
        <w:rPr>
          <w:rFonts w:eastAsia="Times New Roman" w:cs="Helvetica"/>
          <w:color w:val="575757"/>
          <w:sz w:val="24"/>
          <w:szCs w:val="24"/>
          <w:lang w:val="bg-BG"/>
        </w:rPr>
        <w:t xml:space="preserve"> като текущ или нетекущ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B3560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B3560B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B3560B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Преход и по-ранно прилагане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5D6869" w:rsidP="009B1202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 изисква предприятието да прилага измененията ретроспективно в съответствие 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8 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9B1202" w:rsidRP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5D6869" w:rsidP="009B1202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не предоставя освобождаване от изискванията за предприятие, </w:t>
      </w:r>
      <w:r w:rsidR="007D6EB4">
        <w:rPr>
          <w:rFonts w:eastAsia="Times New Roman" w:cs="Helvetica"/>
          <w:color w:val="575757"/>
          <w:sz w:val="24"/>
          <w:szCs w:val="24"/>
          <w:lang w:val="bg-BG"/>
        </w:rPr>
        <w:t>прилагащо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МСФО стандартите за първи път; и</w:t>
      </w:r>
    </w:p>
    <w:p w:rsidR="009B1202" w:rsidRPr="000C18DE" w:rsidRDefault="005D6869" w:rsidP="009B1202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разреши на предприятието да прилага измененията преди датата им на влизане в сила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по-ранно прилагане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),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но да изисква предприятие, което прилага измененията предсрочно, да оповестява този факт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5D6869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5D6869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9B1202" w:rsidRPr="000C18DE" w:rsidRDefault="005D6869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направи преглед на стъпките от регламентираната процедура, изпълнени във връзка с този проект;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ще вземе решение дали да даде разрешение на екипа да пристъпи към процедурата по гласуване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ще избере дата на влизане в сила на измененията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18)</w:t>
      </w:r>
      <w:bookmarkEnd w:id="3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22 юли 2019 г. Съветът проведе заседание, за да обсъди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D48CF">
        <w:rPr>
          <w:rFonts w:eastAsia="Times New Roman" w:cs="Helvetica"/>
          <w:color w:val="575757"/>
          <w:sz w:val="24"/>
          <w:szCs w:val="24"/>
          <w:lang w:val="bg-BG"/>
        </w:rPr>
        <w:t>какъв вид консултационен документ да публикува във връзка с този проект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0D48CF">
        <w:rPr>
          <w:rFonts w:eastAsia="Times New Roman" w:cs="Helvetica"/>
          <w:color w:val="575757"/>
          <w:sz w:val="24"/>
          <w:szCs w:val="24"/>
          <w:lang w:val="bg-BG"/>
        </w:rPr>
        <w:t>Съветът реши като следващ етап от този изследователски проект да публикува документ за обсъждане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FE1FA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D48CF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направи преглед на стъпките от регламентираната процедура, предприети от него във връзка с този проект.</w:t>
      </w:r>
    </w:p>
    <w:p w:rsidR="009B1202" w:rsidRPr="000C18DE" w:rsidRDefault="000D48CF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потвърдиха, че са се уверили, че Съветът е изпълнил приложимите стъпки от регламентираната процедура и дадоха указания на екипа да изготви документ за обсъждане, който да бъде подложен на гласуване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D48CF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да определи период за предоставяне на коментари по документа за обсъждане от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180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Коментар на ръководството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15)</w:t>
      </w:r>
      <w:bookmarkEnd w:id="4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22 юли 2019 г. Съветът проведе заседание, за да обсъди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814B63" w:rsidP="009B1202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подход за разработване на насоки относно качествените характеристики на полезната финансова информация, които да бъдат включени в преработеното Изложение за практика по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 (</w:t>
      </w:r>
      <w:r>
        <w:rPr>
          <w:rFonts w:eastAsia="Times New Roman" w:cs="Helvetica"/>
          <w:color w:val="575757"/>
          <w:sz w:val="24"/>
          <w:szCs w:val="24"/>
          <w:lang w:val="bg-BG"/>
        </w:rPr>
        <w:t>„Изложението за практика“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)—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15A;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814B63" w:rsidP="009B1202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насоки, които да бъдат включени в преработеното Изложение за практика относно преценките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уместност и ниво на същественост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—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15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14B63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Подход по отношение насоките относно качествените характеристики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15A)</w:t>
      </w:r>
    </w:p>
    <w:p w:rsidR="009B1202" w:rsidRPr="000C18DE" w:rsidRDefault="000C18D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15A </w:t>
      </w:r>
      <w:r w:rsidR="00814B63">
        <w:rPr>
          <w:rFonts w:eastAsia="Times New Roman" w:cs="Helvetica"/>
          <w:color w:val="575757"/>
          <w:sz w:val="24"/>
          <w:szCs w:val="24"/>
          <w:lang w:val="bg-BG"/>
        </w:rPr>
        <w:t>излага план, съгласно който преработеното Изложение за практика ще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814B63" w:rsidP="009B120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включва кратко описание на всяка качествена характеристика на базата на описанието й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Концептуалната рамка за финансово отчитане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14B63" w:rsidP="009B120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предостави специфични насоки относно вземането под внимание на конкретни качествени характеристики, когато такива насоки са необходими поради естеството на информацията, включена в коментара на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Някои аспекти на тези насоки са обсъдени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15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14B63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Преценки относно уместността и нивото на същественост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15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B56FA">
        <w:rPr>
          <w:rFonts w:eastAsia="Times New Roman" w:cs="Helvetica"/>
          <w:color w:val="575757"/>
          <w:sz w:val="24"/>
          <w:szCs w:val="24"/>
          <w:lang w:val="bg-BG"/>
        </w:rPr>
        <w:t>да въведе в преработеното Изложение за практика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B56FA">
        <w:rPr>
          <w:rFonts w:eastAsia="Times New Roman" w:cs="Helvetica"/>
          <w:color w:val="575757"/>
          <w:sz w:val="24"/>
          <w:szCs w:val="24"/>
          <w:lang w:val="bg-BG"/>
        </w:rPr>
        <w:t>насоки относно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B56FA">
        <w:rPr>
          <w:rFonts w:eastAsia="Times New Roman" w:cs="Helvetica"/>
          <w:color w:val="575757"/>
          <w:sz w:val="24"/>
          <w:szCs w:val="24"/>
          <w:lang w:val="bg-BG"/>
        </w:rPr>
        <w:t>извършването на преценки относно нивото на същественост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B56FA">
        <w:rPr>
          <w:rFonts w:eastAsia="Times New Roman" w:cs="Helvetica"/>
          <w:color w:val="575757"/>
          <w:sz w:val="24"/>
          <w:szCs w:val="24"/>
          <w:lang w:val="bg-BG"/>
        </w:rPr>
        <w:t>при изготвяне на коментара на ръководството, които биха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EB56FA" w:rsidP="009B120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включили ключови елементи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насоките в Изложение за практика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Извършване на преценки относно нивото на същественост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Изложение за практика относно нивото на същественост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подкрепени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когато това е необходимо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чрез кръстосани препратки към допълнителните насоки в </w:t>
      </w:r>
      <w:r w:rsidRPr="00EB56FA">
        <w:rPr>
          <w:rFonts w:eastAsia="Times New Roman" w:cs="Helvetica"/>
          <w:color w:val="575757"/>
          <w:sz w:val="24"/>
          <w:szCs w:val="24"/>
          <w:lang w:val="bg-BG"/>
        </w:rPr>
        <w:t>Изложение</w:t>
      </w:r>
      <w:r>
        <w:rPr>
          <w:rFonts w:eastAsia="Times New Roman" w:cs="Helvetica"/>
          <w:color w:val="575757"/>
          <w:sz w:val="24"/>
          <w:szCs w:val="24"/>
          <w:lang w:val="bg-BG"/>
        </w:rPr>
        <w:t>то</w:t>
      </w:r>
      <w:r w:rsidRPr="00EB56FA">
        <w:rPr>
          <w:rFonts w:eastAsia="Times New Roman" w:cs="Helvetica"/>
          <w:color w:val="575757"/>
          <w:sz w:val="24"/>
          <w:szCs w:val="24"/>
          <w:lang w:val="bg-BG"/>
        </w:rPr>
        <w:t xml:space="preserve"> за практика относно нивото на същественост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EB56FA" w:rsidP="009B120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предоставили допълнителни насоки,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Pr="00EB56FA">
        <w:rPr>
          <w:rFonts w:eastAsia="Times New Roman" w:cs="Helvetica"/>
          <w:color w:val="575757"/>
          <w:sz w:val="24"/>
          <w:szCs w:val="24"/>
          <w:lang w:val="bg-BG"/>
        </w:rPr>
        <w:t>когато това е необходимо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EB56FA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доколкото естеството на коментара на ръководството се различава от естеството на финансовите отчети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EB56FA" w:rsidP="009B120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се фокусирали върху обяснението на процеса на определяне на нивото на същественост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частност, във връзка с идентифицирането на съществената информация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FE1FA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lastRenderedPageBreak/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Освен това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A4034F">
        <w:rPr>
          <w:rFonts w:eastAsia="Times New Roman" w:cs="Helvetica"/>
          <w:color w:val="575757"/>
          <w:sz w:val="24"/>
          <w:szCs w:val="24"/>
          <w:lang w:val="bg-BG"/>
        </w:rPr>
        <w:t>‚ че насоките относно идентифицирането на съществената информация в преработеното Изложение за практика ще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A4034F" w:rsidP="009B1202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признаят насоките в Изложението за практика относно елементите на коментара на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елементи на съдържанието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като общ източник за идентифициране на такава информация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A4034F" w:rsidP="009B1202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предоставят следните насоки относно вземането под внимание на общите информационни нужди на основните потребители при идентифицирането на съществената информация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A4034F" w:rsidP="009B1202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се направи изрична връзка между идентифицирането на съществената информация и целта на коментара на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предоставяне на информация, която да е полезна при оценяване перспективите за бъдещите входящи нетни парични потоци към предприятието и при оценяване грижливото стопанисване от страна на ръководството на икономическите ресурси на предприятието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A4034F" w:rsidP="009B1202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се опишат практическите източници, които биха могли да помогнат на ръководството да идентифицира въпроси, които може да е необходимо да бъдат разгледани в коментара на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A4034F" w:rsidP="009B1202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обяснят как ръководството би преценило каква информация да предостави относно такива въпроси във всеки елемент на съдържанието, за да се получи вътрешносъгласуван текст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 накрая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4034F">
        <w:rPr>
          <w:rFonts w:eastAsia="Times New Roman" w:cs="Helvetica"/>
          <w:color w:val="575757"/>
          <w:sz w:val="24"/>
          <w:szCs w:val="24"/>
          <w:lang w:val="bg-BG"/>
        </w:rPr>
        <w:t>да включи в преработеното Изложение за практика</w:t>
      </w:r>
      <w:r w:rsidR="00C96430">
        <w:rPr>
          <w:rFonts w:eastAsia="Times New Roman" w:cs="Helvetica"/>
          <w:color w:val="575757"/>
          <w:sz w:val="24"/>
          <w:szCs w:val="24"/>
          <w:lang w:val="bg-BG"/>
        </w:rPr>
        <w:t xml:space="preserve"> насоки </w:t>
      </w:r>
      <w:proofErr w:type="gramStart"/>
      <w:r w:rsidR="00C9643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C96430">
        <w:rPr>
          <w:rFonts w:eastAsia="Times New Roman" w:cs="Helvetica"/>
          <w:color w:val="575757"/>
          <w:sz w:val="24"/>
          <w:szCs w:val="24"/>
          <w:lang w:val="bg-BG"/>
        </w:rPr>
        <w:t xml:space="preserve"> другите стъпки от процеса по определяне нивото на същественост, които биха накарали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0837AC" w:rsidP="009B1202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вземе под внимание вероятността от възникването на даден въпрос, а не само </w:t>
      </w:r>
      <w:r w:rsidR="001E4FB7">
        <w:rPr>
          <w:rFonts w:eastAsia="Times New Roman" w:cs="Helvetica"/>
          <w:color w:val="575757"/>
          <w:sz w:val="24"/>
          <w:szCs w:val="24"/>
          <w:lang w:val="bg-BG"/>
        </w:rPr>
        <w:t>мащаба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въздействието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 оценяване на количествените фактори при извършването на преценки относно нивото на същественост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0837AC" w:rsidP="009B1202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0837AC">
        <w:rPr>
          <w:rFonts w:eastAsia="Times New Roman" w:cs="Helvetica"/>
          <w:color w:val="575757"/>
          <w:sz w:val="24"/>
          <w:szCs w:val="24"/>
          <w:lang w:val="bg-BG"/>
        </w:rPr>
        <w:t xml:space="preserve">да вземе под внимание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подходящото ниво на обобщаване, когато оценява каква информация предприятието е необходимо да предостави в коментара на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0837AC" w:rsidP="009B1202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акцентира върху връзките между различни части на информацията, когато я организира в рамките на коментара на ръководството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B1202" w:rsidRPr="000C18DE" w:rsidRDefault="00FD157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бъдещо свое заседание Съветът ще обсъди насоки относно фундаменталните качествени характеристики на достоверното представяне</w:t>
      </w:r>
      <w:r w:rsidR="000E28A9">
        <w:rPr>
          <w:rFonts w:eastAsia="Times New Roman" w:cs="Helvetica"/>
          <w:color w:val="575757"/>
          <w:sz w:val="24"/>
          <w:szCs w:val="24"/>
          <w:lang w:val="bg-BG"/>
        </w:rPr>
        <w:t xml:space="preserve"> и качествените характеристики, повишаващи полезността на информацията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0E28A9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отбеляза, че допълнително заседание на Консултативната група по въпросите, свързани с коментара на ръководството, ще се проведе през декември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2019</w:t>
      </w:r>
      <w:r w:rsidR="000E28A9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0E28A9">
        <w:rPr>
          <w:rFonts w:eastAsia="Times New Roman" w:cs="Helvetica"/>
          <w:color w:val="575757"/>
          <w:sz w:val="24"/>
          <w:szCs w:val="24"/>
          <w:lang w:val="bg-BG"/>
        </w:rPr>
        <w:t>За да се даде време за разглеждане на информацията от това допълнително заседание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0E28A9">
        <w:rPr>
          <w:rFonts w:eastAsia="Times New Roman" w:cs="Helvetica"/>
          <w:color w:val="575757"/>
          <w:sz w:val="24"/>
          <w:szCs w:val="24"/>
          <w:lang w:val="bg-BG"/>
        </w:rPr>
        <w:t>публикуването на планирания Проект за обсъждане сега се очаква през втората, вместо през първата, половина на 2020 г.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5" w:name="6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23)</w:t>
      </w:r>
      <w:bookmarkEnd w:id="5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22 юли 2019 г. Съветът проведе заседание, за да обсъди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317D85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проект, посветен на бизнес комбинациите под общ контрол.</w:t>
      </w:r>
    </w:p>
    <w:p w:rsidR="009B1202" w:rsidRPr="000C18DE" w:rsidRDefault="00317D85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Потенциални инвеститори в собствен капитал при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Pr="00317D85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бизнес комбинациите под общ контрол</w:t>
      </w:r>
      <w:r w:rsidRPr="00317D85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23A)</w:t>
      </w:r>
    </w:p>
    <w:p w:rsidR="009B1202" w:rsidRPr="000C18DE" w:rsidRDefault="00317D85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информационните потребности на потенциалните инвеститори в собствен капитал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комбиниращите се предприятия по отношение на сделки, които засягат неконтролиращите акционери на получаващото предприятие и по отношение на сделки, които не засягат тези акционери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25E65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Как биха могли да бъдат приложени подходите спрямо оценяването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23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825E65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общ преглед във връзка с начина, по който биха могли да бъдат приложени алтернативните подходи спрямо оценяването по отношение на сделки, попадащи в обхвата на проекта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както и въпросите, които Съветът ще трябва да вземе под внимание при разработването на такива подходи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B1202" w:rsidRPr="000C18DE" w:rsidRDefault="00825E65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продължи обсъжданията си във връзка с методите за счетоводно отчитане по отношение на сделки, попадащи в обхвата на проекта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6" w:name="7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Финансови инструменти с характеристики на собствен капитал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5)</w:t>
      </w:r>
      <w:bookmarkEnd w:id="6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24 юли 2019 г. Съветът проведе заседание, за да изслуша обобщение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 xml:space="preserve">обратната информация във връзка с предложенията на Съвета, изложени в Документа за обсъждане </w:t>
      </w:r>
      <w:r w:rsidR="00AF60F8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 с характеристики на собствен капитал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>Обобщението се отнасяше до следните раздели от Документа за обсъждане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6C5A5D" w:rsidP="009B1202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1—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>Цел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>обхват и предизвикателства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6C5A5D" w:rsidP="009B1202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6—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>Представяне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6C5A5D" w:rsidP="009B1202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7—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>Оповестявания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6C5A5D" w:rsidP="009B1202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8—</w:t>
      </w:r>
      <w:r w:rsidR="00AF60F8">
        <w:rPr>
          <w:rFonts w:eastAsia="Times New Roman" w:cs="Helvetica"/>
          <w:color w:val="575757"/>
          <w:sz w:val="24"/>
          <w:szCs w:val="24"/>
          <w:lang w:val="bg-BG"/>
        </w:rPr>
        <w:t>Договорни условия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B1202" w:rsidRPr="000C18DE" w:rsidRDefault="00AF60F8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посоката на развитие на проекта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7" w:name="8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9)</w:t>
      </w:r>
      <w:bookmarkEnd w:id="7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24 юли 2019 г. Съветът проведе заседание, за да обсъди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36463B">
        <w:rPr>
          <w:rFonts w:eastAsia="Times New Roman" w:cs="Helvetica"/>
          <w:color w:val="575757"/>
          <w:sz w:val="24"/>
          <w:szCs w:val="24"/>
          <w:lang w:val="bg-BG"/>
        </w:rPr>
        <w:t>счетоводния модел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36463B">
        <w:rPr>
          <w:rFonts w:eastAsia="Times New Roman" w:cs="Helvetica"/>
          <w:color w:val="575757"/>
          <w:sz w:val="24"/>
          <w:szCs w:val="24"/>
          <w:lang w:val="bg-BG"/>
        </w:rPr>
        <w:t>„моделът“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)</w:t>
      </w:r>
      <w:r w:rsidR="0036463B">
        <w:rPr>
          <w:rFonts w:eastAsia="Times New Roman" w:cs="Helvetica"/>
          <w:color w:val="575757"/>
          <w:sz w:val="24"/>
          <w:szCs w:val="24"/>
          <w:lang w:val="bg-BG"/>
        </w:rPr>
        <w:t>, който се разработва по отношение на регулаторни активи и регулаторни пасиви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9 </w:t>
      </w:r>
      <w:r w:rsidR="0036463B">
        <w:rPr>
          <w:rFonts w:eastAsia="Times New Roman" w:cs="Helvetica"/>
          <w:color w:val="575757"/>
          <w:sz w:val="24"/>
          <w:szCs w:val="24"/>
          <w:lang w:val="bg-BG"/>
        </w:rPr>
        <w:t>предостави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36463B">
        <w:rPr>
          <w:rFonts w:eastAsia="Times New Roman" w:cs="Helvetica"/>
          <w:color w:val="575757"/>
          <w:sz w:val="24"/>
          <w:szCs w:val="24"/>
          <w:lang w:val="bg-BG"/>
        </w:rPr>
        <w:t>единствено с информационна цел, обобщение на взетите от Съвета в порядък на работна хипотеза решения, които определят характеристиките на модела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6463B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Взаимодействие между модела и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3 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Бизнес комбинации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 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 9A)</w:t>
      </w:r>
    </w:p>
    <w:p w:rsidR="009B1202" w:rsidRPr="000C18DE" w:rsidRDefault="0036463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165260">
        <w:rPr>
          <w:rFonts w:eastAsia="Times New Roman" w:cs="Helvetica"/>
          <w:color w:val="575757"/>
          <w:sz w:val="24"/>
          <w:szCs w:val="24"/>
          <w:lang w:val="bg-BG"/>
        </w:rPr>
        <w:t xml:space="preserve"> като изключение от принципите за признаване и оценяване на 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3 </w:t>
      </w:r>
      <w:r w:rsidR="0016526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Бизнес комбинации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165260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признава и оценява регулаторни активи и регулаторни пасиви, съответно придобити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165260">
        <w:rPr>
          <w:rFonts w:eastAsia="Times New Roman" w:cs="Helvetica"/>
          <w:color w:val="575757"/>
          <w:sz w:val="24"/>
          <w:szCs w:val="24"/>
          <w:lang w:val="bg-BG"/>
        </w:rPr>
        <w:t>или поети в бизнес комбинация, в съответствие с принципите за признаване и оценяване в модела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F11B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165260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Прилагане на модела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834F6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Документи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–9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766AC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обсъди как предприятието би приложило модела в някоя от следните две ситуации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766ACE" w:rsidP="009B1202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Срокът на регулаторното споразумение е, или може да бъде, по-кратък от срока, през който регулаторните активи ще бъдат възстановени или регулаторните пасиви ще бъдат изпълнени посредством бъдещата цена или цени, които ще бъдат начислени на потребителите; или</w:t>
      </w:r>
    </w:p>
    <w:p w:rsidR="009B1202" w:rsidRPr="000C18DE" w:rsidRDefault="00766ACE" w:rsidP="009B1202">
      <w:pPr>
        <w:numPr>
          <w:ilvl w:val="0"/>
          <w:numId w:val="1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Към датата на финансовото отчитане все още не е сигурно дали предприятието ще има право на бонус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 ще подлежи на санкция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).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766ACE">
        <w:rPr>
          <w:rFonts w:eastAsia="Times New Roman" w:cs="Helvetica"/>
          <w:color w:val="575757"/>
          <w:sz w:val="24"/>
          <w:szCs w:val="24"/>
          <w:lang w:val="bg-BG"/>
        </w:rPr>
        <w:t>Съветът поиска обаче от екипа допълнително да анализира ситуация (а) за обсъждане на бъдещо заседание на Съвета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766AC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Документът за консултация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проект за обсъждане или документ за обсъждане 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 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 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766AC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реши, че консултационният документ по проекта следва да бъде проект за обсъждане на нов стандарт, който да замени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14 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Отсрочени активи и пасиви при регулирани дейности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F11B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766AC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Анализ на ефекта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9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766AC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При вземането на неокончателните решения в хода на проекта Съветът е взел под внимание вероятните ефекти от прилагането на модела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това си заседание Съветът направи преглед на обобщение</w:t>
      </w:r>
      <w:r w:rsidR="00587815">
        <w:rPr>
          <w:rFonts w:eastAsia="Times New Roman" w:cs="Helvetica"/>
          <w:color w:val="575757"/>
          <w:sz w:val="24"/>
          <w:szCs w:val="24"/>
          <w:lang w:val="bg-BG"/>
        </w:rPr>
        <w:t>то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тези вероятни ефекти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766AC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Регламентирана процедура и разрешение за пристъпване към процедурата по гласуване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9</w:t>
      </w:r>
      <w:r w:rsidR="00C84F3A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Е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C84F3A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направи преглед на стъпките от регламентираната процедура, които е предприел при разработване на модела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потвърдиха, че са се уверили, че Съветът е изпълнил приложимите стъпки от регламентираната процедура и дадоха указания на екипа да изготви проект за обсъждане за гласуване.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C84F3A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да определи срок за представяне на коментари във връзка с проекта за обсъждане от 120 дни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F11B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C84F3A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Един от членовете на Съвета възнамерява да изрази несъгласие с предложенията в проекта за обсъждане.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9B1202" w:rsidRPr="000C18DE" w:rsidRDefault="00697007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Екипът очаква да обсъди със Съвета следните въпроси през септември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2019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697007" w:rsidP="009B1202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Допълнителен анализ на ситуация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(a)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описана в раздела по-горе, във връзка с прилагането на модела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697007" w:rsidP="009B1202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Анализ на други взаимодействия 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стандартите в допълнение към тези, които вече са разгледани към настоящия момент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587815" w:rsidP="009B1202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</w:t>
      </w:r>
      <w:r w:rsidR="00697007">
        <w:rPr>
          <w:rFonts w:eastAsia="Times New Roman" w:cs="Helvetica"/>
          <w:color w:val="575757"/>
          <w:sz w:val="24"/>
          <w:szCs w:val="24"/>
          <w:lang w:val="bg-BG"/>
        </w:rPr>
        <w:t>реход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 w:rsidR="00697007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587815" w:rsidP="009B1202">
      <w:pPr>
        <w:numPr>
          <w:ilvl w:val="0"/>
          <w:numId w:val="1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697007">
        <w:rPr>
          <w:rFonts w:eastAsia="Times New Roman" w:cs="Helvetica"/>
          <w:color w:val="575757"/>
          <w:sz w:val="24"/>
          <w:szCs w:val="24"/>
          <w:lang w:val="bg-BG"/>
        </w:rPr>
        <w:t>зменения в други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697007">
        <w:rPr>
          <w:rFonts w:eastAsia="Times New Roman" w:cs="Helvetica"/>
          <w:color w:val="575757"/>
          <w:sz w:val="24"/>
          <w:szCs w:val="24"/>
          <w:lang w:val="bg-BG"/>
        </w:rPr>
        <w:t>стандарти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97007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публикува проекта за обсъждане през първото тримесечие на 2020 г</w:t>
      </w:r>
      <w:bookmarkStart w:id="8" w:name="_GoBack"/>
      <w:bookmarkEnd w:id="8"/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0834F6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9" w:name="9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>—</w:t>
      </w:r>
      <w:r w:rsidR="009D5CCA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Целеви преглед на оповестяванията на ниво стандарти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11)</w:t>
      </w:r>
      <w:bookmarkEnd w:id="9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24 юли 2019 г. Съветът проведе заседание, за да обсъди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>изменения в целите на оповестяването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19 </w:t>
      </w:r>
      <w:r w:rsidR="00E207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Доходи на наети лица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proofErr w:type="gramStart"/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11A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>обобщава препоръките на екипа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proofErr w:type="gramEnd"/>
    </w:p>
    <w:p w:rsidR="009B1202" w:rsidRPr="000C18DE" w:rsidRDefault="00A6368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Цели</w:t>
      </w:r>
      <w:r w:rsidR="00E2071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на оповестяването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в МСС 19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 w:rsidR="00E20711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планове с дефинирани доходи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11</w:t>
      </w:r>
      <w:r w:rsidR="00E20711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E20711" w:rsidRDefault="00587815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Всеобхватна цел</w:t>
      </w:r>
      <w:r w:rsidR="00E207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на оповестяването с висока степен на </w:t>
      </w:r>
      <w:proofErr w:type="gramStart"/>
      <w:r w:rsidR="00E207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обобщеност</w:t>
      </w:r>
      <w:proofErr w:type="gramEnd"/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>да включи в МСС 19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всеобхватна </w:t>
      </w:r>
      <w:r w:rsidR="00E20711" w:rsidRPr="00E20711">
        <w:rPr>
          <w:rFonts w:eastAsia="Times New Roman" w:cs="Helvetica"/>
          <w:iCs/>
          <w:color w:val="575757"/>
          <w:sz w:val="24"/>
          <w:szCs w:val="24"/>
          <w:lang w:val="bg-BG"/>
        </w:rPr>
        <w:t>цел на оповестяването с висока степен на обобщеност</w:t>
      </w:r>
      <w:r w:rsidR="00E20711" w:rsidRPr="00E20711">
        <w:rPr>
          <w:rFonts w:eastAsia="Times New Roman" w:cs="Helvetica"/>
          <w:iCs/>
          <w:color w:val="575757"/>
          <w:sz w:val="24"/>
          <w:szCs w:val="24"/>
        </w:rPr>
        <w:t xml:space="preserve">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>по отношение на плановете с дефинирани доходи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proofErr w:type="gramEnd"/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 xml:space="preserve">Подобна </w:t>
      </w:r>
      <w:proofErr w:type="gramStart"/>
      <w:r w:rsidR="00E20711">
        <w:rPr>
          <w:rFonts w:eastAsia="Times New Roman" w:cs="Helvetica"/>
          <w:color w:val="575757"/>
          <w:sz w:val="24"/>
          <w:szCs w:val="24"/>
          <w:lang w:val="bg-BG"/>
        </w:rPr>
        <w:t>цел би адресирала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>наред с всичко останало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 xml:space="preserve">агрегирането и дезагрегирането на информацията, предоставяна, за да бъдат удовлетворени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конкретните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 xml:space="preserve"> цели</w:t>
      </w:r>
      <w:proofErr w:type="gramEnd"/>
      <w:r w:rsidR="00E20711">
        <w:rPr>
          <w:rFonts w:eastAsia="Times New Roman" w:cs="Helvetica"/>
          <w:color w:val="575757"/>
          <w:sz w:val="24"/>
          <w:szCs w:val="24"/>
          <w:lang w:val="bg-BG"/>
        </w:rPr>
        <w:t xml:space="preserve"> на оповестяването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 също така и в настоящия </w:t>
      </w:r>
      <w:r w:rsidR="00E207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Информационен бюлетин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). </w:t>
      </w:r>
      <w:r w:rsidR="00FE1FAD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E20711" w:rsidRDefault="007D441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Конкретни</w:t>
      </w:r>
      <w:r w:rsidR="00E207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цели на </w:t>
      </w:r>
      <w:proofErr w:type="gramStart"/>
      <w:r w:rsidR="00E20711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оповестяването</w:t>
      </w:r>
      <w:proofErr w:type="gramEnd"/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</w:rPr>
        <w:lastRenderedPageBreak/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 xml:space="preserve">да включи в МСС 19 детайлизирани и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конкретни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>цели на оповестяването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proofErr w:type="gramEnd"/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20711">
        <w:rPr>
          <w:rFonts w:eastAsia="Times New Roman" w:cs="Helvetica"/>
          <w:color w:val="575757"/>
          <w:sz w:val="24"/>
          <w:szCs w:val="24"/>
          <w:lang w:val="bg-BG"/>
        </w:rPr>
        <w:t>Тези цели биха изисквали предприятието да оповестява информация, която да позволява на потребителите на финансовите отчети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E20711" w:rsidP="009B1202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сумите и компонентите на тези суми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в отчета за финансовите резултати от дейността,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отчета за финансовото състояние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 и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отчета за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 паричните потоци на предприятието, произтичащи от плановете му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 дефинирани доходи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E20711" w:rsidP="009B1202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7D441B" w:rsidP="009B1202">
      <w:pPr>
        <w:numPr>
          <w:ilvl w:val="1"/>
          <w:numId w:val="1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естеството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доходите, предоставяни от плановете на предприятието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>с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дефинирани доходи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7D441B" w:rsidP="009B1202">
      <w:pPr>
        <w:numPr>
          <w:ilvl w:val="1"/>
          <w:numId w:val="1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естеството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 размера на рисковете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частност, инвестиционните рискове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които този план или тези планове излагат предприятието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7D441B" w:rsidP="009B1202">
      <w:pPr>
        <w:numPr>
          <w:ilvl w:val="1"/>
          <w:numId w:val="1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стратегиите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предприятието за управление на плана или плановете и свързаните с тях рискове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E20711" w:rsidP="009B1202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очакваните бъдещи парични потоци, произтичащи от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задължението за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изплащане на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дефинирани доходи и естеството на тези парични потоци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E20711" w:rsidP="009B1202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периода от време, в течение на който плащания ще продължават да бъдат извършвани към членове на планове, които са закрити за нови членове и за които предприятието продължава да има задължение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E20711" w:rsidP="009B1202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съществените актюерски предположения, използвани при определяне на задължението за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изплащане на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дефинирани доходи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E20711" w:rsidP="009B1202">
      <w:pPr>
        <w:numPr>
          <w:ilvl w:val="0"/>
          <w:numId w:val="1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факторите за промяна в нетния пасив или актив по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плана с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дефинирани доходи от началото на отчетния период до неговия край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7D441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даде указания на екипа при изготвяне на редакционния текст на проекта да прецени как най-добре да артикулира тези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7D441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Други информационни нужди на </w:t>
      </w:r>
      <w:proofErr w:type="gramStart"/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потребителите</w:t>
      </w:r>
      <w:proofErr w:type="gramEnd"/>
    </w:p>
    <w:p w:rsidR="009B1202" w:rsidRPr="000C18DE" w:rsidRDefault="00FE1FA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7D441B">
        <w:rPr>
          <w:rFonts w:eastAsia="Times New Roman" w:cs="Helvetica"/>
          <w:color w:val="575757"/>
          <w:sz w:val="24"/>
          <w:szCs w:val="24"/>
          <w:lang w:val="bg-BG"/>
        </w:rPr>
        <w:t>да не разработва конкретни цели на оповестяването, за да адресира информационните нужди на потребителите на финансовите отчети относно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0117EA" w:rsidP="009B1202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оценявания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плановете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>с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дефинирани доходи, явяващи се алтернатива на тези, изисквани от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19.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117EA" w:rsidP="009B1202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чувствителността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задължението за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изплащане на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дефинирани доходи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>спрямо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различни предположения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FE1FAD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съгласие, а един -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0117EA" w:rsidP="009B1202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прогнозирането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бъдещи задължения за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изплащане на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дефинирани доходи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A6368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Цели на оповестяването в МСС 19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доходи на наети лица, различни от плановете с дефинирани доходи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11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A6368E" w:rsidRDefault="00A6368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Планове с дефинирани </w:t>
      </w:r>
      <w:proofErr w:type="gramStart"/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вноски</w:t>
      </w:r>
      <w:proofErr w:type="gramEnd"/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>да включи в МСС 19</w:t>
      </w:r>
      <w:r w:rsidR="00A6368E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всеобхватна </w:t>
      </w:r>
      <w:r w:rsidR="00A6368E" w:rsidRPr="00E20711">
        <w:rPr>
          <w:rFonts w:eastAsia="Times New Roman" w:cs="Helvetica"/>
          <w:iCs/>
          <w:color w:val="575757"/>
          <w:sz w:val="24"/>
          <w:szCs w:val="24"/>
          <w:lang w:val="bg-BG"/>
        </w:rPr>
        <w:t>цел на оповестяването с висока степен на обобщеност</w:t>
      </w:r>
      <w:r w:rsidR="00A6368E">
        <w:rPr>
          <w:rFonts w:eastAsia="Times New Roman" w:cs="Helvetica"/>
          <w:iCs/>
          <w:color w:val="575757"/>
          <w:sz w:val="24"/>
          <w:szCs w:val="24"/>
          <w:lang w:val="bg-BG"/>
        </w:rPr>
        <w:t>,</w:t>
      </w:r>
      <w:r w:rsidR="00A6368E" w:rsidRPr="00E20711">
        <w:rPr>
          <w:rFonts w:eastAsia="Times New Roman" w:cs="Helvetica"/>
          <w:color w:val="575757"/>
          <w:sz w:val="24"/>
          <w:szCs w:val="24"/>
        </w:rPr>
        <w:t xml:space="preserve"> 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изискваща предприятието да оповестява информация, която да позволява на потребителите на финансови отчети да </w:t>
      </w:r>
      <w:r w:rsidR="008F04A3">
        <w:rPr>
          <w:rFonts w:eastAsia="Times New Roman" w:cs="Helvetica"/>
          <w:color w:val="575757"/>
          <w:sz w:val="24"/>
          <w:szCs w:val="24"/>
          <w:lang w:val="bg-BG"/>
        </w:rPr>
        <w:t>разберат</w:t>
      </w:r>
      <w:r w:rsidR="00A6368E">
        <w:rPr>
          <w:rFonts w:eastAsia="Times New Roman" w:cs="Helvetica"/>
          <w:color w:val="575757"/>
          <w:sz w:val="24"/>
          <w:szCs w:val="24"/>
          <w:lang w:val="bg-BG"/>
        </w:rPr>
        <w:t xml:space="preserve"> как плановете с дефинирани вноски влияят върху отчетите на предприятието за финансовите резултати от дейността и за паричните потоци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8F04A3" w:rsidRDefault="008F04A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Планове с множество работодатели и планове на </w:t>
      </w:r>
      <w:proofErr w:type="gramStart"/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групи</w:t>
      </w:r>
      <w:proofErr w:type="gramEnd"/>
    </w:p>
    <w:p w:rsidR="009B1202" w:rsidRPr="000C18DE" w:rsidRDefault="008F11B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8F04A3">
        <w:rPr>
          <w:rFonts w:eastAsia="Times New Roman" w:cs="Helvetica"/>
          <w:color w:val="575757"/>
          <w:sz w:val="24"/>
          <w:szCs w:val="24"/>
          <w:lang w:val="bg-BG"/>
        </w:rPr>
        <w:t>, че предприятие, което отчита счетоводно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8F04A3" w:rsidP="009B1202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свой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план с множество работодатели или план на група като план с дефинирани доходи следва да съблюдава целите на оповестяването по отношение на плановете с дефинирани доходи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F04A3" w:rsidP="009B1202">
      <w:pPr>
        <w:numPr>
          <w:ilvl w:val="0"/>
          <w:numId w:val="2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свой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план с множество работодатели като план с дефинирани вноски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да съблюдава целта на оповестяването по отношение на плановете с дефинирани вноски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F11B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8F04A3">
        <w:rPr>
          <w:rFonts w:eastAsia="Times New Roman" w:cs="Helvetica"/>
          <w:color w:val="575757"/>
          <w:sz w:val="24"/>
          <w:szCs w:val="24"/>
          <w:lang w:val="bg-BG"/>
        </w:rPr>
        <w:t>, че предприятие, което отчита счетоводно своя дял от план с множество работодатели или план на група, представляващ план с дефинирани доходи, така, сякаш той е план с дефинирани вноски,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04A3">
        <w:rPr>
          <w:rFonts w:eastAsia="Times New Roman" w:cs="Helvetica"/>
          <w:color w:val="575757"/>
          <w:sz w:val="24"/>
          <w:szCs w:val="24"/>
          <w:lang w:val="bg-BG"/>
        </w:rPr>
        <w:t>следва да съблюдава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8F04A3" w:rsidP="009B1202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целта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оповестяването по отношение на планове с дефинирани вноски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8F04A3" w:rsidP="009B1202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конкретна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цел на оповестяването да оповести информация, която да позволи на потребителите на финансовите отчети да разберат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8F04A3" w:rsidP="009B1202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естеството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доходите, предоставяни от плановете на предприятието с дефинирани доходи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8F04A3" w:rsidP="009B1202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естеството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 размера на рисковете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частност, инвестиционните рискове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които този план или тези планове излагат предприятието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8F04A3" w:rsidP="009B1202">
      <w:pPr>
        <w:numPr>
          <w:ilvl w:val="1"/>
          <w:numId w:val="2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стратегиите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предприятието за управление на плана или плановете и свързаните с тях рискове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A551EF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Други доходи на наети </w:t>
      </w:r>
      <w:proofErr w:type="gramStart"/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лица</w:t>
      </w:r>
      <w:proofErr w:type="gramEnd"/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D29E8">
        <w:rPr>
          <w:rFonts w:eastAsia="Times New Roman" w:cs="Helvetica"/>
          <w:color w:val="575757"/>
          <w:sz w:val="24"/>
          <w:szCs w:val="24"/>
          <w:lang w:val="bg-BG"/>
        </w:rPr>
        <w:t>да включи в МСС 19</w:t>
      </w:r>
      <w:r w:rsidR="00AD29E8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D29E8"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всеобхватна </w:t>
      </w:r>
      <w:r w:rsidR="00AD29E8" w:rsidRPr="00E20711">
        <w:rPr>
          <w:rFonts w:eastAsia="Times New Roman" w:cs="Helvetica"/>
          <w:iCs/>
          <w:color w:val="575757"/>
          <w:sz w:val="24"/>
          <w:szCs w:val="24"/>
          <w:lang w:val="bg-BG"/>
        </w:rPr>
        <w:t>цел на оповестяването с висока степен на обобщеност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proofErr w:type="gramEnd"/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AD29E8">
        <w:rPr>
          <w:rFonts w:eastAsia="Times New Roman" w:cs="Helvetica"/>
          <w:color w:val="575757"/>
          <w:sz w:val="24"/>
          <w:szCs w:val="24"/>
          <w:lang w:val="bg-BG"/>
        </w:rPr>
        <w:t>Такава цел би изисквала предприятието да оповестява информация, която да позволява на потребителите на финансовите отчети да разберат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6342C7" w:rsidP="009B1202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естеството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доходите при прекратяване на трудовите правоотношения и други дългосрочни доходи на наети лица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6342C7" w:rsidP="009B1202">
      <w:pPr>
        <w:numPr>
          <w:ilvl w:val="0"/>
          <w:numId w:val="2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тези доходи влияят върху отчетите на предприятието за финансовите резултати от дейността, финансовото състояние и паричните потоци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F11B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6342C7">
        <w:rPr>
          <w:rFonts w:eastAsia="Times New Roman" w:cs="Helvetica"/>
          <w:color w:val="575757"/>
          <w:sz w:val="24"/>
          <w:szCs w:val="24"/>
          <w:lang w:val="bg-BG"/>
        </w:rPr>
        <w:t>да включи в МСС 19</w:t>
      </w:r>
      <w:r w:rsidR="006342C7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6342C7">
        <w:rPr>
          <w:rFonts w:eastAsia="Times New Roman" w:cs="Helvetica"/>
          <w:color w:val="575757"/>
          <w:sz w:val="24"/>
          <w:szCs w:val="24"/>
          <w:lang w:val="bg-BG"/>
        </w:rPr>
        <w:t xml:space="preserve">всеобхватна </w:t>
      </w:r>
      <w:r w:rsidR="006342C7" w:rsidRPr="00E20711">
        <w:rPr>
          <w:rFonts w:eastAsia="Times New Roman" w:cs="Helvetica"/>
          <w:iCs/>
          <w:color w:val="575757"/>
          <w:sz w:val="24"/>
          <w:szCs w:val="24"/>
          <w:lang w:val="bg-BG"/>
        </w:rPr>
        <w:t>цел на оповестяването с висока степен на обобщеност</w:t>
      </w:r>
      <w:r w:rsidR="006342C7">
        <w:rPr>
          <w:rFonts w:eastAsia="Times New Roman" w:cs="Helvetica"/>
          <w:iCs/>
          <w:color w:val="575757"/>
          <w:sz w:val="24"/>
          <w:szCs w:val="24"/>
          <w:lang w:val="bg-BG"/>
        </w:rPr>
        <w:t xml:space="preserve">, изискваща </w:t>
      </w:r>
      <w:r w:rsidR="006342C7">
        <w:rPr>
          <w:rFonts w:eastAsia="Times New Roman" w:cs="Helvetica"/>
          <w:color w:val="575757"/>
          <w:sz w:val="24"/>
          <w:szCs w:val="24"/>
          <w:lang w:val="bg-BG"/>
        </w:rPr>
        <w:t>предприятието да оповестява информация, която да позволява на потребителите на финансовите отчети да разберат</w:t>
      </w:r>
      <w:r w:rsidR="006342C7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6342C7">
        <w:rPr>
          <w:rFonts w:eastAsia="Times New Roman" w:cs="Helvetica"/>
          <w:color w:val="575757"/>
          <w:sz w:val="24"/>
          <w:szCs w:val="24"/>
          <w:lang w:val="bg-BG"/>
        </w:rPr>
        <w:t>как краткосрочните доходи на наети лица влияят върху отчета на предприятието за финансовите резултати от дейността и отчета му за паричните потоци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четирима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9B1202" w:rsidRPr="000C18DE" w:rsidRDefault="006342C7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6342C7" w:rsidP="009B1202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информацията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>, която би могла да бъде използвана, за да се постигнат предлаганите цели на оповестяването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19;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6342C7" w:rsidP="009B1202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целите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оповестяването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13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Оценяване по справедлива стойност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информацията, която би могла да бъде използвана, за да се постигнат тези цели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9D5CCA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0" w:name="10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21)</w:t>
      </w:r>
      <w:bookmarkEnd w:id="10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24 юли 2019 г. Съветът проведе заседание, за да обсъди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EB1CA3" w:rsidP="009B1202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възможни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изменения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34 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Междинно финансово отчитане,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 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да отрази взетите от Съвета в порядък на работна хипотеза решения във връзка с проекта, посветен на основните финансови отчети;</w:t>
      </w:r>
    </w:p>
    <w:p w:rsidR="009B1202" w:rsidRPr="000C18DE" w:rsidRDefault="00EB1CA3" w:rsidP="009B1202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дали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междинните сборове, сходни с брутната печалба, които отговарят на дефиницията 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оценки на ръководството за резултатите от дейността,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да бъдат изключени от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изискванията за оповестяване по отношение на оценките на ръководството за резултатите от дейността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EB1CA3" w:rsidP="009B1202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дали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 промени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взетите от Съвета в порядък на работна хипотеза решения относно класифицирането на лихви и дивиденти в отчета за паричните потоци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EB1CA3" w:rsidP="009B1202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дали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 измени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33 </w:t>
      </w:r>
      <w:r w:rsidRPr="00EB1CA3">
        <w:rPr>
          <w:rFonts w:eastAsia="Times New Roman" w:cs="Helvetica"/>
          <w:i/>
          <w:color w:val="575757"/>
          <w:sz w:val="24"/>
          <w:szCs w:val="24"/>
          <w:lang w:val="bg-BG"/>
        </w:rPr>
        <w:t>Нетна печалба на акция</w:t>
      </w:r>
      <w:r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 </w:t>
      </w:r>
      <w:r>
        <w:rPr>
          <w:rFonts w:eastAsia="Times New Roman" w:cs="Helvetica"/>
          <w:color w:val="575757"/>
          <w:sz w:val="24"/>
          <w:szCs w:val="24"/>
          <w:lang w:val="bg-BG"/>
        </w:rPr>
        <w:t>за да ограничи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числителя при изчисляване на коригираната нетна печалба на акция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до суми, базирани на дефинирани междинни сборове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 оценки на ръководството за резултатите от дейността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EB1CA3" w:rsidP="009B1202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стъпките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 регламентираната процедура и разрешение за пристъпване към процедурата по гласуване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EB1CA3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Изменения в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11B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МСС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34 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Междинно финансово отчитане</w:t>
      </w:r>
      <w:r w:rsidR="001143EE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21A)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EB1CA3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34</w:t>
      </w:r>
      <w:r w:rsidR="00EB1CA3">
        <w:rPr>
          <w:rFonts w:eastAsia="Times New Roman" w:cs="Helvetica"/>
          <w:color w:val="575757"/>
          <w:sz w:val="24"/>
          <w:szCs w:val="24"/>
          <w:lang w:val="bg-BG"/>
        </w:rPr>
        <w:t>, така че да изисква предприятията в своите съкратени междинни финансови отчети да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EB1CA3" w:rsidP="009B1202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прилагат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изискванията по отношение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оценките на ръководството за резултатите от дейността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Десет от четиринадесетте членове на Съвета изразиха съгласие, а двама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Двама от членовете отсъстваха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EB1CA3" w:rsidP="009B1202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прилагат</w:t>
      </w:r>
      <w:proofErr w:type="gramEnd"/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единствено през първата година от прилагането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изменените изисквания по отношение на междинните сборове в отчета или отчетите за финансовите резултати от дейността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Тоест, от предприятията ще се изисква да представят новите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междинни сборове в своите </w:t>
      </w:r>
      <w:r w:rsidR="00270F7F">
        <w:rPr>
          <w:rFonts w:eastAsia="Times New Roman" w:cs="Helvetica"/>
          <w:color w:val="575757"/>
          <w:sz w:val="24"/>
          <w:szCs w:val="24"/>
          <w:lang w:val="bg-BG"/>
        </w:rPr>
        <w:t>съкратени междинни</w:t>
      </w:r>
      <w:proofErr w:type="gramEnd"/>
      <w:r w:rsidR="00270F7F">
        <w:rPr>
          <w:rFonts w:eastAsia="Times New Roman" w:cs="Helvetica"/>
          <w:color w:val="575757"/>
          <w:sz w:val="24"/>
          <w:szCs w:val="24"/>
          <w:lang w:val="bg-BG"/>
        </w:rPr>
        <w:t xml:space="preserve"> финансови отчети през първата година от прилагането</w:t>
      </w:r>
      <w:r w:rsidR="00270F7F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270F7F">
        <w:rPr>
          <w:rFonts w:eastAsia="Times New Roman" w:cs="Helvetica"/>
          <w:color w:val="575757"/>
          <w:sz w:val="24"/>
          <w:szCs w:val="24"/>
          <w:lang w:val="bg-BG"/>
        </w:rPr>
        <w:t>на новите изисквания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Осем от четиринадесетте членове на Съвета изразиха съгласие, а петима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270F7F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</w:t>
      </w:r>
      <w:r w:rsidRPr="00270F7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ценките на ръководството за резултатите от дейността</w:t>
      </w:r>
      <w:r w:rsidRPr="00270F7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 междинни сборове, сходни с брутната печалба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270F7F" w:rsidP="009B1202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добави „</w:t>
      </w:r>
      <w:r w:rsidRPr="00270F7F">
        <w:rPr>
          <w:rFonts w:eastAsia="Times New Roman" w:cs="Helvetica"/>
          <w:color w:val="575757"/>
          <w:sz w:val="24"/>
          <w:szCs w:val="24"/>
          <w:lang w:val="bg-BG"/>
        </w:rPr>
        <w:t>междинни сборове, сходни с брутната печалба</w:t>
      </w:r>
      <w:r>
        <w:rPr>
          <w:rFonts w:eastAsia="Times New Roman" w:cs="Helvetica"/>
          <w:color w:val="575757"/>
          <w:sz w:val="24"/>
          <w:szCs w:val="24"/>
          <w:lang w:val="bg-BG"/>
        </w:rPr>
        <w:t>” към списъка с</w:t>
      </w:r>
      <w:r w:rsidRPr="00270F7F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междинни сборове, които не представляват оценките на ръководството за резултатите от дейността;</w:t>
      </w:r>
    </w:p>
    <w:p w:rsidR="009B1202" w:rsidRPr="000C18DE" w:rsidRDefault="00270F7F" w:rsidP="009B1202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опише такива междинни сборове като „представляващи разликата между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видовете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приходи и пряко свързаните с тях разходи, понесени при генерирането на тези приходи”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270F7F" w:rsidP="009B1202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предостави неизчерпателен списък с примери за междинни сборове, „сходни с брутната печалба”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например, нетен доход от лихви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междинни сборове, за които не се счита, че са „сходни с брутната печалба”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F11B3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1143E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Класифициране на лихви и дивиденти в отчета за паричните потоци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да препотвърди взетите неокончателни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относно класифицирането на лихви и дивиденти в отчета за паричните потоци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proofErr w:type="gramEnd"/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двама – несъгласие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1143E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</w:t>
      </w:r>
      <w:r w:rsidRPr="00270F7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ценките на ръководството за резултатите от дейността</w:t>
      </w:r>
      <w:r w:rsidRPr="00270F7F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и коригирана нетна печалба на акция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да измени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33 </w:t>
      </w:r>
      <w:r w:rsidR="001143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Нетна печалба на акция,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за да ограничи числителя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при изчисляване на коригираната нетна печалба на акция до суми, базирани на дефинирани междинни сборове или оценки на ръководството за резултатите от дейността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1143E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Стъпки от регламентираната </w:t>
      </w:r>
      <w:proofErr w:type="gramStart"/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процедура и разрешение за пристъпване към процедурата</w:t>
      </w:r>
      <w:proofErr w:type="gramEnd"/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по гласуване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FE1FA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1143EE" w:rsidP="009B1202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реши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да предостави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180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дни за коментари във връзка с проекта за обсъждане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1143EE" w:rsidP="009B1202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направи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преглед на стъпките от регламентираната процедура, предприети до момента по този проект.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1FAD">
        <w:rPr>
          <w:rFonts w:eastAsia="Times New Roman" w:cs="Helvetica"/>
          <w:color w:val="575757"/>
          <w:sz w:val="24"/>
          <w:szCs w:val="24"/>
        </w:rPr>
        <w:t>Тринадесет от четиринадесетте членове на Съвета</w:t>
      </w:r>
      <w:r w:rsidR="00FE1FAD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1FAD">
        <w:rPr>
          <w:rFonts w:eastAsia="Times New Roman" w:cs="Helvetica"/>
          <w:color w:val="575757"/>
          <w:sz w:val="24"/>
          <w:szCs w:val="24"/>
          <w:lang w:val="bg-BG"/>
        </w:rPr>
        <w:t>потвърдиха, че са се уверили, че Съветът е изпълнил изискванията на приложимите стъпки от регламентираната процедура и дадоха указания на екипа да изготви проект за обсъждане за гласуване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8F11B3">
        <w:rPr>
          <w:rFonts w:eastAsia="Times New Roman" w:cs="Helvetica"/>
          <w:color w:val="575757"/>
          <w:sz w:val="24"/>
          <w:szCs w:val="24"/>
        </w:rPr>
        <w:t>Един от членовете отсъстваше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1143E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Двама от членовете на Съвета заявиха, че ще трябва да направят преглед на подробния редакционен текст на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проекта преди да вземат решение дали да изразят несъгласие с предложенията в проекта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за обсъждане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B1202" w:rsidRPr="000C18DE" w:rsidRDefault="001143E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Екипът ще изготви проект за обсъждане, който да бъде подложен на гласуване.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lastRenderedPageBreak/>
        <w:t> </w:t>
      </w:r>
    </w:p>
    <w:p w:rsidR="009B1202" w:rsidRPr="000C18DE" w:rsidRDefault="009D5CCA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1" w:name="11"/>
      <w:r w:rsidRPr="009D5CCA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Реформата на референтните лихвени проценти и нейният ефект върху финансовото отчитане</w:t>
      </w:r>
      <w:r w:rsidRPr="009D5CCA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14)</w:t>
      </w:r>
      <w:bookmarkEnd w:id="11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25 юли 2019 г. Съветът проведе заседание, за да обсъди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направения от екипа анализ на становищата, получени като обратна информация във връзка с Проекта за обсъждане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1143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Реформа на референтните лихвени проценти</w:t>
      </w:r>
      <w:r w:rsidR="009B1202" w:rsidRPr="000C18DE">
        <w:rPr>
          <w:rFonts w:eastAsia="Times New Roman" w:cs="Helvetica"/>
          <w:i/>
          <w:iCs/>
          <w:color w:val="575757"/>
          <w:sz w:val="24"/>
          <w:szCs w:val="24"/>
        </w:rPr>
        <w:t>,</w:t>
      </w:r>
      <w:r w:rsidR="001143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който предлага изменения 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9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gramStart"/>
      <w:r w:rsidR="001143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F11B3">
        <w:rPr>
          <w:rFonts w:eastAsia="Times New Roman" w:cs="Helvetica"/>
          <w:color w:val="575757"/>
          <w:sz w:val="24"/>
          <w:szCs w:val="24"/>
        </w:rPr>
        <w:t>МСС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39</w:t>
      </w:r>
      <w:r w:rsidR="001143EE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143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</w:t>
      </w:r>
      <w:proofErr w:type="gramEnd"/>
      <w:r w:rsidR="001143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инструменти</w:t>
      </w:r>
      <w:r w:rsidR="009B1202" w:rsidRP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: </w:t>
      </w:r>
      <w:r w:rsidR="001143EE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признаване и оценяване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</w:p>
    <w:p w:rsidR="009B1202" w:rsidRPr="000C18DE" w:rsidRDefault="004C1FD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разисква повторно някои въпроси, повдигнати от предоставилите във връзка с Проекта за обсъждане становища лица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както и ще пристъпи към разисквания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следващия етап от проекта за реформиране на референтните лихвени проценти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0C18DE">
        <w:rPr>
          <w:rFonts w:eastAsia="Times New Roman" w:cs="Helvetica"/>
          <w:color w:val="575757"/>
          <w:sz w:val="24"/>
          <w:szCs w:val="24"/>
        </w:rPr>
        <w:t> </w:t>
      </w:r>
    </w:p>
    <w:p w:rsidR="009B1202" w:rsidRPr="000C18DE" w:rsidRDefault="009D5CCA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2" w:name="1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0C18DE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CD3333"/>
          <w:sz w:val="34"/>
          <w:szCs w:val="34"/>
        </w:rPr>
        <w:t xml:space="preserve"> 4)</w:t>
      </w:r>
      <w:bookmarkEnd w:id="12"/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25 юли 2019 г. Съветът проведе заседание, за да обсъди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изследователския проект, посветен на динамичното управление на риска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4C1FDB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Демонстриране на базовия модел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4C1FD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Презентацията обобщава взетите в порядък на работна хипотеза решения на Съвета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счетоводния модел на динамичното управление на риска с примери, които демонстрират начина, по който функционира този модел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От Съвета не бе поискано да взема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4C1FDB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Функционални опростявания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0C18D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4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разглежда опростявания на счетоводния модел на динамично управление на риска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специално фокусирани върху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еталонния дериватив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  <w:proofErr w:type="gramEnd"/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Вземайки под внимание, че с течение на времето еталонният дериватив ще се превърне в портфейл от деривативи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в доклада се проучват методи за агрегиране с цел намаляване броя на деривативите в портфейла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 xml:space="preserve">Документът предлага обобщаването на еталонните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деривативи да бъде разрешено, ако датите на падеж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 w:rsidR="004C1FDB">
        <w:rPr>
          <w:rFonts w:eastAsia="Times New Roman" w:cs="Helvetica"/>
          <w:color w:val="575757"/>
          <w:sz w:val="24"/>
          <w:szCs w:val="24"/>
          <w:lang w:val="bg-BG"/>
        </w:rPr>
        <w:t>датите на плащане и базата за лихвения процент са едни и същи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E14BE" w:rsidP="009B1202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Прилагане по избор и области, върху които да бъдат фокусирани оповестяванията</w:t>
      </w:r>
      <w:r w:rsidR="009B1202" w:rsidRPr="000C18DE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0C18DE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 xml:space="preserve"> 4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9B1202" w:rsidRPr="000C18DE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6E14BE" w:rsidP="009B1202">
      <w:pPr>
        <w:numPr>
          <w:ilvl w:val="0"/>
          <w:numId w:val="2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че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прилагането на счетоводния модел на динамично управление на риска следва да е по избор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6E14BE" w:rsidP="009B1202">
      <w:pPr>
        <w:numPr>
          <w:ilvl w:val="0"/>
          <w:numId w:val="2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определи области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изложени по-долу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върху които да се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фокусират оповестяванията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Съветът реши в порядък на работна хипотеза</w:t>
      </w:r>
      <w:r w:rsidR="006E14BE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6E14BE">
        <w:rPr>
          <w:rFonts w:eastAsia="Times New Roman" w:cs="Helvetica"/>
          <w:color w:val="575757"/>
          <w:sz w:val="24"/>
          <w:szCs w:val="24"/>
          <w:lang w:val="bg-BG"/>
        </w:rPr>
        <w:t>областите, върху които да се</w:t>
      </w:r>
      <w:r w:rsidR="006E14BE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6E14BE">
        <w:rPr>
          <w:rFonts w:eastAsia="Times New Roman" w:cs="Helvetica"/>
          <w:color w:val="575757"/>
          <w:sz w:val="24"/>
          <w:szCs w:val="24"/>
          <w:lang w:val="bg-BG"/>
        </w:rPr>
        <w:t>фокусират оповестяванията,</w:t>
      </w:r>
      <w:r w:rsidR="006E14BE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6E14BE">
        <w:rPr>
          <w:rFonts w:eastAsia="Times New Roman" w:cs="Helvetica"/>
          <w:color w:val="575757"/>
          <w:sz w:val="24"/>
          <w:szCs w:val="24"/>
          <w:lang w:val="bg-BG"/>
        </w:rPr>
        <w:t>следва да бъдат тези, които помагат на потребителите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6E14BE" w:rsidP="009B1202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 и оценят стратегията на предприятието за управление на рисковете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6E14BE" w:rsidP="009B1202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оценят способността на ръководството да реализира тази стратегия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6E14BE" w:rsidP="009B1202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 ефекта върху текущи и бъдещи икономически ресурси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6E14BE" w:rsidP="009B1202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разберат ефекта от прилагането на модела върху финансовия отчет на предприятието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3E684B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3E684B">
        <w:rPr>
          <w:rFonts w:eastAsia="Times New Roman" w:cs="Helvetica"/>
          <w:color w:val="575757"/>
          <w:sz w:val="24"/>
          <w:szCs w:val="24"/>
        </w:rPr>
        <w:t>Всичките четиринадесет членове на Съвета изразиха съгласие с това решение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6C5A5D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9B1202" w:rsidRPr="000C18DE" w:rsidRDefault="006E14BE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бъдещи свои заседания Съветът планира да обсъди подхода си за събиране на вижданията на заинтересованите страни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базовия модел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9B1202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bookmarkStart w:id="13" w:name="13"/>
      <w:r w:rsidRPr="000C18DE">
        <w:rPr>
          <w:rFonts w:eastAsia="Times New Roman" w:cs="Helvetica"/>
          <w:color w:val="CD3333"/>
          <w:sz w:val="24"/>
          <w:szCs w:val="24"/>
        </w:rPr>
        <w:t> </w:t>
      </w:r>
      <w:bookmarkEnd w:id="13"/>
    </w:p>
    <w:p w:rsidR="009B1202" w:rsidRPr="00833641" w:rsidRDefault="00833641" w:rsidP="009B1202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r>
        <w:rPr>
          <w:rFonts w:eastAsia="Times New Roman" w:cs="Helvetica"/>
          <w:b/>
          <w:bCs/>
          <w:color w:val="333333"/>
          <w:sz w:val="34"/>
          <w:szCs w:val="34"/>
          <w:lang w:val="bg-BG"/>
        </w:rPr>
        <w:t xml:space="preserve">Съвместно заседание на </w:t>
      </w:r>
      <w:proofErr w:type="gramStart"/>
      <w:r>
        <w:rPr>
          <w:rFonts w:eastAsia="Times New Roman" w:cs="Helvetica"/>
          <w:b/>
          <w:bCs/>
          <w:color w:val="333333"/>
          <w:sz w:val="34"/>
          <w:szCs w:val="34"/>
          <w:lang w:val="bg-BG"/>
        </w:rPr>
        <w:t xml:space="preserve">Съвета на САЩ по финансово-счетоводни стандарти </w:t>
      </w:r>
      <w:r>
        <w:rPr>
          <w:rFonts w:eastAsia="Times New Roman" w:cs="Helvetica"/>
          <w:b/>
          <w:bCs/>
          <w:color w:val="333333"/>
          <w:sz w:val="34"/>
          <w:szCs w:val="34"/>
        </w:rPr>
        <w:t>(</w:t>
      </w:r>
      <w:r w:rsidRPr="000C18DE">
        <w:rPr>
          <w:rFonts w:eastAsia="Times New Roman" w:cs="Helvetica"/>
          <w:b/>
          <w:bCs/>
          <w:color w:val="333333"/>
          <w:sz w:val="34"/>
          <w:szCs w:val="34"/>
        </w:rPr>
        <w:t>FASB</w:t>
      </w:r>
      <w:r>
        <w:rPr>
          <w:rFonts w:eastAsia="Times New Roman" w:cs="Helvetica"/>
          <w:b/>
          <w:bCs/>
          <w:color w:val="333333"/>
          <w:sz w:val="34"/>
          <w:szCs w:val="34"/>
        </w:rPr>
        <w:t>)</w:t>
      </w:r>
      <w:r w:rsidRPr="000C18DE">
        <w:rPr>
          <w:rFonts w:eastAsia="Times New Roman" w:cs="Helvetica"/>
          <w:b/>
          <w:bCs/>
          <w:color w:val="333333"/>
          <w:sz w:val="34"/>
          <w:szCs w:val="34"/>
        </w:rPr>
        <w:t xml:space="preserve"> </w:t>
      </w:r>
      <w:r>
        <w:rPr>
          <w:rFonts w:eastAsia="Times New Roman" w:cs="Helvetica"/>
          <w:b/>
          <w:bCs/>
          <w:color w:val="333333"/>
          <w:sz w:val="34"/>
          <w:szCs w:val="34"/>
          <w:lang w:val="bg-BG"/>
        </w:rPr>
        <w:t>и Съвета</w:t>
      </w:r>
      <w:proofErr w:type="gramEnd"/>
      <w:r>
        <w:rPr>
          <w:rFonts w:eastAsia="Times New Roman" w:cs="Helvetica"/>
          <w:b/>
          <w:bCs/>
          <w:color w:val="333333"/>
          <w:sz w:val="34"/>
          <w:szCs w:val="34"/>
          <w:lang w:val="bg-BG"/>
        </w:rPr>
        <w:t xml:space="preserve"> по международни счетоводни стандарти </w:t>
      </w:r>
      <w:r>
        <w:rPr>
          <w:rFonts w:eastAsia="Times New Roman" w:cs="Helvetica"/>
          <w:b/>
          <w:bCs/>
          <w:color w:val="333333"/>
          <w:sz w:val="34"/>
          <w:szCs w:val="34"/>
        </w:rPr>
        <w:t>(</w:t>
      </w:r>
      <w:r w:rsidR="009B1202" w:rsidRPr="000C18DE">
        <w:rPr>
          <w:rFonts w:eastAsia="Times New Roman" w:cs="Helvetica"/>
          <w:b/>
          <w:bCs/>
          <w:color w:val="333333"/>
          <w:sz w:val="34"/>
          <w:szCs w:val="34"/>
        </w:rPr>
        <w:t>IASB</w:t>
      </w:r>
      <w:r>
        <w:rPr>
          <w:rFonts w:eastAsia="Times New Roman" w:cs="Helvetica"/>
          <w:b/>
          <w:bCs/>
          <w:color w:val="333333"/>
          <w:sz w:val="34"/>
          <w:szCs w:val="34"/>
        </w:rPr>
        <w:t>)</w:t>
      </w:r>
    </w:p>
    <w:p w:rsidR="009B1202" w:rsidRPr="000C18DE" w:rsidRDefault="00833641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23 юли 2019 г. Съветът на САЩ по финансово-счетоводни стандарти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FASB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 срещна със Съвета по международни счетоводни стандарти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за провеждане на образователна сесия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833641" w:rsidP="009B1202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проекта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Съвета на САЩ по финансово-счетоводни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FASB</w:t>
      </w:r>
      <w:r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посветен на отчитането по сегменти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27).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Двата съвета бяха запознати с </w:t>
      </w: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актуална информация във връзка с проекта и обсъдиха обратната информация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целевите подобрения в отчитането по сегменти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Тема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280)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които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на САЩ по финансово-счетоводни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FASB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обмисля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33641" w:rsidP="009B1202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проекта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посветен на основните финансови отчети и проекта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Съвета на САЩ по финансово-счетоводни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FASB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отчитането на финансовите резултати от дейността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21).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Двата съвета бяха запознати с актуална информация и обсъдиха съответно двата проекта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Двата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съвета бяха запознати с плановете на Съвета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по международни 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да публикува проект за обсъждане преди края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2019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833641" w:rsidP="009B1202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проекта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посветен на финансовите инструменти с характеристики на собствен капитал и проекта на Съвета на САЩ по финансово-счетоводни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FASB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>относно разграничаването на пасиви от собствен капитал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5). 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 xml:space="preserve">Двата </w:t>
      </w:r>
      <w:proofErr w:type="gramStart"/>
      <w:r w:rsidR="00FE7D9D">
        <w:rPr>
          <w:rFonts w:eastAsia="Times New Roman" w:cs="Helvetica"/>
          <w:color w:val="575757"/>
          <w:sz w:val="24"/>
          <w:szCs w:val="24"/>
          <w:lang w:val="bg-BG"/>
        </w:rPr>
        <w:t>съвета бяха запознати с информацията, че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САЩ по финансово-счетоводни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FASB</w:t>
      </w:r>
      <w:r>
        <w:rPr>
          <w:rFonts w:eastAsia="Times New Roman" w:cs="Helvetica"/>
          <w:color w:val="575757"/>
          <w:sz w:val="24"/>
          <w:szCs w:val="24"/>
        </w:rPr>
        <w:t>)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>е приключил първоначалните си разисквания и очаква да публикува проект за обсъждане преди края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 xml:space="preserve">Двата </w:t>
      </w:r>
      <w:proofErr w:type="gramStart"/>
      <w:r w:rsidR="00FE7D9D">
        <w:rPr>
          <w:rFonts w:eastAsia="Times New Roman" w:cs="Helvetica"/>
          <w:color w:val="575757"/>
          <w:sz w:val="24"/>
          <w:szCs w:val="24"/>
          <w:lang w:val="bg-BG"/>
        </w:rPr>
        <w:t>съвета бяха запознати с общ преглед на предложенията, съдържащи се в Документа за обсъждане на Съвета</w:t>
      </w:r>
      <w:proofErr w:type="gramEnd"/>
      <w:r w:rsidR="00FE7D9D">
        <w:rPr>
          <w:rFonts w:eastAsia="Times New Roman" w:cs="Helvetica"/>
          <w:color w:val="575757"/>
          <w:sz w:val="24"/>
          <w:szCs w:val="24"/>
          <w:lang w:val="bg-BG"/>
        </w:rPr>
        <w:t xml:space="preserve"> по международни счетоводни стандарти</w:t>
      </w:r>
      <w:r w:rsidR="00FE7D9D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FE7D9D">
        <w:rPr>
          <w:rFonts w:eastAsia="Times New Roman" w:cs="Helvetica"/>
          <w:color w:val="575757"/>
          <w:sz w:val="24"/>
          <w:szCs w:val="24"/>
        </w:rPr>
        <w:t>(</w:t>
      </w:r>
      <w:r w:rsidR="00FE7D9D" w:rsidRPr="000C18DE">
        <w:rPr>
          <w:rFonts w:eastAsia="Times New Roman" w:cs="Helvetica"/>
          <w:color w:val="575757"/>
          <w:sz w:val="24"/>
          <w:szCs w:val="24"/>
        </w:rPr>
        <w:t>IASB</w:t>
      </w:r>
      <w:r w:rsidR="00FE7D9D">
        <w:rPr>
          <w:rFonts w:eastAsia="Times New Roman" w:cs="Helvetica"/>
          <w:color w:val="575757"/>
          <w:sz w:val="24"/>
          <w:szCs w:val="24"/>
        </w:rPr>
        <w:t>)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E7D9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с характеристики на собствен капитал, 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>публикуван през юни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2018 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>г. и обратната информация от заинтересованите страни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>Съветите представиха обратната информация</w:t>
      </w:r>
      <w:r w:rsidR="00EF5230">
        <w:rPr>
          <w:rFonts w:eastAsia="Times New Roman" w:cs="Helvetica"/>
          <w:color w:val="575757"/>
          <w:sz w:val="24"/>
          <w:szCs w:val="24"/>
          <w:lang w:val="bg-BG"/>
        </w:rPr>
        <w:t>, получена</w:t>
      </w:r>
      <w:r w:rsidR="00FE7D9D">
        <w:rPr>
          <w:rFonts w:eastAsia="Times New Roman" w:cs="Helvetica"/>
          <w:color w:val="575757"/>
          <w:sz w:val="24"/>
          <w:szCs w:val="24"/>
          <w:lang w:val="bg-BG"/>
        </w:rPr>
        <w:t xml:space="preserve"> по двата проекта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4B72EB" w:rsidP="009B1202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проекта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, посветен на реформата на референтните лихвени проценти и проекта на </w:t>
      </w:r>
      <w:r w:rsidR="00833641">
        <w:rPr>
          <w:rFonts w:eastAsia="Times New Roman" w:cs="Helvetica"/>
          <w:color w:val="575757"/>
          <w:sz w:val="24"/>
          <w:szCs w:val="24"/>
          <w:lang w:val="bg-BG"/>
        </w:rPr>
        <w:t>Съвета на САЩ по финансово-счетоводни стандарти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</w:rPr>
        <w:t>(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>FASB</w:t>
      </w:r>
      <w:r w:rsidR="00833641">
        <w:rPr>
          <w:rFonts w:eastAsia="Times New Roman" w:cs="Helvetica"/>
          <w:color w:val="575757"/>
          <w:sz w:val="24"/>
          <w:szCs w:val="24"/>
        </w:rPr>
        <w:t>)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реформата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референтните лихвени проценти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(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14).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Двата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съвета бяха запознати с общ преглед на предложенията, съдържащи се в Проекта за обсъждане на Съвета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по международни 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Реформата на референтните лихвени проценти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обратната информация от заинтересованите страни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Двата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съвета бяха запознати с обобщение на взетите в последно време в порядък на работна хипотеза решения на </w:t>
      </w:r>
      <w:r w:rsidR="00833641">
        <w:rPr>
          <w:rFonts w:eastAsia="Times New Roman" w:cs="Helvetica"/>
          <w:color w:val="575757"/>
          <w:sz w:val="24"/>
          <w:szCs w:val="24"/>
          <w:lang w:val="bg-BG"/>
        </w:rPr>
        <w:t>Съвета</w:t>
      </w:r>
      <w:proofErr w:type="gramEnd"/>
      <w:r w:rsidR="00833641">
        <w:rPr>
          <w:rFonts w:eastAsia="Times New Roman" w:cs="Helvetica"/>
          <w:color w:val="575757"/>
          <w:sz w:val="24"/>
          <w:szCs w:val="24"/>
          <w:lang w:val="bg-BG"/>
        </w:rPr>
        <w:t xml:space="preserve"> на САЩ по финансово-счетоводни стандарти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</w:rPr>
        <w:t>(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>FASB</w:t>
      </w:r>
      <w:r w:rsidR="00833641">
        <w:rPr>
          <w:rFonts w:eastAsia="Times New Roman" w:cs="Helvetica"/>
          <w:color w:val="575757"/>
          <w:sz w:val="24"/>
          <w:szCs w:val="24"/>
        </w:rPr>
        <w:t>)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във връзка с проекта, посветен на реформата на референтните лихвени проценти и с плановете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  <w:lang w:val="bg-BG"/>
        </w:rPr>
        <w:t>Съвета на САЩ по финансово-счетоводни стандарти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</w:rPr>
        <w:t>(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>FASB</w:t>
      </w:r>
      <w:r w:rsidR="00833641">
        <w:rPr>
          <w:rFonts w:eastAsia="Times New Roman" w:cs="Helvetica"/>
          <w:color w:val="575757"/>
          <w:sz w:val="24"/>
          <w:szCs w:val="24"/>
        </w:rPr>
        <w:t>)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публикува проект за обсъждане преди края на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2019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4B72EB" w:rsidP="009B1202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проекта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посветен на репутацията и обезценката и проекта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  <w:lang w:val="bg-BG"/>
        </w:rPr>
        <w:t>Съвета на САЩ по финансово-счетоводни стандарти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</w:rPr>
        <w:t>(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>FASB</w:t>
      </w:r>
      <w:r w:rsidR="00833641">
        <w:rPr>
          <w:rFonts w:eastAsia="Times New Roman" w:cs="Helvetica"/>
          <w:color w:val="575757"/>
          <w:sz w:val="24"/>
          <w:szCs w:val="24"/>
        </w:rPr>
        <w:t>)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разграничимите нематериални активи и последващото счетоводно отчитане на репутацията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18).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Двата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съвета бяха запознати с актуална информация по двата проекта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обсъдиха Поканата за предоставяне на коментари на </w:t>
      </w:r>
      <w:r w:rsidR="00833641">
        <w:rPr>
          <w:rFonts w:eastAsia="Times New Roman" w:cs="Helvetica"/>
          <w:color w:val="575757"/>
          <w:sz w:val="24"/>
          <w:szCs w:val="24"/>
          <w:lang w:val="bg-BG"/>
        </w:rPr>
        <w:t>Съвета</w:t>
      </w:r>
      <w:proofErr w:type="gramEnd"/>
      <w:r w:rsidR="00833641">
        <w:rPr>
          <w:rFonts w:eastAsia="Times New Roman" w:cs="Helvetica"/>
          <w:color w:val="575757"/>
          <w:sz w:val="24"/>
          <w:szCs w:val="24"/>
          <w:lang w:val="bg-BG"/>
        </w:rPr>
        <w:t xml:space="preserve"> на САЩ по финансово-счетоводни стандарти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</w:rPr>
        <w:t>(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>FASB</w:t>
      </w:r>
      <w:r w:rsidR="00833641"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както и различни аспекти на своите проекти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:</w:t>
      </w:r>
    </w:p>
    <w:p w:rsidR="009B1202" w:rsidRPr="000C18DE" w:rsidRDefault="004B72EB" w:rsidP="009B1202">
      <w:pPr>
        <w:numPr>
          <w:ilvl w:val="1"/>
          <w:numId w:val="3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подобряване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качеството на оповестяванията относно бизнес комбинациите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;</w:t>
      </w:r>
    </w:p>
    <w:p w:rsidR="009B1202" w:rsidRPr="000C18DE" w:rsidRDefault="004B72EB" w:rsidP="009B1202">
      <w:pPr>
        <w:numPr>
          <w:ilvl w:val="1"/>
          <w:numId w:val="3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амортизиране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репутацията в сравнение с модел на използване единствено на обезценката й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9B1202" w:rsidRPr="000C18DE" w:rsidRDefault="004B72EB" w:rsidP="009B1202">
      <w:pPr>
        <w:numPr>
          <w:ilvl w:val="1"/>
          <w:numId w:val="30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опростяване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на теста за обезценка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4B72EB" w:rsidP="009B1202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Инициативата за оповестяване на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</w:t>
      </w:r>
      <w:r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</w:rPr>
        <w:t>(</w:t>
      </w:r>
      <w:r w:rsidRPr="000C18DE">
        <w:rPr>
          <w:rFonts w:eastAsia="Times New Roman" w:cs="Helvetica"/>
          <w:color w:val="575757"/>
          <w:sz w:val="24"/>
          <w:szCs w:val="24"/>
        </w:rPr>
        <w:t>IASB</w:t>
      </w:r>
      <w:r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—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проекта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целеви преглед на оповестяванията на ниво стандарти и проекта на </w:t>
      </w:r>
      <w:r w:rsidR="00833641">
        <w:rPr>
          <w:rFonts w:eastAsia="Times New Roman" w:cs="Helvetica"/>
          <w:color w:val="575757"/>
          <w:sz w:val="24"/>
          <w:szCs w:val="24"/>
          <w:lang w:val="bg-BG"/>
        </w:rPr>
        <w:t>Съвета на САЩ по финансово-счетоводни стандарти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</w:rPr>
        <w:t>(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>FASB</w:t>
      </w:r>
      <w:r w:rsidR="00833641">
        <w:rPr>
          <w:rFonts w:eastAsia="Times New Roman" w:cs="Helvetica"/>
          <w:color w:val="575757"/>
          <w:sz w:val="24"/>
          <w:szCs w:val="24"/>
        </w:rPr>
        <w:t>)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рамката на оповестяванията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11). </w:t>
      </w:r>
      <w:r>
        <w:rPr>
          <w:rFonts w:eastAsia="Times New Roman" w:cs="Helvetica"/>
          <w:color w:val="575757"/>
          <w:sz w:val="24"/>
          <w:szCs w:val="24"/>
          <w:lang w:val="bg-BG"/>
        </w:rPr>
        <w:t>Двата съвета обмениха опит и обратна информация от заинтересованите страни във връзка с изискванията за оповестяване по отношение на доходи на наети лица и оценяването по справедлива стойност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Двата </w:t>
      </w: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съвета бяха запознати с информация, че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  <w:lang w:val="bg-BG"/>
        </w:rPr>
        <w:t>Съветът</w:t>
      </w:r>
      <w:proofErr w:type="gramEnd"/>
      <w:r w:rsidR="00833641">
        <w:rPr>
          <w:rFonts w:eastAsia="Times New Roman" w:cs="Helvetica"/>
          <w:color w:val="575757"/>
          <w:sz w:val="24"/>
          <w:szCs w:val="24"/>
          <w:lang w:val="bg-BG"/>
        </w:rPr>
        <w:t xml:space="preserve"> на САЩ по финансово-счетоводни стандарти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833641">
        <w:rPr>
          <w:rFonts w:eastAsia="Times New Roman" w:cs="Helvetica"/>
          <w:color w:val="575757"/>
          <w:sz w:val="24"/>
          <w:szCs w:val="24"/>
        </w:rPr>
        <w:t>(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>FASB</w:t>
      </w:r>
      <w:r w:rsidR="00833641">
        <w:rPr>
          <w:rFonts w:eastAsia="Times New Roman" w:cs="Helvetica"/>
          <w:color w:val="575757"/>
          <w:sz w:val="24"/>
          <w:szCs w:val="24"/>
        </w:rPr>
        <w:t>)</w:t>
      </w:r>
      <w:r w:rsidR="00833641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е финализирал измененията в тези изисквания през август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2018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г. и че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C24888">
        <w:rPr>
          <w:rFonts w:eastAsia="Times New Roman" w:cs="Helvetica"/>
          <w:color w:val="575757"/>
          <w:sz w:val="24"/>
          <w:szCs w:val="24"/>
          <w:lang w:val="bg-BG"/>
        </w:rPr>
        <w:t>Съветът по международни счетоводни стандарти</w:t>
      </w:r>
      <w:r w:rsidR="00C24888" w:rsidRPr="000C18DE">
        <w:rPr>
          <w:rFonts w:eastAsia="Times New Roman" w:cs="Helvetica"/>
          <w:color w:val="575757"/>
          <w:sz w:val="24"/>
          <w:szCs w:val="24"/>
        </w:rPr>
        <w:t xml:space="preserve"> </w:t>
      </w:r>
      <w:r w:rsidR="00C24888">
        <w:rPr>
          <w:rFonts w:eastAsia="Times New Roman" w:cs="Helvetica"/>
          <w:color w:val="575757"/>
          <w:sz w:val="24"/>
          <w:szCs w:val="24"/>
        </w:rPr>
        <w:t>(</w:t>
      </w:r>
      <w:r w:rsidR="00C24888" w:rsidRPr="000C18DE">
        <w:rPr>
          <w:rFonts w:eastAsia="Times New Roman" w:cs="Helvetica"/>
          <w:color w:val="575757"/>
          <w:sz w:val="24"/>
          <w:szCs w:val="24"/>
        </w:rPr>
        <w:t>IASB</w:t>
      </w:r>
      <w:r w:rsidR="00C24888">
        <w:rPr>
          <w:rFonts w:eastAsia="Times New Roman" w:cs="Helvetica"/>
          <w:color w:val="575757"/>
          <w:sz w:val="24"/>
          <w:szCs w:val="24"/>
        </w:rPr>
        <w:t>)</w:t>
      </w:r>
      <w:r w:rsidR="00C24888">
        <w:rPr>
          <w:rFonts w:eastAsia="Times New Roman" w:cs="Helvetica"/>
          <w:color w:val="575757"/>
          <w:sz w:val="24"/>
          <w:szCs w:val="24"/>
          <w:lang w:val="bg-BG"/>
        </w:rPr>
        <w:t xml:space="preserve"> обмисля потенциални изменения в светлината на становищата, получени като обратно информация от заинтересованите страни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9B1202" w:rsidRPr="000C18DE" w:rsidRDefault="00C24888" w:rsidP="009B1202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proofErr w:type="gramStart"/>
      <w:r>
        <w:rPr>
          <w:rFonts w:eastAsia="Times New Roman" w:cs="Helvetica"/>
          <w:color w:val="575757"/>
          <w:sz w:val="24"/>
          <w:szCs w:val="24"/>
          <w:lang w:val="bg-BG"/>
        </w:rPr>
        <w:t>съответните</w:t>
      </w:r>
      <w:proofErr w:type="gramEnd"/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дейности, подкрепящи въвеждането и прилагането на стандартите относно признаването на приходи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15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9B1202" w:rsidRP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Тема</w:t>
      </w:r>
      <w:r w:rsidR="009B1202" w:rsidRP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606,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и относно лизинговите договори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(</w:t>
      </w:r>
      <w:r w:rsidR="000C18DE">
        <w:rPr>
          <w:rFonts w:eastAsia="Times New Roman" w:cs="Helvetica"/>
          <w:color w:val="575757"/>
          <w:sz w:val="24"/>
          <w:szCs w:val="24"/>
        </w:rPr>
        <w:t>МСФО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16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Лизинг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Тема</w:t>
      </w:r>
      <w:r w:rsidR="009B1202" w:rsidRPr="000C18DE">
        <w:rPr>
          <w:rFonts w:eastAsia="Times New Roman" w:cs="Helvetica"/>
          <w:i/>
          <w:iCs/>
          <w:color w:val="575757"/>
          <w:sz w:val="24"/>
          <w:szCs w:val="24"/>
        </w:rPr>
        <w:t xml:space="preserve"> 842,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) (</w:t>
      </w:r>
      <w:r w:rsidR="000C18DE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 xml:space="preserve"> 12).</w:t>
      </w:r>
    </w:p>
    <w:p w:rsidR="009B1202" w:rsidRPr="000C18DE" w:rsidRDefault="00833641" w:rsidP="009B1202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От двата съвета не бе поискано да вземат каквито и да е решения</w:t>
      </w:r>
      <w:r w:rsidR="009B1202" w:rsidRPr="000C18DE">
        <w:rPr>
          <w:rFonts w:eastAsia="Times New Roman" w:cs="Helvetica"/>
          <w:color w:val="575757"/>
          <w:sz w:val="24"/>
          <w:szCs w:val="24"/>
        </w:rPr>
        <w:t>.</w:t>
      </w:r>
    </w:p>
    <w:p w:rsidR="00D42B8A" w:rsidRPr="000C18DE" w:rsidRDefault="00D42B8A"/>
    <w:sectPr w:rsidR="00D42B8A" w:rsidRPr="000C18DE" w:rsidSect="003F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AC0"/>
    <w:multiLevelType w:val="multilevel"/>
    <w:tmpl w:val="AC70BAA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02A3"/>
    <w:multiLevelType w:val="multilevel"/>
    <w:tmpl w:val="CE4CD18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94FD0"/>
    <w:multiLevelType w:val="multilevel"/>
    <w:tmpl w:val="17DCD3C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C1EDA"/>
    <w:multiLevelType w:val="multilevel"/>
    <w:tmpl w:val="79648BC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5EC1"/>
    <w:multiLevelType w:val="multilevel"/>
    <w:tmpl w:val="21D2E1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A788A"/>
    <w:multiLevelType w:val="multilevel"/>
    <w:tmpl w:val="80EC416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42785"/>
    <w:multiLevelType w:val="multilevel"/>
    <w:tmpl w:val="452E83A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72889"/>
    <w:multiLevelType w:val="multilevel"/>
    <w:tmpl w:val="5C4AFD2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B1031"/>
    <w:multiLevelType w:val="multilevel"/>
    <w:tmpl w:val="5C98B4A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5207A"/>
    <w:multiLevelType w:val="multilevel"/>
    <w:tmpl w:val="A8D6B51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33ACE"/>
    <w:multiLevelType w:val="multilevel"/>
    <w:tmpl w:val="01CC28A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50CCB"/>
    <w:multiLevelType w:val="multilevel"/>
    <w:tmpl w:val="F05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E712B"/>
    <w:multiLevelType w:val="multilevel"/>
    <w:tmpl w:val="5D8C163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A2928"/>
    <w:multiLevelType w:val="multilevel"/>
    <w:tmpl w:val="E32A689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56C06"/>
    <w:multiLevelType w:val="multilevel"/>
    <w:tmpl w:val="6E7E3DC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87BDB"/>
    <w:multiLevelType w:val="multilevel"/>
    <w:tmpl w:val="30B63E6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87439"/>
    <w:multiLevelType w:val="multilevel"/>
    <w:tmpl w:val="3A10CE4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F7FDF"/>
    <w:multiLevelType w:val="multilevel"/>
    <w:tmpl w:val="AD8E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D0DE0"/>
    <w:multiLevelType w:val="multilevel"/>
    <w:tmpl w:val="A85A053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37728"/>
    <w:multiLevelType w:val="multilevel"/>
    <w:tmpl w:val="1D48943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046AE"/>
    <w:multiLevelType w:val="multilevel"/>
    <w:tmpl w:val="56C40E8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C39DF"/>
    <w:multiLevelType w:val="multilevel"/>
    <w:tmpl w:val="CED6970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D55F8"/>
    <w:multiLevelType w:val="multilevel"/>
    <w:tmpl w:val="040A454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E7AF3"/>
    <w:multiLevelType w:val="multilevel"/>
    <w:tmpl w:val="339406C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51E1B"/>
    <w:multiLevelType w:val="multilevel"/>
    <w:tmpl w:val="7D38695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20E6D"/>
    <w:multiLevelType w:val="multilevel"/>
    <w:tmpl w:val="520C07F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11ED0"/>
    <w:multiLevelType w:val="multilevel"/>
    <w:tmpl w:val="EF8EB58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138D8"/>
    <w:multiLevelType w:val="multilevel"/>
    <w:tmpl w:val="0E0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9A61C8"/>
    <w:multiLevelType w:val="multilevel"/>
    <w:tmpl w:val="6FC448C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14143"/>
    <w:multiLevelType w:val="multilevel"/>
    <w:tmpl w:val="EE6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9"/>
  </w:num>
  <w:num w:numId="10">
    <w:abstractNumId w:val="2"/>
  </w:num>
  <w:num w:numId="11">
    <w:abstractNumId w:val="21"/>
  </w:num>
  <w:num w:numId="12">
    <w:abstractNumId w:val="22"/>
  </w:num>
  <w:num w:numId="13">
    <w:abstractNumId w:val="24"/>
  </w:num>
  <w:num w:numId="14">
    <w:abstractNumId w:val="14"/>
  </w:num>
  <w:num w:numId="15">
    <w:abstractNumId w:val="17"/>
  </w:num>
  <w:num w:numId="16">
    <w:abstractNumId w:val="6"/>
  </w:num>
  <w:num w:numId="17">
    <w:abstractNumId w:val="28"/>
  </w:num>
  <w:num w:numId="18">
    <w:abstractNumId w:val="15"/>
  </w:num>
  <w:num w:numId="19">
    <w:abstractNumId w:val="4"/>
  </w:num>
  <w:num w:numId="20">
    <w:abstractNumId w:val="7"/>
  </w:num>
  <w:num w:numId="21">
    <w:abstractNumId w:val="3"/>
  </w:num>
  <w:num w:numId="22">
    <w:abstractNumId w:val="25"/>
  </w:num>
  <w:num w:numId="23">
    <w:abstractNumId w:val="16"/>
  </w:num>
  <w:num w:numId="24">
    <w:abstractNumId w:val="18"/>
  </w:num>
  <w:num w:numId="25">
    <w:abstractNumId w:val="8"/>
  </w:num>
  <w:num w:numId="26">
    <w:abstractNumId w:val="9"/>
  </w:num>
  <w:num w:numId="27">
    <w:abstractNumId w:val="23"/>
  </w:num>
  <w:num w:numId="28">
    <w:abstractNumId w:val="1"/>
  </w:num>
  <w:num w:numId="29">
    <w:abstractNumId w:val="2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B1202"/>
    <w:rsid w:val="000117EA"/>
    <w:rsid w:val="000625F7"/>
    <w:rsid w:val="000834F6"/>
    <w:rsid w:val="000837AC"/>
    <w:rsid w:val="000C18DE"/>
    <w:rsid w:val="000D48CF"/>
    <w:rsid w:val="000E28A9"/>
    <w:rsid w:val="001143EE"/>
    <w:rsid w:val="00165260"/>
    <w:rsid w:val="001E4FB7"/>
    <w:rsid w:val="002300A4"/>
    <w:rsid w:val="00252171"/>
    <w:rsid w:val="00270F7F"/>
    <w:rsid w:val="002B4752"/>
    <w:rsid w:val="00317D85"/>
    <w:rsid w:val="0036463B"/>
    <w:rsid w:val="003E684B"/>
    <w:rsid w:val="003F2DBD"/>
    <w:rsid w:val="004152D9"/>
    <w:rsid w:val="00472D50"/>
    <w:rsid w:val="00480AEE"/>
    <w:rsid w:val="00485119"/>
    <w:rsid w:val="004A0ED0"/>
    <w:rsid w:val="004B72EB"/>
    <w:rsid w:val="004C1FDB"/>
    <w:rsid w:val="004C482E"/>
    <w:rsid w:val="00587815"/>
    <w:rsid w:val="005D6869"/>
    <w:rsid w:val="006342C7"/>
    <w:rsid w:val="006548C6"/>
    <w:rsid w:val="00694A7E"/>
    <w:rsid w:val="00697007"/>
    <w:rsid w:val="006B0923"/>
    <w:rsid w:val="006C5A5D"/>
    <w:rsid w:val="006E14BE"/>
    <w:rsid w:val="00747C65"/>
    <w:rsid w:val="00766ACE"/>
    <w:rsid w:val="007A1778"/>
    <w:rsid w:val="007D441B"/>
    <w:rsid w:val="007D6EB4"/>
    <w:rsid w:val="00814B63"/>
    <w:rsid w:val="00825E65"/>
    <w:rsid w:val="00833641"/>
    <w:rsid w:val="00847323"/>
    <w:rsid w:val="00870530"/>
    <w:rsid w:val="008C7D78"/>
    <w:rsid w:val="008F04A3"/>
    <w:rsid w:val="008F11B3"/>
    <w:rsid w:val="00914DE5"/>
    <w:rsid w:val="00934F7F"/>
    <w:rsid w:val="00955004"/>
    <w:rsid w:val="00967B85"/>
    <w:rsid w:val="009730F0"/>
    <w:rsid w:val="009B022B"/>
    <w:rsid w:val="009B1202"/>
    <w:rsid w:val="009D5CCA"/>
    <w:rsid w:val="009F552B"/>
    <w:rsid w:val="00A4034F"/>
    <w:rsid w:val="00A54A49"/>
    <w:rsid w:val="00A551EF"/>
    <w:rsid w:val="00A6368E"/>
    <w:rsid w:val="00AD29E8"/>
    <w:rsid w:val="00AF60F8"/>
    <w:rsid w:val="00B3560B"/>
    <w:rsid w:val="00C06980"/>
    <w:rsid w:val="00C24888"/>
    <w:rsid w:val="00C42CF4"/>
    <w:rsid w:val="00C84F3A"/>
    <w:rsid w:val="00C96430"/>
    <w:rsid w:val="00CE7E67"/>
    <w:rsid w:val="00D42B8A"/>
    <w:rsid w:val="00E20711"/>
    <w:rsid w:val="00EB1CA3"/>
    <w:rsid w:val="00EB56FA"/>
    <w:rsid w:val="00EF5230"/>
    <w:rsid w:val="00F1214F"/>
    <w:rsid w:val="00F20F66"/>
    <w:rsid w:val="00F5419A"/>
    <w:rsid w:val="00FD1572"/>
    <w:rsid w:val="00FE1FAD"/>
    <w:rsid w:val="00FE6F83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4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uly-2019/" TargetMode="External"/><Relationship Id="rId13" Type="http://schemas.openxmlformats.org/officeDocument/2006/relationships/hyperlink" Target="https://www.ifrs.org/news-and-events/updates/iasb-updates/july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uly-2019/" TargetMode="External"/><Relationship Id="rId12" Type="http://schemas.openxmlformats.org/officeDocument/2006/relationships/hyperlink" Target="https://www.ifrs.org/news-and-events/updates/iasb-updates/july-201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uly-2019/" TargetMode="External"/><Relationship Id="rId11" Type="http://schemas.openxmlformats.org/officeDocument/2006/relationships/hyperlink" Target="https://www.ifrs.org/news-and-events/updates/iasb-updates/july-2019/" TargetMode="External"/><Relationship Id="rId5" Type="http://schemas.openxmlformats.org/officeDocument/2006/relationships/hyperlink" Target="https://www.ifrs.org/news-and-events/updates/iasb-updates/july-2019/" TargetMode="External"/><Relationship Id="rId15" Type="http://schemas.openxmlformats.org/officeDocument/2006/relationships/hyperlink" Target="https://www.ifrs.org/news-and-events/updates/iasb-updates/july-2019/" TargetMode="External"/><Relationship Id="rId10" Type="http://schemas.openxmlformats.org/officeDocument/2006/relationships/hyperlink" Target="https://www.ifrs.org/news-and-events/updates/iasb-updates/july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july-2019/" TargetMode="External"/><Relationship Id="rId14" Type="http://schemas.openxmlformats.org/officeDocument/2006/relationships/hyperlink" Target="https://www.ifrs.org/news-and-events/updates/iasb-updates/july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6295</Words>
  <Characters>36774</Characters>
  <Application>Microsoft Office Word</Application>
  <DocSecurity>0</DocSecurity>
  <Lines>707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17</cp:revision>
  <dcterms:created xsi:type="dcterms:W3CDTF">2019-09-02T07:02:00Z</dcterms:created>
  <dcterms:modified xsi:type="dcterms:W3CDTF">2019-09-04T04:18:00Z</dcterms:modified>
</cp:coreProperties>
</file>