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71" w:rsidRPr="00356823" w:rsidRDefault="00937771" w:rsidP="00937771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356823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IASB Update June 2019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937771" w:rsidRPr="00356823" w:rsidRDefault="00356823" w:rsidP="00937771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(IASB) – </w:t>
      </w:r>
      <w:r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юни</w:t>
      </w:r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2019 г.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</w:t>
      </w:r>
      <w:r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BD72B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BD72B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BD72BD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</w:t>
      </w:r>
      <w:r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BD72B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</w:t>
      </w:r>
      <w:r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Interpretation Committee)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br/>
      </w:r>
      <w:r w:rsidR="00937771" w:rsidRPr="00356823">
        <w:rPr>
          <w:rFonts w:eastAsia="Times New Roman" w:cs="Helvetica"/>
          <w:color w:val="575757"/>
          <w:sz w:val="24"/>
          <w:szCs w:val="24"/>
        </w:rPr>
        <w:br/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заседания от 1</w:t>
      </w:r>
      <w:r>
        <w:rPr>
          <w:rFonts w:eastAsia="Times New Roman" w:cs="Helvetica"/>
          <w:color w:val="575757"/>
          <w:sz w:val="24"/>
          <w:szCs w:val="24"/>
          <w:lang w:val="bg-BG"/>
        </w:rPr>
        <w:t>7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понеделник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, до 1</w:t>
      </w:r>
      <w:r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сряда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, в офисите на Фондация МСФО в Лондон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5" w:anchor="1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Дейности с регулирани </w:t>
        </w:r>
        <w:r w:rsidR="00EE222C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цени</w:t>
        </w:r>
      </w:hyperlink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Репутация и обезценка</w:t>
        </w:r>
      </w:hyperlink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4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и актуализация на стандарта за МСП</w:t>
        </w:r>
      </w:hyperlink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9" w:anchor="5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0" w:anchor="6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937771" w:rsidRPr="00356823" w:rsidRDefault="00D81042" w:rsidP="009377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1" w:anchor="7" w:history="1"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Въпроси, свързани с въвеждането и прилагането на стандартите</w:t>
        </w:r>
        <w:r w:rsidR="00937771" w:rsidRPr="00356823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Имоти, машини и съоръжения</w:t>
        </w:r>
        <w:r w:rsidR="00937771" w:rsidRPr="0035682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: </w:t>
        </w:r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постъпления преди предвидената употреба</w:t>
        </w:r>
        <w:r w:rsidR="00937771" w:rsidRPr="0035682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5F469E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937771" w:rsidRPr="0035682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356823">
          <w:rPr>
            <w:rFonts w:eastAsia="Times New Roman" w:cs="Helvetica"/>
            <w:color w:val="CD3333"/>
            <w:sz w:val="24"/>
            <w:szCs w:val="24"/>
            <w:u w:val="single"/>
          </w:rPr>
          <w:t>МСС</w:t>
        </w:r>
        <w:r w:rsidR="00937771" w:rsidRPr="0035682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16)</w:t>
        </w:r>
      </w:hyperlink>
    </w:p>
    <w:p w:rsidR="00937771" w:rsidRPr="00356823" w:rsidRDefault="00356823" w:rsidP="00937771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937771" w:rsidRPr="00356823" w:rsidRDefault="00356823" w:rsidP="00937771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Предстоящи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заседания на Съвета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937771" w:rsidP="00937771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 xml:space="preserve">22–26 </w:t>
      </w:r>
      <w:r w:rsidR="00356823"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35682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937771" w:rsidRPr="00356823" w:rsidRDefault="00937771" w:rsidP="00937771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 xml:space="preserve">23–27 </w:t>
      </w:r>
      <w:r w:rsidR="00356823"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35682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937771" w:rsidRPr="00356823" w:rsidRDefault="00937771" w:rsidP="00937771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 xml:space="preserve">21–25 </w:t>
      </w:r>
      <w:r w:rsidR="00356823"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356823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937771" w:rsidRPr="00356823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Основни финансови отчети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356823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21)</w:t>
      </w:r>
      <w:bookmarkEnd w:id="0"/>
    </w:p>
    <w:p w:rsidR="00937771" w:rsidRPr="00356823" w:rsidRDefault="005F469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7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AF685E" w:rsidP="009377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класифициране на курсови разлики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,</w:t>
      </w:r>
      <w:r w:rsidR="00D17BE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както и </w:t>
      </w:r>
      <w:r w:rsidR="00D17BE2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печалби и загуби по деривативи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отчета или отчетите за финансовите резултати от дейността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AF685E" w:rsidP="009377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класифициране на разходи, свързани с инвестиции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AF685E" w:rsidP="009377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ефект по отношение </w:t>
      </w:r>
      <w:r w:rsidR="00D17BE2">
        <w:rPr>
          <w:rFonts w:eastAsia="Times New Roman" w:cs="Helvetica"/>
          <w:color w:val="575757"/>
          <w:sz w:val="24"/>
          <w:szCs w:val="24"/>
          <w:lang w:val="bg-BG"/>
        </w:rPr>
        <w:t>данъка върху печалбата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свързан с оценките на ръководството за резултатите от дейността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AF685E" w:rsidP="009377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разлики между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оценките на ръководството за резултатите от дейността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сегментните оценки за печалбата или загубата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AF685E" w:rsidP="009377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изисквания </w:t>
      </w:r>
      <w:r w:rsidR="00D17BE2">
        <w:rPr>
          <w:rFonts w:eastAsia="Times New Roman" w:cs="Helvetica"/>
          <w:color w:val="575757"/>
          <w:sz w:val="24"/>
          <w:szCs w:val="24"/>
          <w:lang w:val="bg-BG"/>
        </w:rPr>
        <w:t>при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преход и дата на влизане в сила на нов или изменен стандарт, произтичащ от проекта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AF685E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Класифициране на курсови </w:t>
      </w:r>
      <w:r w:rsidR="00D17BE2"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разлики</w:t>
      </w:r>
      <w:r w:rsidR="00D17BE2"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,</w:t>
      </w:r>
      <w:r w:rsidR="00D17BE2"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както</w:t>
      </w:r>
      <w:r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и </w:t>
      </w:r>
      <w:r w:rsidR="00D17BE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на </w:t>
      </w:r>
      <w:r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печалби и загуби по деривативи</w:t>
      </w:r>
      <w:r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, </w:t>
      </w:r>
      <w:r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 отчета или отчетите за финансовите резултати от дейността</w:t>
      </w:r>
      <w:r w:rsidRPr="00AF685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8E4C6C" w:rsidP="0093777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E4C6C">
        <w:rPr>
          <w:rFonts w:eastAsia="Times New Roman" w:cs="Helvetica"/>
          <w:color w:val="575757"/>
          <w:sz w:val="24"/>
          <w:szCs w:val="24"/>
          <w:lang w:val="bg-BG"/>
        </w:rPr>
        <w:t>да поясни, че от предприятието се изисква да класифицира валутните курсови разлики, включени в печалбата или загубата, в същите раздели на отчета или отчетите за финансовите резултати от дейността, както</w:t>
      </w:r>
      <w:r w:rsidR="00937771" w:rsidRPr="008E4C6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E4C6C">
        <w:rPr>
          <w:rFonts w:eastAsia="Times New Roman" w:cs="Helvetica"/>
          <w:color w:val="575757"/>
          <w:sz w:val="24"/>
          <w:szCs w:val="24"/>
          <w:lang w:val="bg-BG"/>
        </w:rPr>
        <w:t>приходите и разходите,</w:t>
      </w:r>
      <w:r w:rsidR="00937771" w:rsidRPr="008E4C6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E4C6C">
        <w:rPr>
          <w:rFonts w:eastAsia="Times New Roman" w:cs="Helvetica"/>
          <w:color w:val="575757"/>
          <w:sz w:val="24"/>
          <w:szCs w:val="24"/>
          <w:lang w:val="bg-BG"/>
        </w:rPr>
        <w:t>произтичащи от позициите, породили валутните курсови разлики</w:t>
      </w:r>
      <w:r w:rsidR="00937771" w:rsidRPr="008E4C6C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8E4C6C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49562B" w:rsidRDefault="008E4C6C" w:rsidP="0093777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по отношение на финансови инструменти, определени като хеджиращи инструменти в съответствие с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49562B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39 </w:t>
      </w:r>
      <w:r w:rsidR="006D2AB5" w:rsidRPr="0049562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937771" w:rsidRPr="0049562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6D2AB5" w:rsidRPr="0049562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признаване и оценяване </w:t>
      </w:r>
      <w:r w:rsidR="006D2AB5" w:rsidRPr="0049562B">
        <w:rPr>
          <w:rFonts w:eastAsia="Times New Roman" w:cs="Helvetica"/>
          <w:color w:val="575757"/>
          <w:sz w:val="24"/>
          <w:szCs w:val="24"/>
          <w:lang w:val="bg-BG"/>
        </w:rPr>
        <w:t>или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49562B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="006D2AB5" w:rsidRPr="0049562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класифицира печалбите и загубите, включени в печалбата или загубата по тези хеджиращи инструменти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49562B" w:rsidRDefault="008E4C6C" w:rsidP="00937771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в оперативния раздел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ако инструментът се използва за управление на рисковете, свързани с основните бизнес дейности на предприятието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с изключение на случаите, когато това би изисквало брутно представяне на печалбите и загубите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937771" w:rsidRPr="0049562B" w:rsidRDefault="008E4C6C" w:rsidP="00937771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в раздела за финансирания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ако инструментът се използва за управление на рисковете, свързани с дейностите по финансиране на предприятието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с изключение на случаите, когато това би изисквало брутно представяне на печалбите и загубите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937771" w:rsidRPr="0049562B" w:rsidRDefault="008E4C6C" w:rsidP="00937771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в инвестиционния раздел във всички останали случаи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включително при обстоятелствата, изложени в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подточки 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(i)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 xml:space="preserve"> (ii) </w:t>
      </w:r>
      <w:r w:rsidRPr="0049562B">
        <w:rPr>
          <w:rFonts w:eastAsia="Times New Roman" w:cs="Helvetica"/>
          <w:color w:val="575757"/>
          <w:sz w:val="24"/>
          <w:szCs w:val="24"/>
          <w:lang w:val="bg-BG"/>
        </w:rPr>
        <w:t>по-горе, касаещи брутното представяне на печалбите и загубите</w:t>
      </w:r>
      <w:r w:rsidR="00937771" w:rsidRPr="0049562B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5F7F2F" w:rsidP="00937771">
      <w:pPr>
        <w:shd w:val="clear" w:color="auto" w:fill="FFFFFF"/>
        <w:spacing w:after="300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49562B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Всичките четиринадесет членове на Съвета изразиха 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D17BE2">
      <w:pPr>
        <w:ind w:left="426" w:hanging="426"/>
      </w:pPr>
      <w:r>
        <w:t>(</w:t>
      </w:r>
      <w:r>
        <w:rPr>
          <w:lang w:val="bg-BG"/>
        </w:rPr>
        <w:t>в</w:t>
      </w:r>
      <w:r w:rsidRPr="00D17BE2">
        <w:rPr>
          <w:rFonts w:eastAsia="Times New Roman" w:cs="Helvetica"/>
          <w:color w:val="575757"/>
          <w:sz w:val="24"/>
          <w:szCs w:val="24"/>
        </w:rPr>
        <w:t xml:space="preserve">) </w:t>
      </w:r>
      <w:r w:rsidR="00D17BE2">
        <w:rPr>
          <w:rFonts w:eastAsia="Times New Roman" w:cs="Helvetica"/>
          <w:color w:val="575757"/>
          <w:sz w:val="24"/>
          <w:szCs w:val="24"/>
          <w:lang w:val="bg-BG"/>
        </w:rPr>
        <w:tab/>
      </w:r>
      <w:proofErr w:type="gramStart"/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предприятието да възприеме класифицирането, изложено в точка 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по-горе и по отношение на печалбите и загубите, включени в печалбата или загубата по дериватив</w:t>
      </w:r>
      <w:r w:rsidR="00EE222C">
        <w:rPr>
          <w:rFonts w:eastAsia="Times New Roman" w:cs="Helvetica"/>
          <w:color w:val="575757"/>
          <w:sz w:val="24"/>
          <w:szCs w:val="24"/>
          <w:lang w:val="bg-BG"/>
        </w:rPr>
        <w:t>, който не е определен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освен в случаите, когато такава класификация би включвала необосновани разходи или усилия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В такива случаи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класифицира печалбите и загубите по дериватива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D72DC" w:rsidRPr="005D72DC">
        <w:rPr>
          <w:rFonts w:eastAsia="Times New Roman" w:cs="Helvetica"/>
          <w:color w:val="575757"/>
          <w:sz w:val="24"/>
          <w:szCs w:val="24"/>
          <w:lang w:val="bg-BG"/>
        </w:rPr>
        <w:t>в инвестиционния раздел</w:t>
      </w:r>
      <w:r w:rsidR="00937771" w:rsidRPr="005D72DC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5D72DC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356823">
        <w:t>.</w:t>
      </w:r>
    </w:p>
    <w:p w:rsidR="00937771" w:rsidRPr="00356823" w:rsidRDefault="00356823" w:rsidP="00D17BE2">
      <w:pPr>
        <w:ind w:left="426" w:hanging="426"/>
      </w:pPr>
      <w:r>
        <w:t>(</w:t>
      </w:r>
      <w:r>
        <w:rPr>
          <w:lang w:val="bg-BG"/>
        </w:rPr>
        <w:t>г</w:t>
      </w:r>
      <w:r>
        <w:t xml:space="preserve">) </w:t>
      </w:r>
      <w:r w:rsidR="00D17BE2">
        <w:rPr>
          <w:lang w:val="bg-BG"/>
        </w:rPr>
        <w:tab/>
      </w:r>
      <w:proofErr w:type="gramStart"/>
      <w:r w:rsidR="00BA08B7" w:rsidRPr="00BA08B7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="00BA08B7" w:rsidRPr="00BA08B7">
        <w:rPr>
          <w:rFonts w:eastAsia="Times New Roman" w:cs="Helvetica"/>
          <w:color w:val="575757"/>
          <w:sz w:val="24"/>
          <w:szCs w:val="24"/>
          <w:lang w:val="bg-BG"/>
        </w:rPr>
        <w:t xml:space="preserve"> поясни, че от предприятието се изисква да класифицира печалбите и загубите, включени в печалбата или загубата по неопределен недеривативен финансов инструмент в съответствие с дефинициите на разделите, възприети от Съвета</w:t>
      </w:r>
      <w:r w:rsidR="00937771" w:rsidRPr="00BA08B7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BA08B7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356823">
        <w:t>.</w:t>
      </w:r>
    </w:p>
    <w:p w:rsidR="00937771" w:rsidRPr="00356823" w:rsidRDefault="00AF685E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Разходи от инвестиции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A08B7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937771" w:rsidRPr="00BA08B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8B7" w:rsidRPr="00BA08B7">
        <w:rPr>
          <w:rFonts w:eastAsia="Times New Roman" w:cs="Helvetica"/>
          <w:color w:val="575757"/>
          <w:sz w:val="24"/>
          <w:szCs w:val="24"/>
          <w:lang w:val="bg-BG"/>
        </w:rPr>
        <w:t>да включи допълнителните диференцирани разходи, свързани с инвестициите на предприятието в инвестиционния раздел на отчета или отчетите за финансовите резултати от дейността</w:t>
      </w:r>
      <w:r w:rsidR="00937771" w:rsidRPr="00BA08B7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BA08B7" w:rsidRPr="00BA08B7">
        <w:rPr>
          <w:rFonts w:eastAsia="Times New Roman" w:cs="Helvetica"/>
          <w:color w:val="575757"/>
          <w:sz w:val="24"/>
          <w:szCs w:val="24"/>
          <w:lang w:val="bg-BG"/>
        </w:rPr>
        <w:t xml:space="preserve">Допълнителните диференцирани разходи са тези разходи, които предприятието не би </w:t>
      </w:r>
      <w:r w:rsidR="00BA08B7">
        <w:rPr>
          <w:rFonts w:eastAsia="Times New Roman" w:cs="Helvetica"/>
          <w:color w:val="575757"/>
          <w:sz w:val="24"/>
          <w:szCs w:val="24"/>
          <w:lang w:val="bg-BG"/>
        </w:rPr>
        <w:t>понесло</w:t>
      </w:r>
      <w:r w:rsidR="00BA08B7" w:rsidRPr="00BA08B7">
        <w:rPr>
          <w:rFonts w:eastAsia="Times New Roman" w:cs="Helvetica"/>
          <w:color w:val="575757"/>
          <w:sz w:val="24"/>
          <w:szCs w:val="24"/>
          <w:lang w:val="bg-BG"/>
        </w:rPr>
        <w:t>, ако не е била направена съответната инвестиция.</w:t>
      </w:r>
      <w:r w:rsidR="00937771" w:rsidRPr="00BA08B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F7F2F" w:rsidRPr="00BA08B7">
        <w:rPr>
          <w:rFonts w:eastAsia="Times New Roman" w:cs="Helvetica"/>
          <w:color w:val="575757"/>
          <w:sz w:val="24"/>
          <w:szCs w:val="24"/>
          <w:lang w:val="bg-BG"/>
        </w:rPr>
        <w:t>Девет от четиринадесетте членове на Съвета изразиха съгласие, а петима - несъгласие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AF685E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Определяне на</w:t>
      </w:r>
      <w:r w:rsidR="00937771" w:rsidRPr="00D17BE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ефекта по отношение </w:t>
      </w:r>
      <w:r w:rsidR="00D17BE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данъка върху печалбата от корекции в</w:t>
      </w:r>
      <w:r w:rsidR="00937771" w:rsidRPr="00D17BE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D17BE2" w:rsidRPr="00D17BE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оценките на ръководството за резултатите от дейността</w:t>
      </w:r>
      <w:r w:rsidR="00D17BE2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 w:rsidR="00D17BE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91623" w:rsidRDefault="00356823" w:rsidP="00D17BE2">
      <w:pPr>
        <w:shd w:val="clear" w:color="auto" w:fill="FFFFFF"/>
        <w:tabs>
          <w:tab w:val="left" w:pos="7150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>:</w:t>
      </w:r>
      <w:r w:rsidR="00D17BE2" w:rsidRPr="00391623">
        <w:rPr>
          <w:rFonts w:eastAsia="Times New Roman" w:cs="Helvetica"/>
          <w:color w:val="575757"/>
          <w:sz w:val="24"/>
          <w:szCs w:val="24"/>
          <w:lang w:val="bg-BG"/>
        </w:rPr>
        <w:tab/>
      </w:r>
    </w:p>
    <w:p w:rsidR="00937771" w:rsidRPr="00356823" w:rsidRDefault="00391623" w:rsidP="00937771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да посочи, че ефектът по отношение данъка върху печалбата от позиции, равняващи оценката на ръководството за резултатите от дейността с най-близкия като пряка съпоставимост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сбор или междинен сбор, дефиниран от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39162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бъде определен на базата на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разумно пропорционално разпределение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на текущите и отсрочените данъци на предприятието в съответната данъчна юрисдикция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или посредством друг метод, който постига по-целесъобразно разпределение при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конкретните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обстоятелства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391623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BA08B7" w:rsidRDefault="00391623" w:rsidP="00E67E75">
      <w:pPr>
        <w:numPr>
          <w:ilvl w:val="0"/>
          <w:numId w:val="6"/>
        </w:numPr>
        <w:shd w:val="clear" w:color="auto" w:fill="FFFFFF"/>
        <w:spacing w:before="75" w:after="300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оповестява как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при конкретните обстоятелства, е определен ефектът по отношение данъка върху печалбата от корекциите в оценката на ръководството за резултатите от дейността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="00BA08B7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F7F2F" w:rsidRPr="0039162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BA08B7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91623" w:rsidRDefault="00D17BE2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9162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Разлики между оценките на ръководството за резултатите от дейността и сегментните оценки за печалбата или загубата </w:t>
      </w:r>
      <w:r w:rsidR="00937771" w:rsidRPr="003916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356823" w:rsidRPr="003916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937771" w:rsidRPr="003916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21</w:t>
      </w:r>
      <w:r w:rsidRPr="003916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37771" w:rsidRPr="003916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91623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91623" w:rsidRPr="00391623">
        <w:rPr>
          <w:rFonts w:eastAsia="Times New Roman" w:cs="Helvetica"/>
          <w:color w:val="575757"/>
          <w:sz w:val="24"/>
          <w:szCs w:val="24"/>
          <w:lang w:val="bg-BG"/>
        </w:rPr>
        <w:t>да не изисква предприятието да оповестява как и защо оценка на ръководството за резултатите от дейността се различава от сбора на оценките за печалбата или загубата на подлежащите на отчитане сегменти на предприятието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>. (</w:t>
      </w:r>
      <w:r w:rsidR="00391623" w:rsidRPr="00391623">
        <w:rPr>
          <w:rFonts w:eastAsia="Times New Roman" w:cs="Helvetica"/>
          <w:color w:val="575757"/>
          <w:sz w:val="24"/>
          <w:szCs w:val="24"/>
          <w:lang w:val="bg-BG"/>
        </w:rPr>
        <w:t>Това решение заменя предходно противоположно решение на Съвета</w:t>
      </w:r>
      <w:r w:rsidR="00937771" w:rsidRPr="00391623">
        <w:rPr>
          <w:rFonts w:eastAsia="Times New Roman" w:cs="Helvetica"/>
          <w:color w:val="575757"/>
          <w:sz w:val="24"/>
          <w:szCs w:val="24"/>
          <w:lang w:val="bg-BG"/>
        </w:rPr>
        <w:t xml:space="preserve">.) </w:t>
      </w:r>
      <w:r w:rsidR="005F7F2F" w:rsidRPr="00391623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D17BE2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D17BE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Изисквания при преход и дата на влизане в сила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2830BD" w:rsidRDefault="002830BD" w:rsidP="00937771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прилага общите изисквания, отнасящи се до ретроспективното прилагане на промени в счетоводните политики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съгласно изложеното в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2830BD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="006D2AB5" w:rsidRPr="002830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 промени в счетоводните приблизителни оценки и грешки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по отношение на новите изисквания, произтичащи от този проект, както следва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2830BD" w:rsidRDefault="002830BD" w:rsidP="00937771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изисквания, различни от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тези по отношение на необичайни позиции и оценки на ръководството за резултатите от дейността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2830B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2830BD" w:rsidRDefault="002830BD" w:rsidP="00937771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изисквания по отношение на необичайни позиции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2830BD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2830BD" w:rsidRDefault="002830BD" w:rsidP="00937771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изисквания по отношение на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оценки на ръководството за резултатите от дейността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B3EC5" w:rsidRPr="002830BD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шестима - несъгласие с това решение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2830BD" w:rsidRDefault="002830BD" w:rsidP="00937771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да предостави период за въвеждане от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 18–24 </w:t>
      </w:r>
      <w:r w:rsidRPr="002830BD">
        <w:rPr>
          <w:rFonts w:eastAsia="Times New Roman" w:cs="Helvetica"/>
          <w:color w:val="575757"/>
          <w:sz w:val="24"/>
          <w:szCs w:val="24"/>
          <w:lang w:val="bg-BG"/>
        </w:rPr>
        <w:t>месеца, считано от датата на издаване на нов или изменен стандарт или стандарти, произтичащи от този проект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2830BD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937771" w:rsidRPr="002830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37771" w:rsidRPr="00356823" w:rsidRDefault="00D17BE2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разрешение да се пристъпи към процедурата по гласуване на проекта за обсъждане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> </w:t>
      </w:r>
    </w:p>
    <w:p w:rsidR="00937771" w:rsidRPr="00356823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356823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9)</w:t>
      </w:r>
      <w:bookmarkEnd w:id="1"/>
    </w:p>
    <w:p w:rsidR="00937771" w:rsidRPr="00356823" w:rsidRDefault="00E73172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Образователна сесия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 w:rsidRPr="00E731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5F469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7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</w:t>
      </w:r>
      <w:r w:rsidR="00E73172">
        <w:rPr>
          <w:rFonts w:eastAsia="Times New Roman" w:cs="Helvetica"/>
          <w:color w:val="575757"/>
          <w:sz w:val="24"/>
          <w:szCs w:val="24"/>
          <w:lang w:val="bg-BG"/>
        </w:rPr>
        <w:t>заседава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проведе образователна сесия, посветена на проекта относно дейностите с регулирани цени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. </w:t>
      </w:r>
      <w:r w:rsidR="00E73172">
        <w:rPr>
          <w:rFonts w:eastAsia="Times New Roman" w:cs="Helvetica"/>
          <w:color w:val="575757"/>
          <w:sz w:val="24"/>
          <w:szCs w:val="24"/>
          <w:lang w:val="bg-BG"/>
        </w:rPr>
        <w:t>Сесията обобщи основните различия между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5461D0" w:rsidP="00937771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предложенията по отношение на счетоводния модел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„моделът“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който се разработва за регулаторните активи и регулаторните пасиви, възникващи когато предприятие, обект на регулация с дефиниране на цените, доставя стоки или услуги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5461D0" w:rsidP="00937771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изискванията, съдържащи се в Тема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980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Регулирани дейности от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Кодификацията на счетоводните стандарти </w:t>
      </w:r>
      <w:r w:rsidRPr="005461D0">
        <w:rPr>
          <w:rFonts w:eastAsia="Times New Roman" w:cs="Helvetica"/>
          <w:iCs/>
          <w:color w:val="575757"/>
          <w:sz w:val="24"/>
          <w:szCs w:val="24"/>
          <w:lang w:val="bg-BG"/>
        </w:rPr>
        <w:t>на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Съвета по финансово-счетоводни стандарти на САЩ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E73172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Пакет предложения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5461D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Документи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9A-9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18 юни 2019 г. Съветът </w:t>
      </w:r>
      <w:r w:rsidR="005461D0">
        <w:rPr>
          <w:rFonts w:eastAsia="Times New Roman" w:cs="Helvetica"/>
          <w:color w:val="575757"/>
          <w:sz w:val="24"/>
          <w:szCs w:val="24"/>
          <w:lang w:val="bg-BG"/>
        </w:rPr>
        <w:t>отново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проведе заседание, за да обсъди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5461D0">
        <w:rPr>
          <w:rFonts w:eastAsia="Times New Roman" w:cs="Helvetica"/>
          <w:color w:val="575757"/>
          <w:sz w:val="24"/>
          <w:szCs w:val="24"/>
          <w:lang w:val="bg-BG"/>
        </w:rPr>
        <w:t>допълнителен анализ на принципите, стоящи в основата на модела в отговор на становищата, получени като обратна информация от заседанието на Съвета през май 2019 г.</w:t>
      </w:r>
    </w:p>
    <w:p w:rsidR="00937771" w:rsidRPr="00356823" w:rsidRDefault="005461D0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Документ</w:t>
      </w:r>
      <w:r w:rsidR="00356823">
        <w:rPr>
          <w:rFonts w:eastAsia="Times New Roman" w:cs="Helvetica"/>
          <w:color w:val="575757"/>
          <w:sz w:val="24"/>
          <w:szCs w:val="24"/>
        </w:rPr>
        <w:t xml:space="preserve"> по програмата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9</w:t>
      </w:r>
      <w:r>
        <w:rPr>
          <w:rFonts w:eastAsia="Times New Roman" w:cs="Helvetica"/>
          <w:color w:val="575757"/>
          <w:sz w:val="24"/>
          <w:szCs w:val="24"/>
          <w:lang w:val="bg-BG"/>
        </w:rPr>
        <w:t>Ж представи обобщение на взетите до момента в порядък на работна хипотеза решения на Съвета и как те биха били засегнати от препоръките на екипа, обсъждани на това заседание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5461D0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Общи принципи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,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включително обхват и дефиниции на регулаторни активи и регулаторни пасиви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Документи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9A-9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05914">
        <w:rPr>
          <w:rFonts w:eastAsia="Times New Roman" w:cs="Helvetica"/>
          <w:color w:val="575757"/>
          <w:sz w:val="24"/>
          <w:szCs w:val="24"/>
          <w:lang w:val="bg-BG"/>
        </w:rPr>
        <w:t>Съветът обсъди</w:t>
      </w:r>
      <w:r w:rsidR="00937771" w:rsidRPr="009059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05914" w:rsidRPr="00905914">
        <w:rPr>
          <w:rFonts w:eastAsia="Times New Roman" w:cs="Helvetica"/>
          <w:color w:val="575757"/>
          <w:sz w:val="24"/>
          <w:szCs w:val="24"/>
          <w:lang w:val="bg-BG"/>
        </w:rPr>
        <w:t xml:space="preserve">прецизирано описание на диференцираните права и диференцираните задължения, възникващи когато предприятието доставя стоки или услуги в един период, но </w:t>
      </w:r>
      <w:r w:rsidR="00905914">
        <w:rPr>
          <w:rFonts w:eastAsia="Times New Roman" w:cs="Helvetica"/>
          <w:color w:val="575757"/>
          <w:sz w:val="24"/>
          <w:szCs w:val="24"/>
          <w:lang w:val="bg-BG"/>
        </w:rPr>
        <w:t>начислява</w:t>
      </w:r>
      <w:r w:rsidR="00905914" w:rsidRPr="00905914">
        <w:rPr>
          <w:rFonts w:eastAsia="Times New Roman" w:cs="Helvetica"/>
          <w:color w:val="575757"/>
          <w:sz w:val="24"/>
          <w:szCs w:val="24"/>
          <w:lang w:val="bg-BG"/>
        </w:rPr>
        <w:t xml:space="preserve"> на клиентите част или цялото позволено възнаграждение чрез регулираната цена или цени в различен период</w:t>
      </w:r>
      <w:r w:rsidR="00937771" w:rsidRPr="00905914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356823" w:rsidRPr="00905914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905914" w:rsidP="00937771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актуализира обхвата на модела, за да отрази прецизираното описание и да потвърди, че счетоводният модел следва да се прилага по отношение на регулация с дефиниране на цените, установена посредством формална регулаторна рамка, която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905914" w:rsidP="009377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 обвързваща както за предприятието, така и за регулаторния орган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905914" w:rsidP="009377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установява база за определяне на цената/тарифата, която поражда права на предприятието да добавя суми към, както и задължения да приспада суми от, бъдеща цена или цени поради вече доставени стоки или услуги или поради суми, които вече са били начислени на клиентите.</w:t>
      </w:r>
    </w:p>
    <w:p w:rsidR="00937771" w:rsidRPr="00356823" w:rsidRDefault="00905914" w:rsidP="00937771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905914">
        <w:rPr>
          <w:rFonts w:eastAsia="Times New Roman" w:cs="Helvetica"/>
          <w:color w:val="575757"/>
          <w:sz w:val="24"/>
          <w:szCs w:val="24"/>
          <w:lang w:val="bg-BG"/>
        </w:rPr>
        <w:t xml:space="preserve">да актуализира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дефинициите на регулаторни активи и регулаторни пасиви, за да отрази прецизираното описание, както следва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905914" w:rsidP="009377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Регулаторен актив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—</w:t>
      </w:r>
      <w:r w:rsidR="00063055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настоящото право да се добави сума към цената/цените, които ще бъдат начислени на клиентите в бъдещи периоди, тъй като цялото </w:t>
      </w:r>
      <w:r w:rsidR="0006305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позволено възнаграждение за вече доставените стоки или услуги надхвърля сумата, която вече е начислена на клиентите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 w:rsidR="0006305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905914" w:rsidP="009377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Регулаторен пасив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—</w:t>
      </w:r>
      <w:r w:rsidR="00063055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настоящото задължение да се приспадне сума от цената/цените, </w:t>
      </w:r>
      <w:r w:rsidR="00063055" w:rsidRPr="00063055">
        <w:rPr>
          <w:rFonts w:eastAsia="Times New Roman" w:cs="Helvetica"/>
          <w:color w:val="575757"/>
          <w:sz w:val="24"/>
          <w:szCs w:val="24"/>
          <w:lang w:val="bg-BG"/>
        </w:rPr>
        <w:t xml:space="preserve">които ще бъдат начислени на клиентите в бъдещи периоди, тъй като цялото позволено възнаграждение за вече доставените стоки или услуги </w:t>
      </w:r>
      <w:r w:rsidR="00063055">
        <w:rPr>
          <w:rFonts w:eastAsia="Times New Roman" w:cs="Helvetica"/>
          <w:color w:val="575757"/>
          <w:sz w:val="24"/>
          <w:szCs w:val="24"/>
          <w:lang w:val="bg-BG"/>
        </w:rPr>
        <w:t>е по-малко от</w:t>
      </w:r>
      <w:r w:rsidR="00063055" w:rsidRPr="00063055">
        <w:rPr>
          <w:rFonts w:eastAsia="Times New Roman" w:cs="Helvetica"/>
          <w:color w:val="575757"/>
          <w:sz w:val="24"/>
          <w:szCs w:val="24"/>
          <w:lang w:val="bg-BG"/>
        </w:rPr>
        <w:t xml:space="preserve"> сумата, която вече е начислена на клиентите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 w:rsidR="0006305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063055" w:rsidP="00937771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разработва специални изисквания за отписване на регулаторни активи и регулаторни пасиви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за глоби, налагани на предприятието, които са платими чрез приспадане от цената/цените, начислявани на клиентите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063055" w:rsidRDefault="005F7F2F" w:rsidP="00937771">
      <w:pPr>
        <w:shd w:val="clear" w:color="auto" w:fill="FFFFFF"/>
        <w:spacing w:after="300" w:line="240" w:lineRule="auto"/>
        <w:ind w:left="375"/>
        <w:rPr>
          <w:rFonts w:eastAsia="Times New Roman" w:cs="Helvetica"/>
          <w:color w:val="575757"/>
          <w:sz w:val="24"/>
          <w:szCs w:val="24"/>
          <w:lang w:val="bg-BG"/>
        </w:rPr>
      </w:pPr>
      <w:r w:rsidRPr="0006305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937771" w:rsidRPr="0006305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063055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6305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също така в порядък на работна хипотеза </w:t>
      </w:r>
      <w:r w:rsidR="00063055" w:rsidRPr="00063055">
        <w:rPr>
          <w:rFonts w:eastAsia="Times New Roman" w:cs="Helvetica"/>
          <w:color w:val="575757"/>
          <w:sz w:val="24"/>
          <w:szCs w:val="24"/>
          <w:lang w:val="bg-BG"/>
        </w:rPr>
        <w:t>да потвърди, че моделът ще използва като счетоводно отчитана единица</w:t>
      </w:r>
      <w:r w:rsidR="00937771" w:rsidRPr="0006305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3055" w:rsidRPr="00063055">
        <w:rPr>
          <w:rFonts w:eastAsia="Times New Roman" w:cs="Helvetica"/>
          <w:color w:val="575757"/>
          <w:sz w:val="24"/>
          <w:szCs w:val="24"/>
          <w:lang w:val="bg-BG"/>
        </w:rPr>
        <w:t>диференцираните права и задължения, произтичащи от отделните времеви разлики</w:t>
      </w:r>
      <w:r w:rsidR="00937771" w:rsidRPr="0006305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063055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63055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937771" w:rsidRPr="0006305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063055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Оценяване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Документи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–9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AA61F2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Съветът обсъди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A61F2" w:rsidRPr="00AA61F2">
        <w:rPr>
          <w:rFonts w:eastAsia="Times New Roman" w:cs="Helvetica"/>
          <w:color w:val="575757"/>
          <w:sz w:val="24"/>
          <w:szCs w:val="24"/>
          <w:lang w:val="bg-BG"/>
        </w:rPr>
        <w:t>актуализиран анализ на принципите за оценяване в модела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AA61F2" w:rsidRPr="00AA61F2">
        <w:rPr>
          <w:rFonts w:eastAsia="Times New Roman" w:cs="Helvetica"/>
          <w:color w:val="575757"/>
          <w:sz w:val="24"/>
          <w:szCs w:val="24"/>
          <w:lang w:val="bg-BG"/>
        </w:rPr>
        <w:t>заедно с преработените препоръки относно това как предприятието да избере дисконтов процент.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AA61F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AA61F2" w:rsidRDefault="00AA61F2" w:rsidP="00937771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че предприятието ще използва предложената в модела техника за оценяване на базата на паричните потоци, за да оценява всички регулаторни активи и регулаторни пасиви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с изключение на тези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разгледани отделно по-долу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които са свързани с разходи или приходи, които ще бъдат включени или приспаднати от бъдещата цена/цени, когато паричните средства се плащат или получават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937771" w:rsidRPr="00AA61F2" w:rsidRDefault="00AA61F2" w:rsidP="00937771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да поясни, че при прилагането на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предложената в модела техника за оценяване на базата на паричните потоци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A61F2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</w:t>
      </w:r>
      <w:r w:rsidR="00937771" w:rsidRPr="00AA61F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356823" w:rsidRDefault="00AA61F2" w:rsidP="00937771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включи приблизителна оценка на всички бъдещи парични потоци, произтичащи от регулаторен актив или регулаторен пасив, включително паричните потоци, свързани с регулаторната лихва или регулаторната възвръщаемост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475229" w:rsidRDefault="00AA61F2" w:rsidP="00937771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да дисконтира тези приблизително оценени бъдещи парични потоци до тяхната настояща стойност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Ако предприятието оцени, че регулаторният лихвен процент или норма на възвръщаемост е адекватна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то следва да използва този процент/норма като дисконтов процент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475229" w:rsidRDefault="00AA61F2" w:rsidP="00937771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че моделът не следва да включва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475229" w:rsidRDefault="00AA61F2" w:rsidP="00937771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отделна стъпка, която да изисква предприятието да оцени дали ефектът от стойността на парите във времето и от несигурността, вътрешноприсъща на паричните потоци, </w:t>
      </w:r>
      <w:r w:rsidR="00475229" w:rsidRPr="00475229">
        <w:rPr>
          <w:rFonts w:eastAsia="Times New Roman" w:cs="Helvetica"/>
          <w:color w:val="575757"/>
          <w:sz w:val="24"/>
          <w:szCs w:val="24"/>
          <w:lang w:val="bg-BG"/>
        </w:rPr>
        <w:t>е съществен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937771" w:rsidRPr="00475229" w:rsidRDefault="00AA61F2" w:rsidP="00937771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практически целесъобразна мярка, която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75229" w:rsidRPr="00475229">
        <w:rPr>
          <w:rFonts w:eastAsia="Times New Roman" w:cs="Helvetica"/>
          <w:color w:val="575757"/>
          <w:sz w:val="24"/>
          <w:szCs w:val="24"/>
          <w:lang w:val="bg-BG"/>
        </w:rPr>
        <w:t>да отстрани необходимостта от дисконтиране, ако не е вероятно ефектът от времето и рисковете да е съществен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5F7F2F" w:rsidP="00937771">
      <w:pPr>
        <w:shd w:val="clear" w:color="auto" w:fill="FFFFFF"/>
        <w:spacing w:after="300" w:line="240" w:lineRule="auto"/>
        <w:ind w:left="375"/>
        <w:rPr>
          <w:rFonts w:eastAsia="Times New Roman" w:cs="Helvetica"/>
          <w:color w:val="575757"/>
          <w:sz w:val="24"/>
          <w:szCs w:val="24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475229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475229" w:rsidRPr="00475229">
        <w:rPr>
          <w:rFonts w:eastAsia="Times New Roman" w:cs="Helvetica"/>
          <w:color w:val="575757"/>
          <w:sz w:val="24"/>
          <w:szCs w:val="24"/>
          <w:lang w:val="bg-BG"/>
        </w:rPr>
        <w:t>, че моделът следва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475229" w:rsidRDefault="00475229" w:rsidP="0093777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да използва базиран на индикатори подход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за оценяване дали регулаторният лихвен процент или норма на възвръщаемост е адекватна, за да компенсира или начисли на предприятието стойността на парите във времето и несигурността, вътрешноприсъща на паричните потоци, възникващи от регулаторния актив или регулаторния пасив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475229" w:rsidRDefault="00475229" w:rsidP="0093777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да включва насоки относно индикаторите, които да бъдат взети под внимание при извършването на тази оценка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475229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- несъгласие с тези решения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475229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937771" w:rsidRPr="0047522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356823" w:rsidRDefault="00475229" w:rsidP="0093777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ако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ограничени обстоятелства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 xml:space="preserve">регулаторният лихвен процент или норма на възвръщаемост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не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е адекватна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475229">
        <w:rPr>
          <w:rFonts w:eastAsia="Times New Roman" w:cs="Helvetica"/>
          <w:color w:val="575757"/>
          <w:sz w:val="24"/>
          <w:szCs w:val="24"/>
          <w:lang w:val="bg-BG"/>
        </w:rPr>
        <w:t>за да компенсира или начисли на предприятието стойността на парите във времето и несигурността, вътрешноприсъща на паричните потоци, възникващи от регулаторния актив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да следва да определи „минимален процент/норма”, която да използва като дисконтов процент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475229" w:rsidP="0093777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моделът следва да посочва, че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„минималният процент/норма” е процент/норма, която предприятието ще очаква да получи за </w:t>
      </w:r>
      <w:r w:rsidR="00BB219F">
        <w:rPr>
          <w:rFonts w:eastAsia="Times New Roman" w:cs="Helvetica"/>
          <w:color w:val="575757"/>
          <w:sz w:val="24"/>
          <w:szCs w:val="24"/>
          <w:lang w:val="bg-BG"/>
        </w:rPr>
        <w:t>поредицата парични потоци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BB219F">
        <w:rPr>
          <w:rFonts w:eastAsia="Times New Roman" w:cs="Helvetica"/>
          <w:color w:val="575757"/>
          <w:sz w:val="24"/>
          <w:szCs w:val="24"/>
          <w:lang w:val="bg-BG"/>
        </w:rPr>
        <w:t>със същите времеви характеристики и несигурност, както тези на регулаторния актив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 w:rsidR="00BB219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BB219F" w:rsidRDefault="00BB219F" w:rsidP="0093777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ако</w:t>
      </w: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, при ограничени обстоятелства, регулаторният лихвен процент или норма на възвръщаемост осигурява превишено компенсиране или превишено начисляване за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стойността на парите във времето и несигурността, вътрешноприсъща на паричните потоци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BB219F" w:rsidRDefault="00BB219F" w:rsidP="00937771">
      <w:pPr>
        <w:numPr>
          <w:ilvl w:val="1"/>
          <w:numId w:val="1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да признае незабавно това превишение като регулаторен приход или регулаторен разход, ако то произтича от разграничима сделка или друго събитие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като например, присъждане на бонус или налагането на санкция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но</w:t>
      </w:r>
    </w:p>
    <w:p w:rsidR="00937771" w:rsidRPr="00BB219F" w:rsidRDefault="00BB219F" w:rsidP="00937771">
      <w:pPr>
        <w:numPr>
          <w:ilvl w:val="1"/>
          <w:numId w:val="1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да използва регулаторния лихвен процент или норма на възвръщаемост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като дисконтов процент, ако това превишение не произтича от разграничима сделка или друго събитие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BB219F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B219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в порядък на работна хипотеза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B219F" w:rsidRPr="00BB219F">
        <w:rPr>
          <w:rFonts w:eastAsia="Times New Roman" w:cs="Helvetica"/>
          <w:color w:val="575757"/>
          <w:sz w:val="24"/>
          <w:szCs w:val="24"/>
          <w:lang w:val="bg-BG"/>
        </w:rPr>
        <w:t>да опише базираната на паричните потоци техника за оценяване като прилагане на база за оценяване на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B219F" w:rsidRPr="00BB219F">
        <w:rPr>
          <w:rFonts w:eastAsia="Times New Roman" w:cs="Helvetica"/>
          <w:color w:val="575757"/>
          <w:sz w:val="24"/>
          <w:szCs w:val="24"/>
          <w:lang w:val="bg-BG"/>
        </w:rPr>
        <w:t>модифицирана историческа стойност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BB219F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B219F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937771" w:rsidRPr="00BB219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454A56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По отношение на някои регулаторни активи и регулаторни пасиви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разходите или приходите ще бъдат включени или приспаднати от бъдещата цена/цени, когато паричните средства бъдат платени или получени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но свързаните с тях пасиви и активи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се признават и оценяват с помощта на изискванията в други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454A5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454A5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, че предприятието следва да оценява тези регулаторни активи и регулаторни пасиви като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454A56" w:rsidRDefault="00454A56" w:rsidP="009377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използва същата база за оценяване, която предприятието използва при оценяване на съответния пасив или съответния актив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454A56" w:rsidRDefault="00454A56" w:rsidP="009377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коригира оценката на регулаторния актив или регулаторния пасив, за да отрази несигурност, която не е налице в съответния пасив или съответния актив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454A56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454A56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тези решения</w:t>
      </w:r>
      <w:r w:rsidR="00937771" w:rsidRPr="00454A5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454A56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Представяне и оповестяване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обсъди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7D0B0F">
        <w:rPr>
          <w:rFonts w:eastAsia="Times New Roman" w:cs="Helvetica"/>
          <w:color w:val="575757"/>
          <w:sz w:val="24"/>
          <w:szCs w:val="24"/>
          <w:lang w:val="bg-BG"/>
        </w:rPr>
        <w:t>актуализиран анализ относно представянето на регулаторни приходи и регулаторни разходи и относно информационната стойност на оповестяванията във връзка 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7D0B0F">
        <w:rPr>
          <w:rFonts w:eastAsia="Times New Roman" w:cs="Helvetica"/>
          <w:color w:val="575757"/>
          <w:sz w:val="24"/>
          <w:szCs w:val="24"/>
          <w:lang w:val="bg-BG"/>
        </w:rPr>
        <w:t>регулаторни приходи и регулаторни разходи, произтичащи от регулаторна лихва или регулаторна възвръщаемост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  <w:r w:rsidR="007D0B0F">
        <w:rPr>
          <w:rFonts w:eastAsia="Times New Roman" w:cs="Helvetica"/>
          <w:color w:val="575757"/>
          <w:sz w:val="24"/>
          <w:szCs w:val="24"/>
          <w:lang w:val="bg-BG"/>
        </w:rPr>
        <w:t xml:space="preserve"> Съветът, в порядък на работна хипотеза,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7D0B0F" w:rsidP="009377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реши, че предприятието следва да представя в друг всеобхватен доход всички регулаторни приходи и регулаторни разходи, свързани с позиции от приходи и разходи, представени в друг всеобхватен доход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да ги представя незабавно над или непосредствено под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съответния приход или разход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7D0B0F" w:rsidP="009377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потвърди, че предприятието следва да представя в печалбата или загубата всички други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регулаторни приходи и регулаторни разходи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непосредствено под позицията или позициите на отделен ред за приходи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7D0B0F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0B0F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шестима - несъгласие с това решение</w:t>
      </w:r>
      <w:r w:rsidR="00937771" w:rsidRPr="007D0B0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7D0B0F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0B0F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7D0B0F" w:rsidRPr="007D0B0F">
        <w:rPr>
          <w:rFonts w:eastAsia="Times New Roman" w:cs="Helvetica"/>
          <w:color w:val="575757"/>
          <w:sz w:val="24"/>
          <w:szCs w:val="24"/>
          <w:lang w:val="bg-BG"/>
        </w:rPr>
        <w:t>, че предприятието следва да оповестява регулаторна лихва или регулаторна възвръщаемост, произтичаща от регулаторни активи или регулаторни пасиви, като отдел раздел/рубрика в</w:t>
      </w:r>
      <w:r w:rsidR="00937771" w:rsidRPr="007D0B0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7D0B0F" w:rsidRDefault="007D0B0F" w:rsidP="00937771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D0B0F">
        <w:rPr>
          <w:rFonts w:eastAsia="Times New Roman" w:cs="Helvetica"/>
          <w:color w:val="575757"/>
          <w:sz w:val="24"/>
          <w:szCs w:val="24"/>
          <w:lang w:val="bg-BG"/>
        </w:rPr>
        <w:t>разбивката на регулаторните приходи или регулаторните разходи за периода</w:t>
      </w:r>
      <w:r w:rsidR="00937771" w:rsidRPr="007D0B0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D0B0F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937771" w:rsidRPr="007D0B0F" w:rsidRDefault="007D0B0F" w:rsidP="00937771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D0B0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равнението на балансовите стойности на регулаторните активи и регулаторните пасиви от началото до края на периода</w:t>
      </w:r>
      <w:r w:rsidR="00937771" w:rsidRPr="007D0B0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7D0B0F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0B0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7D0B0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7D0B0F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0B0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937771" w:rsidRPr="00356823" w:rsidRDefault="007D0B0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приключи обсъжданията на модела през трето тримесечие на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2019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когато се очаква екипът да поиска разрешение да пристъпи към</w:t>
      </w:r>
      <w:r w:rsidR="00D770DA">
        <w:rPr>
          <w:rFonts w:eastAsia="Times New Roman" w:cs="Helvetica"/>
          <w:color w:val="575757"/>
          <w:sz w:val="24"/>
          <w:szCs w:val="24"/>
          <w:lang w:val="bg-BG"/>
        </w:rPr>
        <w:t xml:space="preserve"> изготвяне на чернова на проект за обсъждане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  <w:r w:rsidR="00D770DA">
        <w:rPr>
          <w:rFonts w:eastAsia="Times New Roman" w:cs="Helvetica"/>
          <w:color w:val="575757"/>
          <w:sz w:val="24"/>
          <w:szCs w:val="24"/>
          <w:lang w:val="bg-BG"/>
        </w:rPr>
        <w:t xml:space="preserve"> Съветът очаква публикуване на консултационния документ през първото тримесечие на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D770DA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> </w:t>
      </w:r>
    </w:p>
    <w:p w:rsidR="00937771" w:rsidRPr="00356823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356823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18)</w:t>
      </w:r>
      <w:bookmarkEnd w:id="2"/>
    </w:p>
    <w:p w:rsidR="00937771" w:rsidRPr="00356823" w:rsidRDefault="005F469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вземе решение </w:t>
      </w:r>
      <w:r w:rsidR="00945BF5">
        <w:rPr>
          <w:rFonts w:eastAsia="Times New Roman" w:cs="Helvetica"/>
          <w:color w:val="575757"/>
          <w:sz w:val="24"/>
          <w:szCs w:val="24"/>
          <w:lang w:val="bg-BG"/>
        </w:rPr>
        <w:t>във връзка с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предварителните си виждания относно това какво да бъде включено в предстоящия да бъде публикуван документ за обсъждане по проекта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C67614" w:rsidRDefault="00C67614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C67614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По-добри оповестявания относно бизнес комбинациите </w:t>
      </w:r>
      <w:r w:rsidR="00937771" w:rsidRPr="00C67614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356823" w:rsidRPr="00C67614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937771" w:rsidRPr="00C67614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18A)</w:t>
      </w:r>
    </w:p>
    <w:p w:rsidR="00937771" w:rsidRPr="00C67614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Съветът достигна до предварителното виждане, че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67614" w:rsidRPr="00C67614">
        <w:rPr>
          <w:rFonts w:eastAsia="Times New Roman" w:cs="Helvetica"/>
          <w:color w:val="575757"/>
          <w:sz w:val="24"/>
          <w:szCs w:val="24"/>
          <w:lang w:val="bg-BG"/>
        </w:rPr>
        <w:t>следва да разработи предложение, което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C67614" w:rsidRDefault="00C67614" w:rsidP="00937771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да подобри целите на оповестяването в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67614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3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C6761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с </w:t>
      </w:r>
      <w:r w:rsidR="00D81042">
        <w:rPr>
          <w:rFonts w:eastAsia="Times New Roman" w:cs="Helvetica"/>
          <w:color w:val="575757"/>
          <w:sz w:val="24"/>
          <w:szCs w:val="24"/>
          <w:lang w:val="bg-BG"/>
        </w:rPr>
        <w:t>оглед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да помогне на потребителите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на финансовите отчети да оценят резултатите от дейността на придобития бизнес след бизнес комбинацията</w:t>
      </w:r>
      <w:r w:rsidR="00937771" w:rsidRPr="00C6761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;</w:t>
      </w:r>
    </w:p>
    <w:p w:rsidR="00937771" w:rsidRPr="00C67614" w:rsidRDefault="00C67614" w:rsidP="00937771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оповестяват информация, имаща за цел да посочи дали целите на бизнес комбинацията се постигат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C67614" w:rsidRDefault="00C67614" w:rsidP="00937771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оповестяват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C67614" w:rsidRDefault="00C67614" w:rsidP="00937771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сумата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или диапазона от суми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на очакваните синергии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937771" w:rsidRPr="00C67614" w:rsidRDefault="00C67614" w:rsidP="00937771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пасиви</w:t>
      </w:r>
      <w:bookmarkStart w:id="3" w:name="_GoBack"/>
      <w:bookmarkEnd w:id="3"/>
      <w:r w:rsidRPr="00C67614">
        <w:rPr>
          <w:rFonts w:eastAsia="Times New Roman" w:cs="Helvetica"/>
          <w:color w:val="575757"/>
          <w:sz w:val="24"/>
          <w:szCs w:val="24"/>
          <w:lang w:val="bg-BG"/>
        </w:rPr>
        <w:t>, произтичащи от дейности по финансиране и поети пенсионни задължения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C67614" w:rsidRDefault="00C67614" w:rsidP="00937771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приходи, оперативна печалба или загуба на придобиваното предприятие преди разходите по сделки, свързани с придобиването и разходите за интегриране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както и паричните потоци от оперативна дейност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след датата на придобиване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C67614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C67614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достигна до предварителното виждане, че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67614" w:rsidRPr="00C67614">
        <w:rPr>
          <w:rFonts w:eastAsia="Times New Roman" w:cs="Helvetica"/>
          <w:color w:val="575757"/>
          <w:sz w:val="24"/>
          <w:szCs w:val="24"/>
          <w:lang w:val="bg-BG"/>
        </w:rPr>
        <w:t>следва да разработи предложение, което да изисква оповестяване на информацията, която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67614" w:rsidRPr="00C67614">
        <w:rPr>
          <w:rFonts w:eastAsia="Times New Roman" w:cs="Helvetica"/>
          <w:color w:val="575757"/>
          <w:sz w:val="24"/>
          <w:szCs w:val="24"/>
          <w:lang w:val="bg-BG"/>
        </w:rPr>
        <w:t>ръководителят на предприятието, вземащ главните оперативни решения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67614" w:rsidRPr="00C67614">
        <w:rPr>
          <w:rFonts w:eastAsia="Times New Roman" w:cs="Helvetica"/>
          <w:color w:val="575757"/>
          <w:sz w:val="24"/>
          <w:szCs w:val="24"/>
          <w:lang w:val="bg-BG"/>
        </w:rPr>
        <w:t>както е дефиниран от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67614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="006D2AB5" w:rsidRPr="00C67614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Оперативни сегменти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67614" w:rsidRPr="00C67614">
        <w:rPr>
          <w:rFonts w:eastAsia="Times New Roman" w:cs="Helvetica"/>
          <w:color w:val="575757"/>
          <w:sz w:val="24"/>
          <w:szCs w:val="24"/>
          <w:lang w:val="bg-BG"/>
        </w:rPr>
        <w:t>използва, за да оцени степента, в която целите на бизнес комбинацията се постигат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C67614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C67614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C6761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446F2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Съветът достигна до предварителното виждане, че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67614" w:rsidRPr="003446F2">
        <w:rPr>
          <w:rFonts w:eastAsia="Times New Roman" w:cs="Helvetica"/>
          <w:color w:val="575757"/>
          <w:sz w:val="24"/>
          <w:szCs w:val="24"/>
          <w:lang w:val="bg-BG"/>
        </w:rPr>
        <w:t>не следва да предлага заменяне на параграф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67614" w:rsidRPr="003446F2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>64(</w:t>
      </w:r>
      <w:r w:rsidR="003446F2" w:rsidRPr="003446F2">
        <w:rPr>
          <w:rFonts w:eastAsia="Times New Roman" w:cs="Helvetica"/>
          <w:color w:val="575757"/>
          <w:sz w:val="24"/>
          <w:szCs w:val="24"/>
          <w:lang w:val="bg-BG"/>
        </w:rPr>
        <w:t>р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)(ii) </w:t>
      </w:r>
      <w:r w:rsidR="003446F2" w:rsidRPr="003446F2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3446F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3</w:t>
      </w:r>
      <w:r w:rsidR="003446F2" w:rsidRPr="003446F2">
        <w:rPr>
          <w:rFonts w:eastAsia="Times New Roman" w:cs="Helvetica"/>
          <w:color w:val="575757"/>
          <w:sz w:val="24"/>
          <w:szCs w:val="24"/>
          <w:lang w:val="bg-BG"/>
        </w:rPr>
        <w:t>, който изисква оповестяване на приходите и печалбата или загубата на комбинираното предприятие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446F2" w:rsidRPr="003446F2">
        <w:rPr>
          <w:rFonts w:eastAsia="Times New Roman" w:cs="Helvetica"/>
          <w:color w:val="575757"/>
          <w:sz w:val="24"/>
          <w:szCs w:val="24"/>
          <w:lang w:val="bg-BG"/>
        </w:rPr>
        <w:t>за текущия отчетен период, така сякаш датата на придобиване за всички бизнес комбинации, осъществени през годината, е била към началото на годишния отчетен период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446F2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Девет от четиринадесетте членове на Съвета изразиха съгласие, а петима - несъгласие с това решение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446F2" w:rsidRDefault="003446F2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Съветът реши да включи в документа за обсъждане коментар на отхвърленото предложение да замени параграф Б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>64(</w:t>
      </w: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р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)(ii) </w:t>
      </w: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3446F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3. </w:t>
      </w:r>
      <w:r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Това предложение се фокусира върху предоставянето на информация, която да помогне на потребителите да разберат целогодишния ефект от бизнес комбинациите,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които са </w:t>
      </w: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осъществени близо до края на отчетния период или които включват бизнес с подчертано сезонен характер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446F2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3446F2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Повторно въвеждане на амортизацията на репутацията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446F2">
        <w:rPr>
          <w:rFonts w:eastAsia="Times New Roman" w:cs="Helvetica"/>
          <w:color w:val="575757"/>
          <w:sz w:val="24"/>
          <w:szCs w:val="24"/>
          <w:lang w:val="bg-BG"/>
        </w:rPr>
        <w:t>Съветът достигна до предварителното виждане, че</w:t>
      </w:r>
      <w:r w:rsidR="00937771" w:rsidRPr="003446F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446F2" w:rsidRPr="003446F2">
        <w:rPr>
          <w:rFonts w:eastAsia="Times New Roman" w:cs="Helvetica"/>
          <w:color w:val="575757"/>
          <w:sz w:val="24"/>
          <w:szCs w:val="24"/>
          <w:lang w:val="bg-BG"/>
        </w:rPr>
        <w:t>следва да запази съществуващия понастоящем модел единствено на обезценката при последващо счетоводно отчитане на репутацията, вместо да разработва предложение, което да въведе повторно амортизация на репутацията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7D1AF6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Доколкото обаче само осем от четиринадесетте членове на Съвета изразиха 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,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а шестима – несъгласие, документът за обсъждане ще опише аргументите и за двата подхода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7D1AF6" w:rsidRDefault="007D1AF6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Представяне на общо собствен капитал преди междинния сбор за репутацията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 w:rsidRPr="007D1AF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937771" w:rsidRPr="007D1AF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18</w:t>
      </w:r>
      <w:r w:rsidRPr="007D1AF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37771" w:rsidRPr="007D1AF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937771" w:rsidRPr="007D1AF6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1AF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достигна до предварителното виждане, </w:t>
      </w:r>
      <w:r w:rsidR="007D1AF6" w:rsidRPr="007D1AF6">
        <w:rPr>
          <w:rFonts w:eastAsia="Times New Roman" w:cs="Helvetica"/>
          <w:color w:val="575757"/>
          <w:sz w:val="24"/>
          <w:szCs w:val="24"/>
          <w:lang w:val="bg-BG"/>
        </w:rPr>
        <w:t xml:space="preserve">че следва да разработи предложение предприятието да трябва да представя в отчета си за финансовото състояние междинен сбор за общо собствен капитал преди </w:t>
      </w:r>
      <w:r w:rsidR="007D1AF6">
        <w:rPr>
          <w:rFonts w:eastAsia="Times New Roman" w:cs="Helvetica"/>
          <w:color w:val="575757"/>
          <w:sz w:val="24"/>
          <w:szCs w:val="24"/>
          <w:lang w:val="bg-BG"/>
        </w:rPr>
        <w:t>репутацията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7D1AF6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1AF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Единадесет от четиринадесетте членове на Съвета изразиха съгласие, а трима - несъгласие с това решение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7D1AF6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Освобождаване от изискването за задължителен ежегоден тест за обезценка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7D1AF6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1AF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достигна до предварителното виждане, </w:t>
      </w:r>
      <w:r w:rsidR="007D1AF6" w:rsidRPr="007D1AF6">
        <w:rPr>
          <w:rFonts w:eastAsia="Times New Roman" w:cs="Helvetica"/>
          <w:color w:val="575757"/>
          <w:sz w:val="24"/>
          <w:szCs w:val="24"/>
          <w:lang w:val="bg-BG"/>
        </w:rPr>
        <w:t>че следва да разработи предложение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7D1AF6" w:rsidRDefault="007D1AF6" w:rsidP="00937771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D1AF6">
        <w:rPr>
          <w:rFonts w:eastAsia="Times New Roman" w:cs="Helvetica"/>
          <w:color w:val="575757"/>
          <w:sz w:val="24"/>
          <w:szCs w:val="24"/>
          <w:lang w:val="bg-BG"/>
        </w:rPr>
        <w:t>да отстрани изискването за извършване на ежегоден количествен тест за обезценка по отношение на репутацията, когато не е налице индикатор за обезценка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D1AF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7D1AF6" w:rsidRDefault="007D1AF6" w:rsidP="00937771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D1AF6">
        <w:rPr>
          <w:rFonts w:eastAsia="Times New Roman" w:cs="Helvetica"/>
          <w:color w:val="575757"/>
          <w:sz w:val="24"/>
          <w:szCs w:val="24"/>
          <w:lang w:val="bg-BG"/>
        </w:rPr>
        <w:t>да приложи същото облекчение по отношение на нематериалните активи с неограничен полезен живот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D1AF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D1AF6">
        <w:rPr>
          <w:rFonts w:eastAsia="Times New Roman" w:cs="Helvetica"/>
          <w:color w:val="575757"/>
          <w:sz w:val="24"/>
          <w:szCs w:val="24"/>
          <w:lang w:val="bg-BG"/>
        </w:rPr>
        <w:t>нематериалните активи, които още не са на разположение за използване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7D1AF6" w:rsidRDefault="009B3EC5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D1AF6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шестима - несъгласие с това решение</w:t>
      </w:r>
      <w:r w:rsidR="00937771" w:rsidRPr="007D1AF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7D1AF6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Стойност в употреба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парични потоци от бъдещо преструктуриране или бъдещо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подобрение</w:t>
      </w:r>
      <w:r w:rsidR="00B82B9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/повишаване резултатите от експлоатацията на актива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B82B92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82B9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 xml:space="preserve"> 36 </w:t>
      </w:r>
      <w:r w:rsidR="00B82B92" w:rsidRPr="00B82B9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Обезценка на активи</w:t>
      </w:r>
      <w:r w:rsidR="00937771" w:rsidRPr="00B82B9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 </w:t>
      </w:r>
      <w:r w:rsidR="00B82B92" w:rsidRPr="00B82B92">
        <w:rPr>
          <w:rFonts w:eastAsia="Times New Roman" w:cs="Helvetica"/>
          <w:color w:val="575757"/>
          <w:sz w:val="24"/>
          <w:szCs w:val="24"/>
          <w:lang w:val="bg-BG"/>
        </w:rPr>
        <w:t>съдържа ограничение, което изключва от приблизителната оценка на стойността в употреба на даден актив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B82B92" w:rsidRPr="00B82B92">
        <w:rPr>
          <w:rFonts w:eastAsia="Times New Roman" w:cs="Helvetica"/>
          <w:color w:val="575757"/>
          <w:sz w:val="24"/>
          <w:szCs w:val="24"/>
          <w:lang w:val="bg-BG"/>
        </w:rPr>
        <w:t>или единица, генерираща парични потоци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B82B92" w:rsidRPr="00B82B92">
        <w:rPr>
          <w:rFonts w:eastAsia="Times New Roman" w:cs="Helvetica"/>
          <w:color w:val="575757"/>
          <w:sz w:val="24"/>
          <w:szCs w:val="24"/>
          <w:lang w:val="bg-BG"/>
        </w:rPr>
        <w:t>паричните потоци, които се очаква да възникнат от бъдещо преструктуриране или бъдещо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82B92" w:rsidRPr="00B82B92">
        <w:rPr>
          <w:rFonts w:eastAsia="Times New Roman" w:cs="Helvetica"/>
          <w:color w:val="575757"/>
          <w:sz w:val="24"/>
          <w:szCs w:val="24"/>
          <w:lang w:val="bg-BG"/>
        </w:rPr>
        <w:t>подобряване/</w:t>
      </w:r>
      <w:r w:rsidR="00B82B92" w:rsidRPr="00B82B92">
        <w:t xml:space="preserve"> </w:t>
      </w:r>
      <w:r w:rsidR="00B82B92" w:rsidRPr="00B82B92">
        <w:rPr>
          <w:rFonts w:eastAsia="Times New Roman" w:cs="Helvetica"/>
          <w:color w:val="575757"/>
          <w:sz w:val="24"/>
          <w:szCs w:val="24"/>
          <w:lang w:val="bg-BG"/>
        </w:rPr>
        <w:t>повишаване резултатите от експлоатацията на актива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AF685E" w:rsidRPr="00B82B92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достигна до предварителното виждане, </w:t>
      </w:r>
      <w:r w:rsidR="00B82B92" w:rsidRPr="00B82B92">
        <w:rPr>
          <w:rFonts w:eastAsia="Times New Roman" w:cs="Helvetica"/>
          <w:color w:val="575757"/>
          <w:sz w:val="24"/>
          <w:szCs w:val="24"/>
          <w:lang w:val="bg-BG"/>
        </w:rPr>
        <w:t>че следва да разработи предложение да отстрани това ограничение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B82B92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82B92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937771" w:rsidRPr="00B82B9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B91BC5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Съветът достигна до предварителното виждане, че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82B92" w:rsidRPr="00B91BC5">
        <w:rPr>
          <w:rFonts w:eastAsia="Times New Roman" w:cs="Helvetica"/>
          <w:color w:val="575757"/>
          <w:sz w:val="24"/>
          <w:szCs w:val="24"/>
          <w:lang w:val="bg-BG"/>
        </w:rPr>
        <w:t>следва да разработи предложения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B91BC5" w:rsidRDefault="00B91BC5" w:rsidP="00937771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да определи праг „по-вероятно да настъпи, отколкото да не настъпи” по отношение включването на парични потоци от бъдещо преструктуриране или бъдещо подобряване/</w:t>
      </w:r>
      <w:r w:rsidRPr="00B91BC5">
        <w:rPr>
          <w:lang w:val="bg-BG"/>
        </w:rPr>
        <w:t xml:space="preserve"> </w:t>
      </w: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повишаване резултатите от експлоатацията на актива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B91BC5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B91BC5" w:rsidRDefault="00B91BC5" w:rsidP="00937771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да изисква качествени оповестявания относно бъдещо преструктуриране, с което предприятието все още не се е ангажирало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и бъдещо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подобряване/</w:t>
      </w:r>
      <w:r w:rsidRPr="00B91BC5">
        <w:rPr>
          <w:lang w:val="bg-BG"/>
        </w:rPr>
        <w:t xml:space="preserve"> </w:t>
      </w: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повишаване резултатите от експлоатацията на актива, които предстои да настъпят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B3EC5" w:rsidRPr="00B91BC5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шестима - несъгласие с това решение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B91BC5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>Стойност в употреба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използване на входящи данни след данъчно облагане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B91BC5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достигна до предварителното виждане, </w:t>
      </w:r>
      <w:r w:rsidR="00B91BC5" w:rsidRPr="00B91BC5">
        <w:rPr>
          <w:rFonts w:eastAsia="Times New Roman" w:cs="Helvetica"/>
          <w:color w:val="575757"/>
          <w:sz w:val="24"/>
          <w:szCs w:val="24"/>
          <w:lang w:val="bg-BG"/>
        </w:rPr>
        <w:t>че следва да разработи предложение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B91BC5" w:rsidRDefault="00B91BC5" w:rsidP="00937771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да отстрани изискването за използване на входящи данни преди данъчно облагане и дисконтов процент преди данъчно облагане за изчисляване на стойността в употреба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B91BC5" w:rsidRDefault="00B91BC5" w:rsidP="00937771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 xml:space="preserve">да изисква предприятието да използва вътрешносъгласувани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последователни </w:t>
      </w: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предположения относно паричните потоци и дисконтовите проценти и да оповестява дисконтовите проценти, използвани за приблизителното оценяване на стойността в употреба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B91BC5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91BC5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B91BC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B91BC5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Предварителни виждания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18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Ж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B91BC5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направи преглед на цялостния пакет с предварителните си виждания, които да бъдат включени в документа за обсъждане, съгласно установеното в съответствие с обобщените по-горе решения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 бяха взети никакви допълнителни решения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37771" w:rsidRPr="00356823" w:rsidRDefault="00B91BC5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заседанието си през юли 2019 г. Съветът </w:t>
      </w:r>
      <w:r w:rsidR="003266DE">
        <w:rPr>
          <w:rFonts w:eastAsia="Times New Roman" w:cs="Helvetica"/>
          <w:color w:val="575757"/>
          <w:sz w:val="24"/>
          <w:szCs w:val="24"/>
          <w:lang w:val="bg-BG"/>
        </w:rPr>
        <w:t>ще вземе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решение дали да пристъпи към процедурата по гласуване по отношение на документа за обсъждане, който той възнамерява да публикува към края на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2019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> </w:t>
      </w:r>
    </w:p>
    <w:p w:rsidR="00937771" w:rsidRPr="00356823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Всеобхватен преглед 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2019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г. на стандарта </w:t>
      </w:r>
      <w:r w:rsidR="00356823">
        <w:rPr>
          <w:rFonts w:eastAsia="Times New Roman" w:cs="Helvetica"/>
          <w:b/>
          <w:bCs/>
          <w:i/>
          <w:iCs/>
          <w:color w:val="CD3333"/>
          <w:sz w:val="34"/>
          <w:szCs w:val="34"/>
        </w:rPr>
        <w:t>МСФО за МСП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356823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30)</w:t>
      </w:r>
      <w:bookmarkEnd w:id="4"/>
    </w:p>
    <w:p w:rsidR="00937771" w:rsidRPr="00356823" w:rsidRDefault="005F469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8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всеобхватния преглед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г. на стандарта </w:t>
      </w:r>
      <w:r w:rsidR="00356823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  (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„Преглед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>г.”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). </w:t>
      </w:r>
      <w:r w:rsidR="00C44AD7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 w:rsidR="00C44AD7">
        <w:rPr>
          <w:rFonts w:eastAsia="Times New Roman" w:cs="Helvetica"/>
          <w:color w:val="575757"/>
          <w:sz w:val="24"/>
          <w:szCs w:val="24"/>
          <w:lang w:val="bg-BG"/>
        </w:rPr>
        <w:t>Съветът обсъди дали Искането за предоставяне на информация, което ще бъде публикувано като част от Прегледа 2019 г.,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C44AD7">
        <w:rPr>
          <w:rFonts w:eastAsia="Times New Roman" w:cs="Helvetica"/>
          <w:color w:val="575757"/>
          <w:sz w:val="24"/>
          <w:szCs w:val="24"/>
          <w:lang w:val="bg-BG"/>
        </w:rPr>
        <w:t>следва да потърси виждания относно това дали и как да се хармонизира стандартът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i/>
          <w:iCs/>
          <w:color w:val="575757"/>
          <w:sz w:val="24"/>
          <w:szCs w:val="24"/>
        </w:rPr>
        <w:t xml:space="preserve">МСФО </w:t>
      </w:r>
      <w:r w:rsidR="00C44AD7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</w:t>
      </w:r>
      <w:r w:rsidR="00356823">
        <w:rPr>
          <w:rFonts w:eastAsia="Times New Roman" w:cs="Helvetica"/>
          <w:i/>
          <w:iCs/>
          <w:color w:val="575757"/>
          <w:sz w:val="24"/>
          <w:szCs w:val="24"/>
        </w:rPr>
        <w:t xml:space="preserve"> МСП</w:t>
      </w:r>
      <w:r w:rsidR="00C44AD7">
        <w:rPr>
          <w:rFonts w:eastAsia="Times New Roman" w:cs="Helvetica"/>
          <w:color w:val="575757"/>
          <w:sz w:val="24"/>
          <w:szCs w:val="24"/>
        </w:rPr>
        <w:t xml:space="preserve"> </w:t>
      </w:r>
      <w:r w:rsidR="00C44AD7">
        <w:rPr>
          <w:rFonts w:eastAsia="Times New Roman" w:cs="Helvetica"/>
          <w:color w:val="575757"/>
          <w:sz w:val="24"/>
          <w:szCs w:val="24"/>
          <w:lang w:val="bg-BG"/>
        </w:rPr>
        <w:t xml:space="preserve">със стандартите и измененията, които не са включени в стандарта </w:t>
      </w:r>
      <w:r w:rsidR="00C44AD7" w:rsidRPr="00C44AD7">
        <w:rPr>
          <w:rFonts w:eastAsia="Times New Roman" w:cs="Helvetica"/>
          <w:i/>
          <w:color w:val="575757"/>
          <w:sz w:val="24"/>
          <w:szCs w:val="24"/>
          <w:lang w:val="bg-BG"/>
        </w:rPr>
        <w:t>МСФО</w:t>
      </w:r>
      <w:r w:rsidR="00356823">
        <w:rPr>
          <w:rFonts w:eastAsia="Times New Roman" w:cs="Helvetica"/>
          <w:i/>
          <w:iCs/>
          <w:color w:val="575757"/>
          <w:sz w:val="24"/>
          <w:szCs w:val="24"/>
        </w:rPr>
        <w:t xml:space="preserve"> за МСП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13</w:t>
      </w:r>
      <w:r w:rsidR="00C44AD7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C44AD7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Оценяване по справедлива стойност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 w:rsidR="00C44AD7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C44AD7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потърси в Искането за предоставяне на информация </w:t>
      </w:r>
      <w:r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виждания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относно хармонизирането на стандарта </w:t>
      </w:r>
      <w:r w:rsidR="00356823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6D2AB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13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по-специално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C44AD7" w:rsidRDefault="00C44AD7" w:rsidP="00937771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44AD7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хармонизиране на дефиницията на справедлива стойност в стандарта </w:t>
      </w:r>
      <w:r w:rsidR="00356823" w:rsidRPr="00C44AD7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C44AD7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C44AD7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44AD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13. </w:t>
      </w:r>
      <w:r w:rsidR="005F7F2F" w:rsidRPr="00C44AD7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C44AD7" w:rsidRDefault="00C44AD7" w:rsidP="00937771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хармонизиране на насоките относно оценяването по справедлива стойност в стандарта </w:t>
      </w:r>
      <w:r w:rsidR="00356823" w:rsidRPr="00C44AD7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с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44AD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13</w:t>
      </w:r>
      <w:r w:rsidRPr="00C44AD7">
        <w:rPr>
          <w:rFonts w:eastAsia="Times New Roman" w:cs="Helvetica"/>
          <w:color w:val="575757"/>
          <w:sz w:val="24"/>
          <w:szCs w:val="24"/>
          <w:lang w:val="bg-BG"/>
        </w:rPr>
        <w:t>, така че йерархията на справедливите стойности да включва принципите на йерархията на справедливите стойности в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44AD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13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C44AD7">
        <w:rPr>
          <w:rFonts w:eastAsia="Times New Roman" w:cs="Helvetica"/>
          <w:color w:val="575757"/>
          <w:sz w:val="24"/>
          <w:szCs w:val="24"/>
          <w:lang w:val="bg-BG"/>
        </w:rPr>
        <w:t>както и да се включат примери, които да илюстрират прилагането на йерархията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B3EC5" w:rsidRPr="00C44AD7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- несъгласие с това решение</w:t>
      </w:r>
      <w:r w:rsidR="00937771" w:rsidRPr="00C44AD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D646D3" w:rsidRDefault="00C44AD7" w:rsidP="00937771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преместване на общите изисквания за оповестяване на едно място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наред с насоките за оценяване по справедлива стойност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 w:rsidR="00D646D3">
        <w:rPr>
          <w:rFonts w:eastAsia="Times New Roman" w:cs="Helvetica"/>
          <w:color w:val="575757"/>
          <w:sz w:val="24"/>
          <w:szCs w:val="24"/>
          <w:lang w:val="bg-BG"/>
        </w:rPr>
        <w:t>и преместване на насоките, отнасящи се до амортизираната стойност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. </w:t>
      </w:r>
      <w:r w:rsidR="005F7F2F" w:rsidRPr="00D646D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D646D3" w:rsidRDefault="00D646D3" w:rsidP="00937771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преместване на насоките за оценяване по справедлива стойност в стандарта </w:t>
      </w:r>
      <w:r w:rsidR="00356823"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D2AB5" w:rsidRPr="00D646D3"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 2 </w:t>
      </w:r>
      <w:r w:rsidR="006D2AB5"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Концепции и всеобхватни принципи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D646D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D646D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търси виждания в Искането за предоставяне на информация относно това да изисква оповестяване на нивото в йерархията, на което са направени оценките по справедлива стойност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D646D3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9</w:t>
      </w:r>
      <w:r w:rsidR="00D646D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6D2AB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Финансови инструменти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 w:rsid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D646D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потърси в Искането за предоставяне на информация виждания относно хармонизирането на стандарта </w:t>
      </w:r>
      <w:r w:rsidRPr="00D646D3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Pr="00D646D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МСФО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9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по-специално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814972" w:rsidRDefault="00814972" w:rsidP="00937771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въвеждането на принципите за класифициране и оценяване на финансови активи на базата на договорните парични потоци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. </w:t>
      </w:r>
      <w:r w:rsidR="005F7F2F" w:rsidRPr="0081497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814972" w:rsidRDefault="00814972" w:rsidP="00937771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това да не се изменя изискването в стандарта </w:t>
      </w:r>
      <w:r w:rsidR="00356823" w:rsidRPr="008149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8149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814972">
        <w:rPr>
          <w:rFonts w:eastAsia="Times New Roman" w:cs="Helvetica"/>
          <w:iCs/>
          <w:color w:val="575757"/>
          <w:sz w:val="24"/>
          <w:szCs w:val="24"/>
          <w:lang w:val="bg-BG"/>
        </w:rPr>
        <w:t>по отношение на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814972" w:rsidRDefault="00814972" w:rsidP="00937771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въвеждането на възможността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за оценяване на инструменти на собствения капитал по справедлива стойност през друг всеобхватен доход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937771" w:rsidRPr="00814972" w:rsidRDefault="00814972" w:rsidP="00937771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първоначално признаване на финансови инструменти по цената на сделката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937771" w:rsidRPr="00814972" w:rsidRDefault="00814972" w:rsidP="00937771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финансови пасиви и собствен кредит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814972" w:rsidRDefault="00814972" w:rsidP="00937771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принципи за отписване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5F7F2F" w:rsidP="00937771">
      <w:pPr>
        <w:shd w:val="clear" w:color="auto" w:fill="FFFFFF"/>
        <w:spacing w:after="300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814972" w:rsidRDefault="00814972" w:rsidP="00937771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потребността от изисквания относно счетоводно отчитане на хеджиране за предприятията, прилагащи стандарта </w:t>
      </w:r>
      <w:r w:rsidR="00356823" w:rsidRPr="008149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8149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при условие, че бъдат пояснени тези потребности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814972">
        <w:rPr>
          <w:rFonts w:eastAsia="Times New Roman" w:cs="Helvetica"/>
          <w:color w:val="575757"/>
          <w:sz w:val="24"/>
          <w:szCs w:val="24"/>
          <w:lang w:val="bg-BG"/>
        </w:rPr>
        <w:t>относно запазване на настоящите изисквания за отчитане на хеджирането в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D2AB5" w:rsidRPr="00814972"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 12</w:t>
      </w:r>
      <w:r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8149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Други въпроси относно финансовите </w:t>
      </w:r>
      <w:r w:rsidRPr="008149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lastRenderedPageBreak/>
        <w:t>инструменти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8149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37771" w:rsidRPr="008149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CE7953" w:rsidRDefault="00814972" w:rsidP="00937771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хармонизиране на стандарта </w:t>
      </w:r>
      <w:r w:rsidR="00356823"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с опростения подход в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E795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за обезценка на финансови активи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F7F2F" w:rsidRPr="00CE7953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D646D3" w:rsidRDefault="00814972" w:rsidP="00937771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необходимостта да се прибегне до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E7953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39 </w:t>
      </w:r>
      <w:r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937771"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признаване и оценяване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или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E795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по отношение на предприятията, прилагащи стандарта </w:t>
      </w:r>
      <w:r w:rsidR="00356823"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 ,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и при условие, че бъде пояснена тази необходимост, </w:t>
      </w:r>
      <w:r w:rsidR="00CE7953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относно промяна на прибягването до </w:t>
      </w:r>
      <w:r w:rsidR="00356823" w:rsidRPr="00CE7953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39 </w:t>
      </w:r>
      <w:r w:rsidR="00CE7953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с прибягване до </w:t>
      </w:r>
      <w:r w:rsidR="00356823" w:rsidRPr="00CE795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9</w:t>
      </w:r>
      <w:r w:rsidR="00CE7953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, ако стандартът </w:t>
      </w:r>
      <w:r w:rsidR="00356823"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937771" w:rsidRPr="00CE795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E7953" w:rsidRPr="00CE7953">
        <w:rPr>
          <w:rFonts w:eastAsia="Times New Roman" w:cs="Helvetica"/>
          <w:color w:val="575757"/>
          <w:sz w:val="24"/>
          <w:szCs w:val="24"/>
          <w:lang w:val="bg-BG"/>
        </w:rPr>
        <w:t>бъде хармонизиран с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56823" w:rsidRPr="00CE795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9. </w:t>
      </w:r>
      <w:r w:rsidR="005F7F2F" w:rsidRPr="00CE795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D646D3" w:rsidRDefault="00356823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646D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937771" w:rsidRPr="00D646D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14</w:t>
      </w:r>
      <w:r w:rsidR="00D646D3"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D646D3" w:rsidRPr="00D646D3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Разчети за отсрочени регулаторни приходи и разходи</w:t>
      </w:r>
      <w:r w:rsidR="00D646D3"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937771"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937771"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30</w:t>
      </w:r>
      <w:r w:rsidR="00D646D3"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37771" w:rsidRP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937771" w:rsidRPr="00D646D3" w:rsidRDefault="00D646D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потърси в Искането за предоставяне на информация виждания относно това да не хармонизира стандарта </w:t>
      </w:r>
      <w:r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с </w:t>
      </w:r>
      <w:r w:rsidR="00356823" w:rsidRPr="00D646D3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 14 </w:t>
      </w:r>
      <w:r w:rsidR="006D2AB5"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Разчети за отсрочени регулаторни приходи и разходи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D646D3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937771" w:rsidRPr="00D646D3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356823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16</w:t>
      </w:r>
      <w:r w:rsidR="00D646D3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6D2AB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Лизинг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 w:rsidR="00D646D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37771" w:rsidRPr="00356823" w:rsidRDefault="00D646D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D646D3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потърси в Искането за предоставяне на информация виждания относно хармонизирането на стандарта </w:t>
      </w:r>
      <w:r w:rsidRPr="00D646D3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Pr="00D646D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Pr="00D646D3">
        <w:rPr>
          <w:rFonts w:eastAsia="Times New Roman" w:cs="Helvetica"/>
          <w:color w:val="575757"/>
          <w:sz w:val="24"/>
          <w:szCs w:val="24"/>
        </w:rPr>
        <w:t xml:space="preserve"> МСФО </w:t>
      </w:r>
      <w:r>
        <w:rPr>
          <w:rFonts w:eastAsia="Times New Roman" w:cs="Helvetica"/>
          <w:color w:val="575757"/>
          <w:sz w:val="24"/>
          <w:szCs w:val="24"/>
          <w:lang w:val="bg-BG"/>
        </w:rPr>
        <w:t>16</w:t>
      </w:r>
      <w:r w:rsidRPr="00D646D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Pr="00D646D3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по-специално</w:t>
      </w:r>
      <w:r w:rsidRPr="00D646D3">
        <w:rPr>
          <w:rFonts w:eastAsia="Times New Roman" w:cs="Helvetica"/>
          <w:color w:val="575757"/>
          <w:sz w:val="24"/>
          <w:szCs w:val="24"/>
        </w:rPr>
        <w:t xml:space="preserve">, </w:t>
      </w:r>
      <w:r w:rsidRPr="00D646D3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CE7953" w:rsidP="00937771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опростяването на изискванията в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МСФО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16, </w:t>
      </w:r>
      <w:r>
        <w:rPr>
          <w:rFonts w:eastAsia="Times New Roman" w:cs="Helvetica"/>
          <w:color w:val="575757"/>
          <w:sz w:val="24"/>
          <w:szCs w:val="24"/>
          <w:lang w:val="bg-BG"/>
        </w:rPr>
        <w:t>а именно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CE7953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въвеждане на освобождаване от изискванията за признаване по отношение на лизингови договори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със срок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12 </w:t>
      </w:r>
      <w:r>
        <w:rPr>
          <w:rFonts w:eastAsia="Times New Roman" w:cs="Helvetica"/>
          <w:color w:val="575757"/>
          <w:sz w:val="24"/>
          <w:szCs w:val="24"/>
          <w:lang w:val="bg-BG"/>
        </w:rPr>
        <w:t>месеца или по-малко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краткосрочен лизинг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лизинг на активи с ниска стойност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CE7953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освобождаване на предприятията от изискването за отделяне на лизингови компоненти от свързаните с тях нелизингови компоненти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CE7953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опростяване на изискванията за оценяване за някои променливи лизингови плащания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за опционни плащания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тези, отнасящи се до опции за удължаване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5F7F2F" w:rsidP="00937771">
      <w:pPr>
        <w:shd w:val="clear" w:color="auto" w:fill="FFFFFF"/>
        <w:spacing w:after="300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CE7953" w:rsidRDefault="00CE7953" w:rsidP="00937771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допълнително опростяване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а именно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937771" w:rsidRPr="00356823" w:rsidRDefault="00CE7953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отстраняване на количествения праг за активи с ниска стойност и въвеждане на списък с примери, който да помогне на компаниите да идентифицират такива активи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както и относно това дали Съветът трябва да запази прага от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 5,000 </w:t>
      </w:r>
      <w:r w:rsidRPr="00CE7953">
        <w:rPr>
          <w:rFonts w:eastAsia="Times New Roman" w:cs="Helvetica"/>
          <w:color w:val="575757"/>
          <w:sz w:val="24"/>
          <w:szCs w:val="24"/>
          <w:lang w:val="bg-BG"/>
        </w:rPr>
        <w:t>щ.дол. по отношение на лизингови договори за активи с ниска стойност</w:t>
      </w:r>
      <w:r w:rsidR="00937771" w:rsidRPr="00CE7953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CE7953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Дванадесет от четиринадесетте членовете на Съвета изразиха съгласие, а двама - несъгласие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690F31" w:rsidRDefault="00690F31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690F31">
        <w:rPr>
          <w:rFonts w:eastAsia="Times New Roman" w:cs="Helvetica"/>
          <w:color w:val="575757"/>
          <w:sz w:val="24"/>
          <w:szCs w:val="24"/>
          <w:lang w:val="bg-BG"/>
        </w:rPr>
        <w:t>предоставяне на допълнително облекчение, което да помогне на предприятията да идентифицират дисконтовия процент, който да бъде приложен при определяне на пасива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690F31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356823" w:rsidRDefault="00690F31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 w:rsidRPr="00690F31">
        <w:rPr>
          <w:rFonts w:eastAsia="Times New Roman" w:cs="Helvetica"/>
          <w:color w:val="575757"/>
          <w:sz w:val="24"/>
          <w:szCs w:val="24"/>
          <w:lang w:val="bg-BG"/>
        </w:rPr>
        <w:t>предоставяне на допълнително облекчение, което да помогне на предприятията при определяне и повторно оценяване на срока на лизинга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690F31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690F31" w:rsidRDefault="00690F31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690F31">
        <w:rPr>
          <w:rFonts w:eastAsia="Times New Roman" w:cs="Helvetica"/>
          <w:color w:val="575757"/>
          <w:sz w:val="24"/>
          <w:szCs w:val="24"/>
          <w:lang w:val="bg-BG"/>
        </w:rPr>
        <w:t>опростяване на изискванията за последващо оценяване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690F31">
        <w:rPr>
          <w:rFonts w:eastAsia="Times New Roman" w:cs="Helvetica"/>
          <w:color w:val="575757"/>
          <w:sz w:val="24"/>
          <w:szCs w:val="24"/>
          <w:lang w:val="bg-BG"/>
        </w:rPr>
        <w:t>преоценяване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690F31">
        <w:rPr>
          <w:rFonts w:eastAsia="Times New Roman" w:cs="Helvetica"/>
          <w:color w:val="575757"/>
          <w:sz w:val="24"/>
          <w:szCs w:val="24"/>
          <w:lang w:val="bg-BG"/>
        </w:rPr>
        <w:t>на пасива по лизинга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690F31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членовете на Съвета изразиха съгласие, а двама - несъгласие с това решение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690F31" w:rsidRDefault="00690F31" w:rsidP="00937771">
      <w:pPr>
        <w:numPr>
          <w:ilvl w:val="1"/>
          <w:numId w:val="22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690F31">
        <w:rPr>
          <w:rFonts w:eastAsia="Times New Roman" w:cs="Helvetica"/>
          <w:color w:val="575757"/>
          <w:sz w:val="24"/>
          <w:szCs w:val="24"/>
          <w:lang w:val="bg-BG"/>
        </w:rPr>
        <w:t>запазване на съществуващите оповестявания относно финансов лизинг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при прилагане на стандарта </w:t>
      </w:r>
      <w:r w:rsidR="00356823" w:rsidRPr="00690F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F7F2F" w:rsidRPr="00690F31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членовете на Съвета изразиха съгласие, а един - несъгласие с това решение</w:t>
      </w:r>
      <w:r w:rsidR="00937771" w:rsidRPr="00690F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690F31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690F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937771" w:rsidRPr="00356823" w:rsidRDefault="00690F3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През юли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г. Съветът ще продължи с обсъжданията на това дали и как да хармонизира стандарта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>
        <w:rPr>
          <w:rFonts w:eastAsia="Times New Roman" w:cs="Helvetica"/>
          <w:i/>
          <w:iCs/>
          <w:color w:val="575757"/>
          <w:sz w:val="24"/>
          <w:szCs w:val="24"/>
        </w:rPr>
        <w:t xml:space="preserve"> за МС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 </w:t>
      </w:r>
      <w:r w:rsidRPr="00690F31">
        <w:rPr>
          <w:rFonts w:eastAsia="Times New Roman" w:cs="Helvetica"/>
          <w:color w:val="575757"/>
          <w:sz w:val="24"/>
          <w:szCs w:val="24"/>
          <w:lang w:val="bg-BG"/>
        </w:rPr>
        <w:t xml:space="preserve">със стандартите и измененията, които не са включени в стандарта </w:t>
      </w:r>
      <w:r w:rsidRPr="00690F31">
        <w:rPr>
          <w:rFonts w:eastAsia="Times New Roman" w:cs="Helvetica"/>
          <w:i/>
          <w:color w:val="575757"/>
          <w:sz w:val="24"/>
          <w:szCs w:val="24"/>
          <w:lang w:val="bg-BG"/>
        </w:rPr>
        <w:t>МСФО</w:t>
      </w:r>
      <w:r w:rsidRPr="00690F31">
        <w:rPr>
          <w:rFonts w:eastAsia="Times New Roman" w:cs="Helvetica"/>
          <w:i/>
          <w:iCs/>
          <w:color w:val="575757"/>
          <w:sz w:val="24"/>
          <w:szCs w:val="24"/>
        </w:rPr>
        <w:t xml:space="preserve"> за МСП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> </w:t>
      </w:r>
    </w:p>
    <w:p w:rsidR="00937771" w:rsidRPr="00356823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5" w:name="5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Финансови инструменти с характеристики на собствен капитал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356823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5)</w:t>
      </w:r>
      <w:bookmarkEnd w:id="5"/>
    </w:p>
    <w:p w:rsidR="00937771" w:rsidRPr="00356823" w:rsidRDefault="005F469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8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изслуша обобщение на получените като обратна информация становища във връзка с предложенията за класифициране на </w:t>
      </w:r>
      <w:r w:rsidR="005F7F2F">
        <w:rPr>
          <w:rFonts w:eastAsia="Times New Roman" w:cs="Helvetica"/>
          <w:color w:val="575757"/>
          <w:sz w:val="24"/>
          <w:szCs w:val="24"/>
          <w:lang w:val="bg-BG"/>
        </w:rPr>
        <w:t>финансови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инструменти в </w:t>
      </w:r>
      <w:r w:rsidR="005F7F2F">
        <w:rPr>
          <w:rFonts w:eastAsia="Times New Roman" w:cs="Helvetica"/>
          <w:color w:val="575757"/>
          <w:sz w:val="24"/>
          <w:szCs w:val="24"/>
          <w:lang w:val="bg-BG"/>
        </w:rPr>
        <w:t>Документа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за обсъждане </w:t>
      </w:r>
      <w:r w:rsidR="005F7F2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 с характеристики на собствен капитал</w:t>
      </w:r>
      <w:r w:rsidR="00937771" w:rsidRPr="00356823">
        <w:rPr>
          <w:rFonts w:eastAsia="Times New Roman" w:cs="Helvetica"/>
          <w:i/>
          <w:iCs/>
          <w:color w:val="575757"/>
          <w:sz w:val="24"/>
          <w:szCs w:val="24"/>
        </w:rPr>
        <w:t>,</w:t>
      </w:r>
      <w:r w:rsidR="005F7F2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5F7F2F">
        <w:rPr>
          <w:rFonts w:eastAsia="Times New Roman" w:cs="Helvetica"/>
          <w:color w:val="575757"/>
          <w:sz w:val="24"/>
          <w:szCs w:val="24"/>
          <w:lang w:val="bg-BG"/>
        </w:rPr>
        <w:t>включително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5F7F2F" w:rsidP="00937771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2—</w:t>
      </w:r>
      <w:r w:rsidR="00757515">
        <w:rPr>
          <w:rFonts w:eastAsia="Times New Roman" w:cs="Helvetica"/>
          <w:color w:val="575757"/>
          <w:sz w:val="24"/>
          <w:szCs w:val="24"/>
          <w:lang w:val="bg-BG"/>
        </w:rPr>
        <w:t>Предпочитаният от Съвета подход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5F7F2F" w:rsidP="00937771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3—</w:t>
      </w:r>
      <w:r w:rsidR="00757515">
        <w:rPr>
          <w:rFonts w:eastAsia="Times New Roman" w:cs="Helvetica"/>
          <w:color w:val="575757"/>
          <w:sz w:val="24"/>
          <w:szCs w:val="24"/>
          <w:lang w:val="bg-BG"/>
        </w:rPr>
        <w:t>Класифициране на недеривативни финансови инструменти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;</w:t>
      </w:r>
    </w:p>
    <w:p w:rsidR="00937771" w:rsidRPr="00356823" w:rsidRDefault="005F7F2F" w:rsidP="00937771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4—</w:t>
      </w:r>
      <w:r w:rsidR="00757515" w:rsidRPr="00757515">
        <w:rPr>
          <w:rFonts w:eastAsia="Times New Roman" w:cs="Helvetica"/>
          <w:color w:val="575757"/>
          <w:sz w:val="24"/>
          <w:szCs w:val="24"/>
          <w:lang w:val="bg-BG"/>
        </w:rPr>
        <w:t xml:space="preserve"> Класифициране на деривативни финансови инструменти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 w:rsidR="0075751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5F7F2F" w:rsidP="00937771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5—</w:t>
      </w:r>
      <w:r w:rsidR="00757515">
        <w:rPr>
          <w:rFonts w:eastAsia="Times New Roman" w:cs="Helvetica"/>
          <w:color w:val="575757"/>
          <w:sz w:val="24"/>
          <w:szCs w:val="24"/>
          <w:lang w:val="bg-BG"/>
        </w:rPr>
        <w:t>Съставни инструменти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757515">
        <w:rPr>
          <w:rFonts w:eastAsia="Times New Roman" w:cs="Helvetica"/>
          <w:color w:val="575757"/>
          <w:sz w:val="24"/>
          <w:szCs w:val="24"/>
          <w:lang w:val="bg-BG"/>
        </w:rPr>
        <w:t>и споразумения със задължение за обратно изкупуване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937771" w:rsidRPr="00356823" w:rsidRDefault="00757515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бъдещи свои заседания Съветът ще бъде запознат с обобщение на получените като обратна информация становища относно останалите раздели от Документа за обсъждане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> </w:t>
      </w:r>
    </w:p>
    <w:p w:rsidR="00937771" w:rsidRPr="00356823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6" w:name="6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356823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CD3333"/>
          <w:sz w:val="34"/>
          <w:szCs w:val="34"/>
        </w:rPr>
        <w:t xml:space="preserve"> 23)</w:t>
      </w:r>
      <w:bookmarkEnd w:id="6"/>
    </w:p>
    <w:p w:rsidR="00937771" w:rsidRPr="00356823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обсъди изследователския проект, посветен на бизнес комбинациите под общ контрол.</w:t>
      </w:r>
    </w:p>
    <w:p w:rsidR="00937771" w:rsidRPr="00356823" w:rsidRDefault="00FB3539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Сделки, които не засягат неконтролиращите акционери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23A)</w:t>
      </w:r>
    </w:p>
    <w:p w:rsidR="00937771" w:rsidRPr="00356823" w:rsidRDefault="00AF685E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обсъди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FB3539" w:rsidP="00937771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дали сделките, които не засягат неконтролиращите акционери на получаващото предприятие се различават както от сделките, които засягат такива акционери, така и от бизнес комбинациите, които не са под общ контрол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FB3539" w:rsidP="00937771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ако това е така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дали Съветът би могъл да възприеме подход, който да не е базиран на метода на придобиването по отношение на сделки, които не засягат неконтролиращите акционери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например подход на предшественика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37771" w:rsidRPr="00356823" w:rsidRDefault="00FB3539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на бъдещи свои заседания да продължи с обсъжданията си относно методите за счетоводно отчитане на сделки, попадащи в обхвата на проекта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37771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56823">
        <w:rPr>
          <w:rFonts w:eastAsia="Times New Roman" w:cs="Helvetica"/>
          <w:color w:val="575757"/>
          <w:sz w:val="24"/>
          <w:szCs w:val="24"/>
        </w:rPr>
        <w:t> </w:t>
      </w:r>
    </w:p>
    <w:p w:rsidR="00937771" w:rsidRPr="00FB3539" w:rsidRDefault="005F469E" w:rsidP="009377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7"/>
      <w:r w:rsidRPr="00FB35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Въпроси, свързани с въвеждането и прилагането на стандартите </w:t>
      </w:r>
      <w:r w:rsidR="00937771" w:rsidRPr="00FB35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356823" w:rsidRPr="00FB35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937771" w:rsidRPr="00FB35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7"/>
    </w:p>
    <w:p w:rsidR="00937771" w:rsidRPr="00356823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</w:t>
      </w:r>
      <w:r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обсъди въпроси, свързани с въвеждането и прилагането на стандартите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910A73" w:rsidP="009377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Имоти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,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машини и съоръжения</w:t>
      </w:r>
      <w:r w:rsidR="00937771" w:rsidRPr="0035682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: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постъпления преди предвидената употреба 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356823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37771" w:rsidRPr="00356823">
        <w:rPr>
          <w:rFonts w:eastAsia="Times New Roman" w:cs="Helvetica"/>
          <w:b/>
          <w:bCs/>
          <w:color w:val="333333"/>
          <w:sz w:val="24"/>
          <w:szCs w:val="24"/>
        </w:rPr>
        <w:t xml:space="preserve"> 12)</w:t>
      </w:r>
    </w:p>
    <w:p w:rsidR="00937771" w:rsidRPr="00356823" w:rsidRDefault="00910A7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продължи обсъжданията си относно Проекта за обсъждане </w:t>
      </w:r>
      <w:r w:rsidRPr="00910A7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Имоти, машини и съоръжения: постъпления преди предвидената употреба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.</w:t>
      </w:r>
    </w:p>
    <w:p w:rsidR="00937771" w:rsidRPr="00356823" w:rsidRDefault="004C13D9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Предлаганите изменения в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16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D2AB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Имоти</w:t>
      </w:r>
      <w:r w:rsidR="00937771" w:rsidRPr="00356823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 w:rsidR="006D2AB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машини и съоръжения</w:t>
      </w:r>
      <w:r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биха забранили на предприятието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приспада от цената на придобиване на обект от имоти, машини и съоръжения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(</w:t>
      </w:r>
      <w:r w:rsidR="006D2AB5">
        <w:rPr>
          <w:rFonts w:eastAsia="Times New Roman" w:cs="Helvetica"/>
          <w:color w:val="575757"/>
          <w:sz w:val="24"/>
          <w:szCs w:val="24"/>
          <w:lang w:val="bg-BG"/>
        </w:rPr>
        <w:t>ИМС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постъпления от продажбата на произведени продукти, докато този актив се привежда в местоположението и състоянието, необходими, за да може той да е в състояние да функционира по начина, предвиден от ръководството.</w:t>
      </w:r>
    </w:p>
    <w:p w:rsidR="00937771" w:rsidRPr="00356823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4C13D9" w:rsidP="00937771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16</w:t>
      </w:r>
      <w:r>
        <w:rPr>
          <w:rFonts w:eastAsia="Times New Roman" w:cs="Helvetica"/>
          <w:color w:val="575757"/>
          <w:sz w:val="24"/>
          <w:szCs w:val="24"/>
          <w:lang w:val="bg-BG"/>
        </w:rPr>
        <w:t>, така че да изисква предприятието да идентифицира и оценява себестойността на продуктите, произведени преди обекта от ИМС да е на разположение за използване, прилагайки изискванията за оценяване в параграфи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9–33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D2AB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Материални запаси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2A4B39" w:rsidP="00937771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разработва нито изисквания за представяне, нито изисквания за оповестяване по отношение продажбата на обекти, които са част от обичайната дейност на предприятието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2A4B39" w:rsidP="00937771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2A4B39">
        <w:rPr>
          <w:rFonts w:eastAsia="Times New Roman" w:cs="Helvetica"/>
          <w:color w:val="575757"/>
          <w:sz w:val="24"/>
          <w:szCs w:val="24"/>
          <w:lang w:val="bg-BG"/>
        </w:rPr>
        <w:t xml:space="preserve">по отношение продажбата на обекти, които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не </w:t>
      </w:r>
      <w:r w:rsidRPr="002A4B39">
        <w:rPr>
          <w:rFonts w:eastAsia="Times New Roman" w:cs="Helvetica"/>
          <w:color w:val="575757"/>
          <w:sz w:val="24"/>
          <w:szCs w:val="24"/>
          <w:lang w:val="bg-BG"/>
        </w:rPr>
        <w:t>са част от обичайната дейност на предприятието</w:t>
      </w:r>
      <w:r w:rsidRPr="002A4B39">
        <w:rPr>
          <w:rFonts w:eastAsia="Times New Roman" w:cs="Helvetica"/>
          <w:color w:val="575757"/>
          <w:sz w:val="24"/>
          <w:szCs w:val="24"/>
        </w:rPr>
        <w:t xml:space="preserve"> 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по отношение на които предприятието не прилага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МСФО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15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МСС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2),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:</w:t>
      </w:r>
    </w:p>
    <w:p w:rsidR="00937771" w:rsidRPr="00356823" w:rsidRDefault="002A4B39" w:rsidP="00937771">
      <w:pPr>
        <w:numPr>
          <w:ilvl w:val="1"/>
          <w:numId w:val="2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оповестява отделно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постъпленията от продажби и съответните производствени разходи, признати в печалбата или загубата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37771" w:rsidRPr="00356823" w:rsidRDefault="002A4B39" w:rsidP="00937771">
      <w:pPr>
        <w:numPr>
          <w:ilvl w:val="1"/>
          <w:numId w:val="2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посочва позицията или позициите на отделни редове в отчета за печалбата или загубата и друг всеобхватен доход, които включват постъпленията от продажби и производствените разходи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937771" w:rsidRPr="00356823" w:rsidRDefault="002A4B39" w:rsidP="00937771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изменя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356823">
        <w:rPr>
          <w:rFonts w:eastAsia="Times New Roman" w:cs="Helvetica"/>
          <w:color w:val="575757"/>
          <w:sz w:val="24"/>
          <w:szCs w:val="24"/>
        </w:rPr>
        <w:t>МСФО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6 </w:t>
      </w:r>
      <w:r w:rsidR="006D2AB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Проучване и оценяване на минерални ресурси </w:t>
      </w:r>
      <w:r w:rsidR="006D2AB5">
        <w:rPr>
          <w:rFonts w:eastAsia="Times New Roman" w:cs="Helvetica"/>
          <w:color w:val="575757"/>
          <w:sz w:val="24"/>
          <w:szCs w:val="24"/>
          <w:lang w:val="bg-BG"/>
        </w:rPr>
        <w:t>или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</w:t>
      </w:r>
      <w:r w:rsidR="006D2AB5">
        <w:rPr>
          <w:rFonts w:eastAsia="Times New Roman" w:cs="Helvetica"/>
          <w:color w:val="575757"/>
          <w:sz w:val="24"/>
          <w:szCs w:val="24"/>
          <w:lang w:val="bg-BG"/>
        </w:rPr>
        <w:t>КРМСФО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 xml:space="preserve"> 20 </w:t>
      </w:r>
      <w:r w:rsidR="006D2AB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Разходи за откривка във фаза „производство” на открита мина </w:t>
      </w:r>
      <w:r w:rsidR="006D2AB5">
        <w:rPr>
          <w:rFonts w:eastAsia="Times New Roman" w:cs="Helvetica"/>
          <w:color w:val="575757"/>
          <w:sz w:val="24"/>
          <w:szCs w:val="24"/>
          <w:lang w:val="bg-BG"/>
        </w:rPr>
        <w:t>като следствие от така предложените изменения</w:t>
      </w:r>
      <w:r w:rsidR="00937771" w:rsidRPr="00356823">
        <w:rPr>
          <w:rFonts w:eastAsia="Times New Roman" w:cs="Helvetica"/>
          <w:i/>
          <w:iCs/>
          <w:color w:val="575757"/>
          <w:sz w:val="24"/>
          <w:szCs w:val="24"/>
        </w:rPr>
        <w:t>.</w:t>
      </w:r>
    </w:p>
    <w:p w:rsidR="00937771" w:rsidRPr="0071151D" w:rsidRDefault="005F7F2F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1151D">
        <w:rPr>
          <w:rFonts w:eastAsia="Times New Roman" w:cs="Helvetica"/>
          <w:color w:val="575757"/>
          <w:sz w:val="24"/>
          <w:szCs w:val="24"/>
          <w:lang w:val="bg-BG"/>
        </w:rPr>
        <w:t>Тринадесет от членовете на Съвета изразиха съгласие с тези решения</w:t>
      </w:r>
      <w:r w:rsidR="00937771" w:rsidRPr="0071151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1151D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937771" w:rsidRPr="0071151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37771" w:rsidRPr="0071151D" w:rsidRDefault="00356823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1151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937771" w:rsidRPr="00356823" w:rsidRDefault="0071151D" w:rsidP="009377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71151D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стъпките от регламентираната процедура</w:t>
      </w:r>
      <w:r w:rsidR="00937771" w:rsidRPr="00356823">
        <w:rPr>
          <w:rFonts w:eastAsia="Times New Roman" w:cs="Helvetica"/>
          <w:color w:val="575757"/>
          <w:sz w:val="24"/>
          <w:szCs w:val="24"/>
        </w:rPr>
        <w:t>.</w:t>
      </w:r>
    </w:p>
    <w:p w:rsidR="00887F5C" w:rsidRPr="00356823" w:rsidRDefault="00887F5C"/>
    <w:sectPr w:rsidR="00887F5C" w:rsidRPr="00356823" w:rsidSect="001E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447"/>
    <w:multiLevelType w:val="multilevel"/>
    <w:tmpl w:val="A19C88C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E0FDE"/>
    <w:multiLevelType w:val="multilevel"/>
    <w:tmpl w:val="EF18083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95BB1"/>
    <w:multiLevelType w:val="multilevel"/>
    <w:tmpl w:val="5E708A5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713E"/>
    <w:multiLevelType w:val="multilevel"/>
    <w:tmpl w:val="034006E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622E"/>
    <w:multiLevelType w:val="multilevel"/>
    <w:tmpl w:val="C00E691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D4551"/>
    <w:multiLevelType w:val="multilevel"/>
    <w:tmpl w:val="E26E49E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248D"/>
    <w:multiLevelType w:val="multilevel"/>
    <w:tmpl w:val="3D44E78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882"/>
    <w:multiLevelType w:val="multilevel"/>
    <w:tmpl w:val="741486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76D1"/>
    <w:multiLevelType w:val="multilevel"/>
    <w:tmpl w:val="AD7C1E0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C3A64"/>
    <w:multiLevelType w:val="multilevel"/>
    <w:tmpl w:val="12301AF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603E3"/>
    <w:multiLevelType w:val="multilevel"/>
    <w:tmpl w:val="1084F1A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477C3"/>
    <w:multiLevelType w:val="multilevel"/>
    <w:tmpl w:val="F272B04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4145F"/>
    <w:multiLevelType w:val="multilevel"/>
    <w:tmpl w:val="F74A5B1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528E5"/>
    <w:multiLevelType w:val="multilevel"/>
    <w:tmpl w:val="EA6E396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D037D"/>
    <w:multiLevelType w:val="multilevel"/>
    <w:tmpl w:val="B694E42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32E65"/>
    <w:multiLevelType w:val="multilevel"/>
    <w:tmpl w:val="F258C8F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E2DA5"/>
    <w:multiLevelType w:val="multilevel"/>
    <w:tmpl w:val="B89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2476D"/>
    <w:multiLevelType w:val="multilevel"/>
    <w:tmpl w:val="C832B07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359A4"/>
    <w:multiLevelType w:val="multilevel"/>
    <w:tmpl w:val="30604CD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97497"/>
    <w:multiLevelType w:val="multilevel"/>
    <w:tmpl w:val="14B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E125A"/>
    <w:multiLevelType w:val="multilevel"/>
    <w:tmpl w:val="6FB86B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E0008"/>
    <w:multiLevelType w:val="multilevel"/>
    <w:tmpl w:val="A7B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E4D42"/>
    <w:multiLevelType w:val="multilevel"/>
    <w:tmpl w:val="EF40F6B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90702"/>
    <w:multiLevelType w:val="multilevel"/>
    <w:tmpl w:val="F2F08CD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161E6"/>
    <w:multiLevelType w:val="multilevel"/>
    <w:tmpl w:val="FA30B39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23"/>
  </w:num>
  <w:num w:numId="10">
    <w:abstractNumId w:val="14"/>
  </w:num>
  <w:num w:numId="11">
    <w:abstractNumId w:val="6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7"/>
  </w:num>
  <w:num w:numId="17">
    <w:abstractNumId w:val="24"/>
  </w:num>
  <w:num w:numId="18">
    <w:abstractNumId w:val="11"/>
  </w:num>
  <w:num w:numId="19">
    <w:abstractNumId w:val="22"/>
  </w:num>
  <w:num w:numId="20">
    <w:abstractNumId w:val="9"/>
  </w:num>
  <w:num w:numId="21">
    <w:abstractNumId w:val="5"/>
  </w:num>
  <w:num w:numId="22">
    <w:abstractNumId w:val="7"/>
  </w:num>
  <w:num w:numId="23">
    <w:abstractNumId w:val="8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771"/>
    <w:rsid w:val="00063055"/>
    <w:rsid w:val="00194080"/>
    <w:rsid w:val="001E3E16"/>
    <w:rsid w:val="002830BD"/>
    <w:rsid w:val="002A4B39"/>
    <w:rsid w:val="002A6DF5"/>
    <w:rsid w:val="002A73EC"/>
    <w:rsid w:val="003266DE"/>
    <w:rsid w:val="003446F2"/>
    <w:rsid w:val="00356823"/>
    <w:rsid w:val="00391623"/>
    <w:rsid w:val="00454A56"/>
    <w:rsid w:val="00475229"/>
    <w:rsid w:val="0049562B"/>
    <w:rsid w:val="004C13D9"/>
    <w:rsid w:val="005461D0"/>
    <w:rsid w:val="005D72DC"/>
    <w:rsid w:val="005F469E"/>
    <w:rsid w:val="005F7F2F"/>
    <w:rsid w:val="00690F31"/>
    <w:rsid w:val="006D2AB5"/>
    <w:rsid w:val="0071151D"/>
    <w:rsid w:val="00757515"/>
    <w:rsid w:val="007B17CE"/>
    <w:rsid w:val="007D0B0F"/>
    <w:rsid w:val="007D1AF6"/>
    <w:rsid w:val="00814972"/>
    <w:rsid w:val="00832340"/>
    <w:rsid w:val="00887F5C"/>
    <w:rsid w:val="008E4C6C"/>
    <w:rsid w:val="008E67CB"/>
    <w:rsid w:val="00905914"/>
    <w:rsid w:val="00910A73"/>
    <w:rsid w:val="00937771"/>
    <w:rsid w:val="00945BF5"/>
    <w:rsid w:val="009B3EC5"/>
    <w:rsid w:val="009C2C69"/>
    <w:rsid w:val="00AA61F2"/>
    <w:rsid w:val="00AF685E"/>
    <w:rsid w:val="00B82B92"/>
    <w:rsid w:val="00B91BC5"/>
    <w:rsid w:val="00BA08B7"/>
    <w:rsid w:val="00BB219F"/>
    <w:rsid w:val="00BB3083"/>
    <w:rsid w:val="00C44AD7"/>
    <w:rsid w:val="00C67614"/>
    <w:rsid w:val="00CE7953"/>
    <w:rsid w:val="00D17BE2"/>
    <w:rsid w:val="00D646D3"/>
    <w:rsid w:val="00D770DA"/>
    <w:rsid w:val="00D81042"/>
    <w:rsid w:val="00E73172"/>
    <w:rsid w:val="00EE222C"/>
    <w:rsid w:val="00F56561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7913E-C8F2-4A0F-A17B-6B77DB1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726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une-20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une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une-2019/" TargetMode="External"/><Relationship Id="rId11" Type="http://schemas.openxmlformats.org/officeDocument/2006/relationships/hyperlink" Target="https://www.ifrs.org/news-and-events/updates/iasb-updates/june-2019/" TargetMode="External"/><Relationship Id="rId5" Type="http://schemas.openxmlformats.org/officeDocument/2006/relationships/hyperlink" Target="https://www.ifrs.org/news-and-events/updates/iasb-updates/june-2019/" TargetMode="External"/><Relationship Id="rId10" Type="http://schemas.openxmlformats.org/officeDocument/2006/relationships/hyperlink" Target="https://www.ifrs.org/news-and-events/updates/iasb-updates/june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une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5169</Words>
  <Characters>30709</Characters>
  <Application>Microsoft Office Word</Application>
  <DocSecurity>0</DocSecurity>
  <Lines>579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14</cp:revision>
  <dcterms:created xsi:type="dcterms:W3CDTF">2019-07-02T07:47:00Z</dcterms:created>
  <dcterms:modified xsi:type="dcterms:W3CDTF">2019-07-03T15:08:00Z</dcterms:modified>
</cp:coreProperties>
</file>