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D6" w:rsidRPr="00BD72BD" w:rsidRDefault="00FD1CD6" w:rsidP="00FD1CD6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IASB </w:t>
      </w:r>
      <w:proofErr w:type="spellStart"/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Update</w:t>
      </w:r>
      <w:proofErr w:type="spellEnd"/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</w:t>
      </w:r>
      <w:proofErr w:type="spellStart"/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May</w:t>
      </w:r>
      <w:proofErr w:type="spellEnd"/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2019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FD1CD6" w:rsidRPr="00BD72BD" w:rsidRDefault="00BD72BD" w:rsidP="00FD1CD6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(IASB) – </w:t>
      </w:r>
      <w:r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май</w:t>
      </w:r>
      <w:r w:rsidRPr="00BD72B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2019 г.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(IFRS</w:t>
      </w:r>
      <w:r w:rsidRPr="00BD72B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Standards</w:t>
      </w:r>
      <w:proofErr w:type="spellEnd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), Изменения и Разяснения (IFRIC</w:t>
      </w:r>
      <w:r w:rsidRPr="00BD72B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  <w:proofErr w:type="spellStart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Interpretations</w:t>
      </w:r>
      <w:proofErr w:type="spellEnd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BD72BD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BD72B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Foundation</w:t>
      </w:r>
      <w:proofErr w:type="spellEnd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) и Комитета по разясненията на МСФО (IFRS </w:t>
      </w:r>
      <w:proofErr w:type="spellStart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Interpretation</w:t>
      </w:r>
      <w:proofErr w:type="spellEnd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Committee</w:t>
      </w:r>
      <w:proofErr w:type="spellEnd"/>
      <w:r w:rsidRPr="00BD72BD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заседания от 14 май 2019 г., вторник, до 16 май 2019 г., четвъртък, в офисите на Фондация МСФО в Лондон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5" w:anchor="1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Провизии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2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Въпроси, свързани с прилагането на стандартите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3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4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Изменения в</w:t>
        </w:r>
        <w:r w:rsidR="00FD1CD6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E83260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FD1CD6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17</w:t>
        </w:r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E10ED2" w:rsidRPr="00BD72BD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5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6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7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Преглед на стандарта </w:t>
        </w:r>
        <w:r w:rsidR="00E83260" w:rsidRPr="00BD72BD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МСФО</w:t>
        </w:r>
        <w:r w:rsidR="00FD1CD6" w:rsidRPr="00BD72BD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 xml:space="preserve"> </w:t>
        </w:r>
        <w:r w:rsidR="00E10ED2" w:rsidRPr="00BD72BD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 МСП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8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</w:hyperlink>
    </w:p>
    <w:p w:rsidR="00FD1CD6" w:rsidRPr="00BD72BD" w:rsidRDefault="009C5D93" w:rsidP="00FD1CD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3" w:anchor="9" w:history="1">
        <w:r w:rsidR="00E10ED2" w:rsidRPr="00BD72B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Репутация и обезценка</w:t>
        </w:r>
      </w:hyperlink>
    </w:p>
    <w:p w:rsidR="00FD1CD6" w:rsidRPr="00BD72BD" w:rsidRDefault="00E83260" w:rsidP="00FD1CD6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FD1CD6" w:rsidRPr="00BD72BD" w:rsidRDefault="00E83260" w:rsidP="00FD1CD6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Бъдещи заседания на Съвета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FD1CD6" w:rsidP="00FD1CD6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17–19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FD1CD6" w:rsidRPr="00BD72BD" w:rsidRDefault="00FD1CD6" w:rsidP="00FD1CD6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22–26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FD1CD6" w:rsidRPr="00BD72BD" w:rsidRDefault="00FD1CD6" w:rsidP="00FD1CD6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23–27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FD1CD6" w:rsidRPr="00BD72BD" w:rsidRDefault="00E10ED2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Провизии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22)</w:t>
      </w:r>
      <w:bookmarkEnd w:id="0"/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14 май 2019 г. Съветът проведе заседание, за да обсъди </w:t>
      </w:r>
      <w:r w:rsidR="000B01DE" w:rsidRPr="00BD72BD">
        <w:rPr>
          <w:rFonts w:eastAsia="Times New Roman" w:cs="Helvetica"/>
          <w:color w:val="575757"/>
          <w:sz w:val="24"/>
          <w:szCs w:val="24"/>
          <w:lang w:val="bg-BG"/>
        </w:rPr>
        <w:t>обратната информация от заинтересованите страни във връзка с обхвата на възможен проект за изменение на определени аспекти от МСС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37</w:t>
      </w:r>
      <w:r w:rsidR="000B01DE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B01DE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Провизии</w:t>
      </w:r>
      <w:r w:rsidR="00FD1CD6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0B01DE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условни пасиви и условни активи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0B01DE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реши дали да реализира проект за изменение на определени аспекти от МСС 37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 ако да - кои аспекти да бъдат изменени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E10ED2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Въпроси, свързани с </w:t>
      </w:r>
      <w:r w:rsidR="000B01DE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прилагането</w:t>
      </w:r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на стандартите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1"/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14 май 2019 г. Съветът проведе заседание, за да обсъди </w:t>
      </w:r>
      <w:r w:rsidR="000B01DE" w:rsidRPr="00BD72BD">
        <w:rPr>
          <w:rFonts w:eastAsia="Times New Roman" w:cs="Helvetica"/>
          <w:color w:val="575757"/>
          <w:sz w:val="24"/>
          <w:szCs w:val="24"/>
          <w:lang w:val="bg-BG"/>
        </w:rPr>
        <w:t>въпроси, свързани с прилагането на стандартите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0B01DE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Обременяващи договори</w:t>
      </w:r>
      <w:r w:rsidR="00FD1CD6"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разход за изпълнение на договора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12)</w:t>
      </w:r>
    </w:p>
    <w:p w:rsidR="00FD1CD6" w:rsidRPr="00BD72BD" w:rsidRDefault="000B01DE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обобщение на обратната информация, получена във връзка с Проекта за обсъждане </w:t>
      </w:r>
      <w:r w:rsidRPr="00BD72BD">
        <w:rPr>
          <w:rFonts w:eastAsia="Times New Roman" w:cs="Helvetica"/>
          <w:bCs/>
          <w:i/>
          <w:iCs/>
          <w:color w:val="333333"/>
          <w:sz w:val="24"/>
          <w:szCs w:val="24"/>
          <w:lang w:val="bg-BG"/>
        </w:rPr>
        <w:t>Обременяващи договори—разход за изпълнение на договора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0B01DE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разгледа посоката на развитие на предложените изменения в МСС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37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E10ED2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2"/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14 май 2019 г. Съветът проведе заседание, за да обсъди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262A1" w:rsidRPr="00BD72BD">
        <w:rPr>
          <w:rFonts w:eastAsia="Times New Roman" w:cs="Helvetica"/>
          <w:color w:val="575757"/>
          <w:sz w:val="24"/>
          <w:szCs w:val="24"/>
          <w:lang w:val="bg-BG"/>
        </w:rPr>
        <w:t>какъв вид консултационен документ да публикува във връзка с този проект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4262A1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Консултационният документ</w:t>
      </w:r>
      <w:r w:rsidR="00A272C8"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FD1CD6"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="00A272C8"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документ за обсъждане или проект за обсъждане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21A)</w:t>
      </w:r>
    </w:p>
    <w:p w:rsidR="00FD1CD6" w:rsidRPr="00BD72BD" w:rsidRDefault="004262A1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реши консултационният документ във връзка с проекта да бъде „</w:t>
      </w:r>
      <w:r w:rsidR="00F73645">
        <w:rPr>
          <w:rFonts w:eastAsia="Times New Roman" w:cs="Helvetica"/>
          <w:color w:val="575757"/>
          <w:sz w:val="24"/>
          <w:szCs w:val="24"/>
          <w:lang w:val="bg-BG"/>
        </w:rPr>
        <w:t>П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роект за обсъждане”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4262A1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бъдещо свое заседание Съветът ще обсъди </w:t>
      </w:r>
      <w:r w:rsidR="00A272C8" w:rsidRPr="00BD72BD">
        <w:rPr>
          <w:rFonts w:eastAsia="Times New Roman" w:cs="Helvetica"/>
          <w:color w:val="575757"/>
          <w:sz w:val="24"/>
          <w:szCs w:val="24"/>
          <w:lang w:val="bg-BG"/>
        </w:rPr>
        <w:t>разрешение за пристъпване към процедурата по гласуване във връзка с проекта за обсъждане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E10ED2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Изменения в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17</w:t>
      </w:r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Pr="00BD72B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Застрахователни договори 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2)</w:t>
      </w:r>
      <w:bookmarkEnd w:id="3"/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15 май 2019 г. Съветът проведе заседание, за да </w:t>
      </w:r>
      <w:r w:rsidR="00B470D1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приключи разискванията преди да публикува проекта за обсъждане с предложените изменения в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B470D1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10ED2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B470D1" w:rsidRPr="00BD72BD">
        <w:rPr>
          <w:rFonts w:eastAsia="Times New Roman" w:cs="Helvetica"/>
          <w:color w:val="575757"/>
          <w:sz w:val="24"/>
          <w:szCs w:val="24"/>
          <w:lang w:val="bg-BG"/>
        </w:rPr>
        <w:t>На това заседание Съветът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B470D1" w:rsidP="00FD1CD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бе запознат с актуална информация във връзка с проведеното на 4 април 2019 г. заседание на Експертната група по въпросите, свързани с преминаването към стандарта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10ED2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FD1CD6" w:rsidRPr="00BD72BD" w:rsidRDefault="00B470D1" w:rsidP="00FD1CD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обсъди техническите въпроси, които Съветът трябваше да разгледа преди да финализира проекта за обсъждане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B470D1" w:rsidP="00FD1CD6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разгледа въпроса какъв </w:t>
      </w:r>
      <w:r w:rsidR="000C7CE6" w:rsidRPr="00BD72BD">
        <w:rPr>
          <w:rFonts w:eastAsia="Times New Roman" w:cs="Helvetica"/>
          <w:color w:val="575757"/>
          <w:sz w:val="24"/>
          <w:szCs w:val="24"/>
          <w:lang w:val="bg-BG"/>
        </w:rPr>
        <w:t>срок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за предоставяне на коментари да определи във връзка с този проект за обсъждане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9F224D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Актуална информация относно обсъжданията по време на заседанието на Експертната група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2A–2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FD1CD6" w:rsidRPr="00BD72BD" w:rsidRDefault="009F224D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обобщение от заседанието на Експертната група, проведено на 4 април 2019 г. и списък със становищата, разгледаните на това и на предходното заседание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9F224D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Въпроси, нуждаещи се от уточняване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FD1CD6" w:rsidRPr="00BD72BD" w:rsidRDefault="009F224D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F032B7" w:rsidP="00FD1CD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конкретизира в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критерии, които трябва да бъдат удовлетворени, така че застрахователният договор да предоставя услуга по възвръщаемост на инвестицията.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Критериите са необходими условия за такава услуга, но не са определящи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такава услуга може да не е налице, дори критериите да са удовлетворени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Критериите са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F032B7" w:rsidP="00FD1CD6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налице е инвестиционен компонент или притежателят на полицата има право да изтегли определена сума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FD1CD6" w:rsidRPr="00BD72BD" w:rsidRDefault="00F032B7" w:rsidP="00FD1CD6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очаква се инвестиционният компонент или сумата, която притежателят на полицата има правото да изтегли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да включва положителна възвръщаемост от инвестицията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F032B7" w:rsidP="00FD1CD6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предприятието очаква да извърши инвестиционна дейност, за да генерира тази положителна възвръщаемост на инвестицията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F032B7" w:rsidRPr="00BD72BD">
        <w:rPr>
          <w:rFonts w:eastAsia="Times New Roman" w:cs="Helvetica"/>
          <w:color w:val="575757"/>
          <w:sz w:val="24"/>
          <w:szCs w:val="24"/>
          <w:lang w:val="bg-BG"/>
        </w:rPr>
        <w:t>Взетото в порядък на работна хипотеза решение на Съвета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032B7" w:rsidRPr="00BD72BD">
        <w:rPr>
          <w:rFonts w:eastAsia="Times New Roman" w:cs="Helvetica"/>
          <w:color w:val="575757"/>
          <w:sz w:val="24"/>
          <w:szCs w:val="24"/>
          <w:lang w:val="bg-BG"/>
        </w:rPr>
        <w:t>преразглежда предходно решение, което определяше, че инвестиционни услуги са налице единствено в договори, които включват инвестиционен компонент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032B7" w:rsidP="00F032B7">
      <w:pPr>
        <w:rPr>
          <w:lang w:val="bg-BG"/>
        </w:rPr>
      </w:pPr>
      <w:r w:rsidRPr="00BD72BD">
        <w:rPr>
          <w:lang w:val="bg-BG"/>
        </w:rPr>
        <w:t>(б)</w:t>
      </w:r>
      <w:r w:rsidRPr="00BD72BD">
        <w:rPr>
          <w:lang w:val="bg-BG"/>
        </w:rPr>
        <w:tab/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да включи в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насоки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че положителна възвръщаемост на инвестицията може да възникне дори когато абсолютната възвръщаемост е отрицателна 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например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в среда на отрицателни лихвени проценти</w:t>
      </w:r>
      <w:r w:rsidR="00FD1CD6" w:rsidRPr="00BD72BD">
        <w:rPr>
          <w:lang w:val="bg-BG"/>
        </w:rPr>
        <w:t>).</w:t>
      </w:r>
    </w:p>
    <w:p w:rsidR="00FD1CD6" w:rsidRPr="00BD72BD" w:rsidRDefault="00F032B7" w:rsidP="00F032B7">
      <w:pPr>
        <w:rPr>
          <w:lang w:val="bg-BG"/>
        </w:rPr>
      </w:pPr>
      <w:r w:rsidRPr="00BD72BD">
        <w:rPr>
          <w:lang w:val="bg-BG"/>
        </w:rPr>
        <w:t>(в)</w:t>
      </w:r>
      <w:r w:rsidRPr="00BD72BD">
        <w:rPr>
          <w:lang w:val="bg-BG"/>
        </w:rPr>
        <w:tab/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103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, за да поясни, че в равнението между началното и крайното салдо на пасивите по застрахователния договор не е необходимо предприятието да оповестява отделно инвестиционните компоненти и възстановяване на премии</w:t>
      </w:r>
      <w:r w:rsidR="00FD1CD6" w:rsidRPr="00BD72BD">
        <w:rPr>
          <w:lang w:val="bg-BG"/>
        </w:rPr>
        <w:t>.</w:t>
      </w:r>
    </w:p>
    <w:p w:rsidR="00FD1CD6" w:rsidRPr="00BD72BD" w:rsidRDefault="00F032B7" w:rsidP="00F032B7">
      <w:pPr>
        <w:rPr>
          <w:lang w:val="bg-BG"/>
        </w:rPr>
      </w:pPr>
      <w:r w:rsidRPr="00BD72BD">
        <w:rPr>
          <w:lang w:val="bg-BG"/>
        </w:rPr>
        <w:t>(г)</w:t>
      </w:r>
      <w:r w:rsidRPr="00BD72BD">
        <w:rPr>
          <w:lang w:val="bg-BG"/>
        </w:rPr>
        <w:tab/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123(a)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за да поясни, че промените в пасива за оставащо покритие, отнасящо се до суми, отпуснати в заем на клиенти, се изключват от застрахователните приходи</w:t>
      </w:r>
      <w:r w:rsidR="00FD1CD6" w:rsidRPr="00BD72BD">
        <w:rPr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 да не изменя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>по отношение на застрахователните договори, издадени от взаимозастрахователни предприятия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72E6A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обаче реши да добави бележка под черта към параграф </w:t>
      </w:r>
      <w:r w:rsidR="0090455C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ОЗ 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265 </w:t>
      </w:r>
      <w:r w:rsidR="0090455C" w:rsidRPr="00BD72BD">
        <w:rPr>
          <w:rFonts w:eastAsia="Times New Roman" w:cs="Helvetica"/>
          <w:color w:val="575757"/>
          <w:sz w:val="24"/>
          <w:szCs w:val="24"/>
          <w:lang w:val="bg-BG"/>
        </w:rPr>
        <w:t>от Основанието за заключения към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="0090455C" w:rsidRPr="00BD72BD">
        <w:rPr>
          <w:rFonts w:eastAsia="Times New Roman" w:cs="Helvetica"/>
          <w:color w:val="575757"/>
          <w:sz w:val="24"/>
          <w:szCs w:val="24"/>
          <w:lang w:val="bg-BG"/>
        </w:rPr>
        <w:t>за да поясни, че не всички предприятия, които биха могли да бъдат описани като взаимозастрахователни предприятия, притежават характеристиката, че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0455C" w:rsidRPr="00BD72BD">
        <w:rPr>
          <w:rFonts w:eastAsia="Times New Roman" w:cs="Helvetica"/>
          <w:color w:val="575757"/>
          <w:sz w:val="24"/>
          <w:szCs w:val="24"/>
          <w:lang w:val="bg-BG"/>
        </w:rPr>
        <w:t>най-голямата част от остатъчния дял в предприятието се дължи на притежател на полица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тези решения. Един от членовете отсъстваше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0C7CE6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Срок за предоставяне на коментари по Проекта за обсъждане 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Изменения в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17</w:t>
      </w:r>
      <w:r w:rsidR="00F73645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FD1CD6" w:rsidRPr="00BD72BD" w:rsidRDefault="000C7CE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да определи срок от 90 дни за предоставяне на коментари във връзка с Проекта за обсъждане – решение, разрешение за което бе дадено от Комитета за надзор над регламентираната процедура на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23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решение. Един от членовете отсъстваше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0C7CE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Проектът за обсъждане 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Изменения в</w:t>
      </w:r>
      <w:r w:rsidR="00FD1CD6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17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да бъде публикуван в края на юни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0C7CE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Към настоящия момент не са насрочени никакви по-нататъшни заседания на Експертната група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В бъдеще такова заседание може да бъде насрочено в зависимост от естеството на предоставените становища и това дали обсъжданията във връзка с такива представени становища биха били полезни за заинтересованите страни към този етап на въвеждане на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без да нарушават процеса по въвеждане и прилагане на стандарта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E10ED2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стандарти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4"/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15 май 2019 г. Съветът проведе заседание, за да 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изслуша обобщение на обратната информация, получена от заинтересованите </w:t>
      </w:r>
      <w:r w:rsidR="00F365E0">
        <w:rPr>
          <w:rFonts w:eastAsia="Times New Roman" w:cs="Helvetica"/>
          <w:color w:val="575757"/>
          <w:sz w:val="24"/>
          <w:szCs w:val="24"/>
          <w:lang w:val="bg-BG"/>
        </w:rPr>
        <w:t>страни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>, във връзка с оповестяванията относно доходите на наети лица и оценките по справедлива стойност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>както и да обсъди предложените подходи за разработване на технически анализ и препоръки в светлината на тази обратна информация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Документ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11A, 11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11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>В предоставиха обобщение на мероприятията по взаимодействие със заинтересованите страни и обратната информация</w:t>
      </w:r>
      <w:r w:rsidR="00F365E0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CF1D97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генерирана от тях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CF1D97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Подход спрямо техническия анализ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11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CF1D97" w:rsidP="00FD1CD6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проучи въпроса дали оповестяването на нова или различна информация относно доходите на наетите лица ще отговори по-ефикасно на потребностите на заинтересованите страни, отколкото сега съществуващите изисквания за оповестяване в МСС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19</w:t>
      </w:r>
      <w:r w:rsidR="00F365E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CF1D97" w:rsidP="00FD1CD6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проучи въпроса как да помогне на съставителите да извършват ефикасни преценки за нивото на същественост във връзка с оповестяванията на оценките по справедлива стойност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4E2CBB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обсъди подробен технически анализ на изискванията за оповестяване в МСС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19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13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Оценяване по справедлива стойност.</w:t>
      </w:r>
    </w:p>
    <w:p w:rsidR="00FD1CD6" w:rsidRPr="00BD72BD" w:rsidRDefault="00FD1CD6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</w:p>
    <w:p w:rsidR="00FD1CD6" w:rsidRPr="00BD72BD" w:rsidRDefault="00E10ED2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5"/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15 май 2019 г. Съветът проведе заседание, за да обсъди </w:t>
      </w:r>
      <w:r w:rsidR="00116CDE" w:rsidRPr="00BD72BD">
        <w:rPr>
          <w:rFonts w:eastAsia="Times New Roman" w:cs="Helvetica"/>
          <w:color w:val="575757"/>
          <w:sz w:val="24"/>
          <w:szCs w:val="24"/>
          <w:lang w:val="bg-BG"/>
        </w:rPr>
        <w:t>общия преглед на подхода на екипа по отношение преработката на Изложението за практика по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="00116CDE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16CDE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116CDE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отбеляза, че преработката на Изложението за практика има за цел да насърчи изготвянето на коментари на ръководството, които по-успешно удовлетворяват нуждите на основните потребители на финансовите отчети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Преработеното Изложение за практика ще предоставя насоки, които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116CDE" w:rsidP="00FD1CD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консолидират иновациите в текстовото отчитане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FD1CD6" w:rsidRPr="00BD72BD" w:rsidRDefault="00116CDE" w:rsidP="00FD1CD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адресират пропуските в отчетната практика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116CDE" w:rsidP="00FD1CD6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остават базирани на принципи, но съдържат достатъчно подробности, които да подкрепят стриктното им прилагане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116CDE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ще обсъди как качествените характеристики на полезната финансова информация следва да бъдат взети под внимание при изготвяне коментара на ръководството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136ADF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7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Всеобхватен преглед 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2019 </w:t>
      </w:r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г. на стандарта </w:t>
      </w:r>
      <w:r w:rsidR="00E83260" w:rsidRPr="00BD72B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МСФО за МСП 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30)</w:t>
      </w:r>
      <w:bookmarkEnd w:id="6"/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15 май 2019 г. Съветът проведе заседание, за да обсъди </w:t>
      </w:r>
      <w:r w:rsidR="00E0117F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всеобхватния преглед 2019 г. на стандарта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E0117F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Преглед 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2019</w:t>
      </w:r>
      <w:r w:rsidR="00E0117F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).</w:t>
      </w:r>
      <w:r w:rsidR="00E0117F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Съветът обсъди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E0117F" w:rsidP="00FD1CD6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подхода си по отношение на Преглед 2019 г.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30A;</w:t>
      </w:r>
    </w:p>
    <w:p w:rsidR="00FD1CD6" w:rsidRPr="00BD72BD" w:rsidRDefault="00E0117F" w:rsidP="00FD1CD6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пример, демонстриращ кога и как стандартът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би могъл да бъде приведен в съответствие с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16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30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E0117F" w:rsidP="00FD1CD6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как да се продължи работата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C5D93">
        <w:rPr>
          <w:rFonts w:eastAsia="Times New Roman" w:cs="Helvetica"/>
          <w:color w:val="575757"/>
          <w:sz w:val="24"/>
          <w:szCs w:val="24"/>
          <w:lang w:val="bg-BG"/>
        </w:rPr>
        <w:t xml:space="preserve">по проекта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 следващи етапи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30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0117F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че Искането </w:t>
      </w:r>
      <w:r w:rsidR="009C5D93">
        <w:rPr>
          <w:rFonts w:eastAsia="Times New Roman" w:cs="Helvetica"/>
          <w:color w:val="575757"/>
          <w:sz w:val="24"/>
          <w:szCs w:val="24"/>
          <w:lang w:val="bg-BG"/>
        </w:rPr>
        <w:t>з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а предоставяне на информация, което ще бъде </w:t>
      </w:r>
      <w:r w:rsidR="009C5D93">
        <w:rPr>
          <w:rFonts w:eastAsia="Times New Roman" w:cs="Helvetica"/>
          <w:color w:val="575757"/>
          <w:sz w:val="24"/>
          <w:szCs w:val="24"/>
          <w:lang w:val="bg-BG"/>
        </w:rPr>
        <w:t>публикувано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като част от Преглед 2019 г., следва да поиска предоставяне на виждания относно това дали и ако да, как, с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тандартът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следва да бъде хармонизиран с пълните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стандарти и измененията, които понастоящем не са включени в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стандарта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МСП.</w:t>
      </w:r>
    </w:p>
    <w:p w:rsidR="00FD1CD6" w:rsidRPr="00BD72BD" w:rsidRDefault="00E0117F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Когато взема решения дали и как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стандартът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следва да бъде хармонизиран с пълните МСФО стандарти и измененията, които понастоящем не са включени в стандарта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ще прилага три принципа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E0117F" w:rsidP="00FD1CD6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уместност за МСП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FD1CD6" w:rsidRPr="00BD72BD" w:rsidRDefault="00E0117F" w:rsidP="00FD1CD6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простота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E0117F" w:rsidP="00FD1CD6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достоверно представяне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0117F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поиска от екипа да изготви обобщение на взетите до момента от Съвета в порядък на работна хипотеза решения във връзка с Преглед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г.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включително описание на начина, по който принципите следва да бъдат приложени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двама – несъгласие с това решение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E0117F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През юни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г. Съветът ще започне обсъждания на това дали и как да хармонизира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стандарта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МСФО за МСП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 пълните МСФО стандарти и измененията, които не са включени в стандарта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136ADF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8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9)</w:t>
      </w:r>
      <w:bookmarkEnd w:id="7"/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На 16 май 2019 г. Съветът проведе заседание </w:t>
      </w:r>
      <w:r w:rsidR="007D6E1F" w:rsidRPr="00BD72BD">
        <w:rPr>
          <w:rFonts w:eastAsia="Times New Roman" w:cs="Helvetica"/>
          <w:color w:val="575757"/>
          <w:sz w:val="24"/>
          <w:szCs w:val="24"/>
          <w:lang w:val="bg-BG"/>
        </w:rPr>
        <w:t>за образователна сесия, посветена на проекта относно дейностите с регулирани цени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D6E1F" w:rsidRPr="00BD72BD">
        <w:rPr>
          <w:rFonts w:eastAsia="Times New Roman" w:cs="Helvetica"/>
          <w:color w:val="575757"/>
          <w:sz w:val="24"/>
          <w:szCs w:val="24"/>
          <w:lang w:val="bg-BG"/>
        </w:rPr>
        <w:t>Сесията включваше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7D6E1F" w:rsidP="00FD1CD6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обобщение на принципите, стоящи в основата на счетоводния модел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504EB1" w:rsidRPr="00BD72BD">
        <w:rPr>
          <w:rFonts w:eastAsia="Times New Roman" w:cs="Helvetica"/>
          <w:color w:val="575757"/>
          <w:sz w:val="24"/>
          <w:szCs w:val="24"/>
          <w:lang w:val="bg-BG"/>
        </w:rPr>
        <w:t>„модела“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)</w:t>
      </w:r>
      <w:r w:rsidR="00504EB1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който се разработва по отношение на регулаторните активи и регулаторните пасиви, </w:t>
      </w:r>
      <w:r w:rsidR="009C5D93">
        <w:rPr>
          <w:rFonts w:eastAsia="Times New Roman" w:cs="Helvetica"/>
          <w:color w:val="575757"/>
          <w:sz w:val="24"/>
          <w:szCs w:val="24"/>
          <w:lang w:val="bg-BG"/>
        </w:rPr>
        <w:t>възникващи</w:t>
      </w:r>
      <w:bookmarkStart w:id="8" w:name="_GoBack"/>
      <w:bookmarkEnd w:id="8"/>
      <w:r w:rsidR="00504EB1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когато предприятие, обект на регулация с дефинирани цени, доставя стоки или услуги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504EB1"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504EB1" w:rsidP="00FD1CD6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обсъждане на това дали взетите в порядък на работна хипотеза от Съвета решения са в съответствие с основните принципи на модела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E83260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FD1CD6" w:rsidRPr="00BD72BD" w:rsidRDefault="00504EB1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разискванията си относно основните принципи на модела през юни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D1CD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FD1CD6" w:rsidRPr="00BD72BD" w:rsidRDefault="00136ADF" w:rsidP="00FD1CD6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9" w:name="9"/>
      <w:r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E83260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18)</w:t>
      </w:r>
      <w:bookmarkEnd w:id="9"/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16 май 2019 г. Съветът проведе заседание, за да обсъди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F35EE6" w:rsidP="00FD1CD6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как да подобри изискванията за оповестяване относно бизнес комбинациите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F35EE6" w:rsidP="00FD1CD6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дали да предостави облекчение от изискването за задължителен ежегоден количествен тест за обезценка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F35EE6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По-добри оповестявания относно бизнес комбинациите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18A)</w:t>
      </w:r>
    </w:p>
    <w:p w:rsidR="00FD1CD6" w:rsidRPr="00BD72BD" w:rsidRDefault="00F35EE6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Една от целите на проекта относно репутацията и обезценката е да се идентифицират по-добри оповестявания относно бизнес комбинациите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обсъди допълнителен анализ на потенциалните подобрения в целите на оповестяването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 изискванията за оповестяване в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83260" w:rsidRPr="00BD72B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3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Бизнес комбинации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в отговор на обратната информация от заседанието на Съвета през април 2019 г.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6641DF" w:rsidP="00FD1CD6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Облекчение от изискването за задължителен ежегоден тест за обезценка 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E83260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18</w:t>
      </w: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FD1CD6"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FD1CD6" w:rsidRPr="00BD72BD" w:rsidRDefault="00043B9A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Друга цел на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проекта относно репутацията и обезценката е да се опрости счетоводното отчитане на репутацията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За да изпълни тази цел, Съветът обсъди потенциално облекчаване от изискването за задължителен ежегоден количествен тест за обезценка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включително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FD1CD6" w:rsidRPr="00BD72BD" w:rsidRDefault="00043B9A" w:rsidP="00FD1CD6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отстраняване на изискването за извършване на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задължителен ежегоден тест за обезценка по отношение на репутацията, когато не е налице индикация за обезценка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FD1CD6" w:rsidRPr="00BD72BD" w:rsidRDefault="00043B9A" w:rsidP="00FD1CD6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прилагане на същото облекчение по отношение на нематериални активи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 неограничен полезен живот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и нематериални активи, които все още не са на разположение за използване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A24544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D1CD6" w:rsidRPr="00BD72BD" w:rsidRDefault="00136ADF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FD1CD6" w:rsidRPr="00BD72BD" w:rsidRDefault="00043B9A" w:rsidP="00FD1CD6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На заседанието си през юни 2019 г. Съветът възнамерява да обсъди кои предварителни виждания да включи в документ за обсъждане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публикува този документ за обсъждане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през втората половина на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FD1CD6" w:rsidRPr="00BD72B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FF05E4" w:rsidRPr="00BD72BD" w:rsidRDefault="00FF05E4">
      <w:pPr>
        <w:rPr>
          <w:lang w:val="bg-BG"/>
        </w:rPr>
      </w:pPr>
    </w:p>
    <w:sectPr w:rsidR="00FF05E4" w:rsidRPr="00BD72BD" w:rsidSect="0045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1314"/>
    <w:multiLevelType w:val="multilevel"/>
    <w:tmpl w:val="0BCCED2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F1DC6"/>
    <w:multiLevelType w:val="multilevel"/>
    <w:tmpl w:val="114E5D3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D23C5"/>
    <w:multiLevelType w:val="multilevel"/>
    <w:tmpl w:val="295409A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0FAF"/>
    <w:multiLevelType w:val="multilevel"/>
    <w:tmpl w:val="40EABAE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45C0D"/>
    <w:multiLevelType w:val="multilevel"/>
    <w:tmpl w:val="8F7C13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E4767"/>
    <w:multiLevelType w:val="multilevel"/>
    <w:tmpl w:val="DA3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53DE"/>
    <w:multiLevelType w:val="multilevel"/>
    <w:tmpl w:val="AFD05D1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34F88"/>
    <w:multiLevelType w:val="multilevel"/>
    <w:tmpl w:val="E00CBB7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64C3D"/>
    <w:multiLevelType w:val="multilevel"/>
    <w:tmpl w:val="9662DD0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644B8"/>
    <w:multiLevelType w:val="multilevel"/>
    <w:tmpl w:val="A246D2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C04D7"/>
    <w:multiLevelType w:val="multilevel"/>
    <w:tmpl w:val="98DE260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F467D"/>
    <w:multiLevelType w:val="multilevel"/>
    <w:tmpl w:val="BBC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CD6"/>
    <w:rsid w:val="00043B9A"/>
    <w:rsid w:val="000B01DE"/>
    <w:rsid w:val="000C7CE6"/>
    <w:rsid w:val="00116CDE"/>
    <w:rsid w:val="00136ADF"/>
    <w:rsid w:val="0032225B"/>
    <w:rsid w:val="003A75F6"/>
    <w:rsid w:val="003B1822"/>
    <w:rsid w:val="004262A1"/>
    <w:rsid w:val="004560C3"/>
    <w:rsid w:val="004E2CBB"/>
    <w:rsid w:val="004F3CE1"/>
    <w:rsid w:val="00504EB1"/>
    <w:rsid w:val="00512BEC"/>
    <w:rsid w:val="00553BD2"/>
    <w:rsid w:val="006641DF"/>
    <w:rsid w:val="007B7A84"/>
    <w:rsid w:val="007D6E1F"/>
    <w:rsid w:val="0090455C"/>
    <w:rsid w:val="009C5D93"/>
    <w:rsid w:val="009F224D"/>
    <w:rsid w:val="00A24544"/>
    <w:rsid w:val="00A272C8"/>
    <w:rsid w:val="00B470D1"/>
    <w:rsid w:val="00BD5D4C"/>
    <w:rsid w:val="00BD72BD"/>
    <w:rsid w:val="00C72E6A"/>
    <w:rsid w:val="00CF1D97"/>
    <w:rsid w:val="00E0117F"/>
    <w:rsid w:val="00E10ED2"/>
    <w:rsid w:val="00E83260"/>
    <w:rsid w:val="00EA4B57"/>
    <w:rsid w:val="00F032B7"/>
    <w:rsid w:val="00F35EE6"/>
    <w:rsid w:val="00F365E0"/>
    <w:rsid w:val="00F73645"/>
    <w:rsid w:val="00FD1CD6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47F11-B5DC-44DE-9B8F-63D0347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49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may-2019/" TargetMode="External"/><Relationship Id="rId13" Type="http://schemas.openxmlformats.org/officeDocument/2006/relationships/hyperlink" Target="https://www.ifrs.org/news-and-events/updates/iasb-updates/may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may-2019/" TargetMode="External"/><Relationship Id="rId12" Type="http://schemas.openxmlformats.org/officeDocument/2006/relationships/hyperlink" Target="https://www.ifrs.org/news-and-events/updates/iasb-updates/may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may-2019/" TargetMode="External"/><Relationship Id="rId11" Type="http://schemas.openxmlformats.org/officeDocument/2006/relationships/hyperlink" Target="https://www.ifrs.org/news-and-events/updates/iasb-updates/may-2019/" TargetMode="External"/><Relationship Id="rId5" Type="http://schemas.openxmlformats.org/officeDocument/2006/relationships/hyperlink" Target="https://www.ifrs.org/news-and-events/updates/iasb-updates/may-20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frs.org/news-and-events/updates/iasb-updates/may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may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2148</Words>
  <Characters>12269</Characters>
  <Application>Microsoft Office Word</Application>
  <DocSecurity>0</DocSecurity>
  <Lines>261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21</cp:revision>
  <dcterms:created xsi:type="dcterms:W3CDTF">2019-05-23T06:18:00Z</dcterms:created>
  <dcterms:modified xsi:type="dcterms:W3CDTF">2019-05-26T16:46:00Z</dcterms:modified>
</cp:coreProperties>
</file>