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A4" w:rsidRPr="00DC25AD" w:rsidRDefault="003703A4" w:rsidP="003703A4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bookmarkStart w:id="0" w:name="_GoBack"/>
      <w:bookmarkEnd w:id="0"/>
      <w:r w:rsidRPr="00DC25A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IASB Update April 2019</w:t>
      </w:r>
    </w:p>
    <w:p w:rsidR="003703A4" w:rsidRPr="00DC25AD" w:rsidRDefault="00FD183D" w:rsidP="003703A4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DC25AD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април 2019 г.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3703A4" w:rsidRPr="00DC25AD" w:rsidRDefault="00FD183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:МСФО стандарти (IFRS</w:t>
      </w:r>
      <w:r w:rsidRPr="00DC25A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DC25A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DC25AD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DC25AD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br/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заседания </w:t>
      </w:r>
      <w:r w:rsidR="005A61A3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9 април 2019 г., вторник, до 11 април 2019 г., четвъртък, в офисите на Фондация МСФО в Лондон.</w:t>
      </w:r>
    </w:p>
    <w:p w:rsidR="003703A4" w:rsidRPr="00DC25AD" w:rsidRDefault="00FD183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5" w:anchor="1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C377CF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17 </w:t>
        </w:r>
        <w:r w:rsidR="002968F3" w:rsidRPr="00DC25AD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2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3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 и счетоводни приблизителни оценки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4579AE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МСС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  <w:lang w:val="bg-BG"/>
        </w:rPr>
      </w:pPr>
      <w:hyperlink r:id="rId8" w:anchor="4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Въпроси, свързани с </w:t>
        </w:r>
        <w:r w:rsidR="00452F9F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въвеждането и </w:t>
        </w:r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прилагането</w:t>
        </w:r>
      </w:hyperlink>
      <w:r w:rsidR="00452F9F" w:rsidRPr="00DC25AD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на стандартите</w:t>
      </w:r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5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3703A4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6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Актуализация на изследователската програма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7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8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9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Репутация и обезценка</w:t>
        </w:r>
      </w:hyperlink>
    </w:p>
    <w:p w:rsidR="003703A4" w:rsidRPr="00DC25AD" w:rsidRDefault="00A74CC5" w:rsidP="003703A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4" w:anchor="10" w:history="1">
        <w:r w:rsidR="002968F3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</w:hyperlink>
    </w:p>
    <w:p w:rsidR="003703A4" w:rsidRPr="00DC25AD" w:rsidRDefault="00FD183D" w:rsidP="003703A4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3703A4" w:rsidRPr="00DC25AD" w:rsidRDefault="00FD183D" w:rsidP="003703A4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Бъдещи заседания на Съвета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3703A4" w:rsidP="003703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13–17 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703A4" w:rsidRPr="00DC25AD" w:rsidRDefault="003703A4" w:rsidP="003703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17–19 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703A4" w:rsidRPr="00DC25AD" w:rsidRDefault="003703A4" w:rsidP="003703A4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22–26 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FD183D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3703A4" w:rsidRPr="00DC25AD" w:rsidRDefault="00452F9F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1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17 </w:t>
      </w:r>
      <w:r w:rsidRPr="00DC25A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 w:rsidR="003703A4" w:rsidRPr="00DC25AD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1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9 април 2019 г. Съветът проведе заседание, за да разгледа 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възможни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17 </w:t>
      </w:r>
      <w:r w:rsidR="00320D4C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възможните изменения в следния ред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320D4C" w:rsidP="003703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преглед на измененията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17—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2A;</w:t>
      </w:r>
    </w:p>
    <w:p w:rsidR="003703A4" w:rsidRPr="00DC25AD" w:rsidRDefault="002A3393" w:rsidP="003703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стъпки от регламентираната процедура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включително разрешение за гласуване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2A3393" w:rsidP="003703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въпроси, нуждаещи се от уточняване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2A3393" w:rsidP="003703A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годишни подобрения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="00320D4C" w:rsidRPr="00DC25AD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2A3393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Преглед на измененията в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17; </w:t>
      </w: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 стъпки от регламентираната процедура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включително разрешение за гласуване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</w:t>
      </w:r>
      <w:r w:rsidR="005A61A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2A–2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2A3393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2A3393" w:rsidP="003703A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разгледа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като цяло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2A3393" w:rsidP="003703A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направи оценка на всяко едно от предложените изменения спрямо критериите, които Съветът определи през октомври 2018 г.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44365D" w:rsidP="003703A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разгледа вероятните ефекти от предложение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17;</w:t>
      </w:r>
    </w:p>
    <w:p w:rsidR="003703A4" w:rsidRPr="00DC25AD" w:rsidRDefault="0044365D" w:rsidP="003703A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разгледа стъпките от регламентираната процедура, предприети от Съвета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при осъществяване на проекта за изменения с тесен обхват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и потвърди, че желае да публикува проект за обсъждане, излагащ предложените изменения в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44365D" w:rsidP="003703A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потвърди, че на този етап няма заявени намерения за изразяване на несъгласие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44365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потвърди също така и взетите в порядък на работна хипотеза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заседанието през ноември 2018 г., отнасящи се до задължителната дата на влизане в сила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 фиксираната дата на изтичане на временното изключение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4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прилагане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44365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потвърдиха тези въпроси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44365D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Въпроси, нуждаещи се от уточняване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44365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допълнителни опасения от заинтересованите лица, отнасящи се до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(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9)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които възникнаха във връзка с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17.</w:t>
      </w:r>
    </w:p>
    <w:p w:rsidR="003703A4" w:rsidRPr="00DC25AD" w:rsidRDefault="00C10D1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в порядък на работна хипотеза</w:t>
      </w:r>
      <w:r w:rsidR="00466F4E" w:rsidRPr="00DC25AD">
        <w:rPr>
          <w:rFonts w:eastAsia="Times New Roman" w:cs="Helvetica"/>
          <w:color w:val="575757"/>
          <w:sz w:val="24"/>
          <w:szCs w:val="24"/>
          <w:lang w:val="bg-BG"/>
        </w:rPr>
        <w:t>, че датата на влизане в сила за предложените изменения следва да бъде приведена в съответствие с датата на влизане в сила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466F4E" w:rsidRPr="00DC25AD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така че от предприятията да се изисква да прилагат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както и всякакви предложени изменения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за годишни периоди, започващи на или след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2022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хипотеза, че на предприятията ще се разрешава да прилагат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заедно с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всякакви предложени изменения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8F08CD" w:rsidRPr="00DC25AD">
        <w:rPr>
          <w:rFonts w:eastAsia="Times New Roman" w:cs="Helvetica"/>
          <w:color w:val="575757"/>
          <w:sz w:val="24"/>
          <w:szCs w:val="24"/>
          <w:lang w:val="bg-BG"/>
        </w:rPr>
        <w:t>за по-ранни периоди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8F08C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44365D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Годишни подобрения</w:t>
      </w:r>
      <w:r w:rsidR="008F08CD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3D2F7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обсъди препоръките за други незначителни промени, които биха попаднали в обхвата на Годишните подобрения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но които биха могли също така да бъдат разгледани в проекта за обсъждане на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изложен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получи също така и допълнителен доклад, обобщаващ обратната информация от проведеното на 4 април 2019 г. заседание на Експертната групата по въпросите на преминаването към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във връзка с някои от тези Годишни подобрения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F40BBF" w:rsidP="003D2F7F">
      <w:pPr>
        <w:shd w:val="clear" w:color="auto" w:fill="FFFFFF"/>
        <w:tabs>
          <w:tab w:val="left" w:pos="6276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96(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изключи промените, отнасящи се до стойността на парите във времето и финансовия риск от корекцията в маржа на договорената услуга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 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96(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97(a)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адресира разбивката на промените в корекцията за риска по отношение на нефинансовия риск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 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118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поясни, че предприятието може да преустанови използването на опцията за смекчаване на риска по отношение на група застрахователни договори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само ако критериите за 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>допустимост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за групата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престанат да бъдат приложими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поясни дефиницията на инвестиционен компонент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да измени параграф 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11(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гарантира,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>е приложим по отношение на инвестиционни договори с допълнителен, негарантиран доход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да измени параграф 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48(a)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 параграф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50(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коригира компонента на загубата с оглед промени в корекцията за риск по отношение на нефинансовия риск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D2F7F" w:rsidP="003703A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измени параграф 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128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>, за да поясни, че промени в оценката на група застрахователни договори, предизвикани от промени в стоящите в основата позиции, следва да бъдат третирани, за целите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17, 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като промени в инвестициите и </w:t>
      </w:r>
      <w:r w:rsidR="007F2000"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следователно като промени, свързани със стойността на парите във времето или предположения, които са свързани с финансов риск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3703A4" w:rsidRPr="00DC25AD" w:rsidRDefault="007F2000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Екипът планира да поиска разрешение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Комитета за надзор върху регламентираната процедура за съкратен период за предоставяне на коментари във връзка с проекта за обсъждане на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Екипът планира също така да се обърне с молба към Съвета да определи периода за предоставяне на коментари на заседанието си през май 2019 г.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929CF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това заседание Съветът ще разгледа </w:t>
      </w:r>
      <w:r w:rsidR="005A61A3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също така </w:t>
      </w:r>
      <w:r w:rsidR="001929CF" w:rsidRPr="00DC25AD">
        <w:rPr>
          <w:rFonts w:eastAsia="Times New Roman" w:cs="Helvetica"/>
          <w:color w:val="575757"/>
          <w:sz w:val="24"/>
          <w:szCs w:val="24"/>
          <w:lang w:val="bg-BG"/>
        </w:rPr>
        <w:t>и евентуални допълнителни въпроси, нуждаещи се от уточняване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929C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Екипът очаква проектът за обсъждане с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бъде публикуван в края на юни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452F9F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2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23)</w:t>
      </w:r>
      <w:bookmarkEnd w:id="2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10 април 2019 г. Съветът проведе заседание, за да обсъди </w:t>
      </w:r>
      <w:r w:rsidR="00ED2457" w:rsidRPr="00DC25AD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бизнес комбинациите под общ контрол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ED2457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Актуална информация във връзка с подхода на екипа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23A)</w:t>
      </w:r>
    </w:p>
    <w:p w:rsidR="003703A4" w:rsidRPr="00DC25AD" w:rsidRDefault="00ED2457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даде указания на екипа да продължи да разработва оценъчни подходи за сделки, попадащи в обхвата на проекта, като разгледа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ED2457" w:rsidP="003703A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дали и как сделки, попадащи в обхвата на проекта, могат да се различават от бизнес комбинации, които не са под общ контрол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ED2457" w:rsidP="003703A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каква информация би била полезна за различните основни потребители на финансовите отчети на получаващото предприятие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ED2457" w:rsidP="003703A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дали ползите от предоставянето на конкретна информация биха надвишили разходите за предоставянето й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и</w:t>
      </w:r>
    </w:p>
    <w:p w:rsidR="003703A4" w:rsidRPr="00DC25AD" w:rsidRDefault="00ED2457" w:rsidP="003703A4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сложност и възможности за структуриране, които биха могли да произтекат при различните подходи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ED2457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Актуална информация относно заемодатели и други кредитори при бизнес комбинации под общ контрол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23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C10D1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в порядък на работна хипотеза</w:t>
      </w:r>
      <w:r w:rsidR="00ED2457" w:rsidRPr="00DC25AD">
        <w:rPr>
          <w:rFonts w:eastAsia="Times New Roman" w:cs="Helvetica"/>
          <w:color w:val="575757"/>
          <w:sz w:val="24"/>
          <w:szCs w:val="24"/>
          <w:lang w:val="bg-BG"/>
        </w:rPr>
        <w:t>, че не е необходимо да се стреми към един единствен подход за оценяване по отношение на всички сделки и операции, попадащи в обхвата на проекта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ED2457" w:rsidRPr="00DC25AD">
        <w:rPr>
          <w:rFonts w:eastAsia="Times New Roman" w:cs="Helvetica"/>
          <w:color w:val="575757"/>
          <w:sz w:val="24"/>
          <w:szCs w:val="24"/>
          <w:lang w:val="bg-BG"/>
        </w:rPr>
        <w:t>По-конкретно Съветът би могъл да се стреми към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ED2457" w:rsidP="003703A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подход на текущата стойност по отношение на всички или на някои сделки, които засягат неконтролиращите акционери в получаващото предприятие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ED2457" w:rsidP="003703A4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различен подход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73EC7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например някаква форма на </w:t>
      </w:r>
      <w:r w:rsidR="000F6C63" w:rsidRPr="00DC25AD">
        <w:rPr>
          <w:rFonts w:eastAsia="Times New Roman" w:cs="Helvetica"/>
          <w:color w:val="575757"/>
          <w:sz w:val="24"/>
          <w:szCs w:val="24"/>
          <w:lang w:val="bg-BG"/>
        </w:rPr>
        <w:t>„</w:t>
      </w:r>
      <w:r w:rsidR="00E73EC7" w:rsidRPr="00DC25AD">
        <w:rPr>
          <w:rFonts w:eastAsia="Times New Roman" w:cs="Helvetica"/>
          <w:color w:val="575757"/>
          <w:sz w:val="24"/>
          <w:szCs w:val="24"/>
          <w:lang w:val="bg-BG"/>
        </w:rPr>
        <w:t>подход на предшественика</w:t>
      </w:r>
      <w:r w:rsidR="000F6C63" w:rsidRPr="00DC25AD">
        <w:rPr>
          <w:rFonts w:eastAsia="Times New Roman" w:cs="Helvetica"/>
          <w:color w:val="575757"/>
          <w:sz w:val="24"/>
          <w:szCs w:val="24"/>
          <w:lang w:val="bg-BG"/>
        </w:rPr>
        <w:t>” (счетоводно отчитане на базата на съществуващите балансови стойности)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 отношение на сделки, които засягат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заемодатели и други кредитори в получаващото предприятие, но не засягат неконтролиращи акционери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FD0D36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E73EC7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очаква да продължи обсъжданията относно подходите за оценяване по отношение на сделки и операции, попадащи в обхвата на проекта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452F9F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3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Счетоводни политики и счетоводни приблизителни оценки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26)</w:t>
      </w:r>
      <w:bookmarkEnd w:id="3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10 април 2019 г. Съветът проведе заседание, за да обсъди </w:t>
      </w:r>
      <w:r w:rsidR="006D4E19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направения от екипа анализ на обратната информация във връзка с Проекта за обсъждане </w:t>
      </w:r>
      <w:r w:rsidR="006D4E19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Счетоводни политики и счетоводни приблизителни оценки 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6D4E19" w:rsidRPr="00DC25AD">
        <w:rPr>
          <w:rFonts w:eastAsia="Times New Roman" w:cs="Helvetica"/>
          <w:color w:val="575757"/>
          <w:sz w:val="24"/>
          <w:szCs w:val="24"/>
          <w:lang w:val="bg-BG"/>
        </w:rPr>
        <w:t>предложени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579AE" w:rsidRPr="00DC25AD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8); </w:t>
      </w:r>
      <w:r w:rsidR="006D4E19" w:rsidRPr="00DC25AD">
        <w:rPr>
          <w:rFonts w:eastAsia="Times New Roman" w:cs="Helvetica"/>
          <w:color w:val="575757"/>
          <w:sz w:val="24"/>
          <w:szCs w:val="24"/>
          <w:lang w:val="bg-BG"/>
        </w:rPr>
        <w:t>и да обсъди предварителните виждания на екипа относно посоката на развитие на проекта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6D4E1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продължи обсъжданията по проекта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452F9F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4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Въпроси, свързани с въвеждането и прилагането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на стандартите 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4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На 10 април 2019 г. Съветът проведе заседание, за да обсъди </w:t>
      </w:r>
      <w:r w:rsidR="006D4E19" w:rsidRPr="00DC25AD"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въвеждането и прилагането на стандартите.</w:t>
      </w:r>
    </w:p>
    <w:p w:rsidR="003703A4" w:rsidRPr="00DC25AD" w:rsidRDefault="006D4E19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Бюлетин с актуална информация от КРМСФО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12A–12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6D4E1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проведените през януари и март 2019 г. заседания на Комитета по разясненията на 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Подробности от заседанията са публикувани в Бюлетина с актуална информация от КРМСФО - 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IFRIC </w:t>
      </w:r>
      <w:r w:rsidR="003703A4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Update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12A–12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452F9F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5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Счетоводни политики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5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10 април 2019 г. Съветът проведе заседание, за да обсъди </w:t>
      </w:r>
      <w:r w:rsidR="00823CE5" w:rsidRPr="00DC25AD">
        <w:rPr>
          <w:rFonts w:eastAsia="Times New Roman" w:cs="Helvetica"/>
          <w:color w:val="575757"/>
          <w:sz w:val="24"/>
          <w:szCs w:val="24"/>
          <w:lang w:val="bg-BG"/>
        </w:rPr>
        <w:t>дали екипът може да пристъпи към процедурата по гласуване на проекта за обсъждане с предложените изменения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579AE" w:rsidRPr="00DC25AD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823CE5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823CE5"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23CE5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Изложението за практика по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="00823CE5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Извършване на преценки във връзка с нивото на същественост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0F7F58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Предложени изменения в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4579AE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1 </w:t>
      </w: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 Изложение за практика по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2</w:t>
      </w: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3703A4"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—</w:t>
      </w: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стъпки от регламентираната процедура и разрешение за пристъпване към процедурата по гласуване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11A)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F7F58" w:rsidRPr="00DC25AD">
        <w:rPr>
          <w:rFonts w:eastAsia="Times New Roman" w:cs="Helvetica"/>
          <w:color w:val="575757"/>
          <w:sz w:val="24"/>
          <w:szCs w:val="24"/>
          <w:lang w:val="bg-BG"/>
        </w:rPr>
        <w:t>да разреши предсрочно прилагане на предложените изменения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0F7F58" w:rsidRPr="00DC25AD">
        <w:rPr>
          <w:rFonts w:eastAsia="Times New Roman" w:cs="Helvetica"/>
          <w:color w:val="575757"/>
          <w:sz w:val="24"/>
          <w:szCs w:val="24"/>
          <w:lang w:val="bg-BG"/>
        </w:rPr>
        <w:t>както и че те следва да се прилагат перспективно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0F7F58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да отпусне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120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дни за периода за предоставяне на коментари по проекта за обсъждане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0F7F58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се е уверил, че е изпълнил приложимите изисквания от регламентираната процедура и че е осъществил достатъчно консултации и е извършил достатъчно анализи, за да се пристъпи към процедурата по гласуване на проекта за обсъждане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E66F68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Г-н Мартин Еделман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възнамерява да изрази несъгласие с издаването на проекта за обсъждане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E66F68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планира да издаде проект за обсъждане с предложените изменения в </w:t>
      </w:r>
      <w:r w:rsidR="004579AE" w:rsidRPr="00DC25AD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през втората половина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6E29CD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6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Актуализация на изследователската програма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6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 10 април 2019 г. Съветът проведе заседание, за да бъде запознат с актуална информация относно изследователската си програма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 (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>Информация за работната програма на Съвета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>включително изследователската програма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е достъпна </w:t>
      </w:r>
      <w:hyperlink r:id="rId15" w:history="1">
        <w:r w:rsidR="00033699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тук</w:t>
        </w:r>
      </w:hyperlink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.)</w:t>
      </w:r>
    </w:p>
    <w:p w:rsidR="003703A4" w:rsidRPr="00DC25AD" w:rsidRDefault="0003369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отбеляза, че екипът очаква да започне работа по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033699" w:rsidP="003703A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прегледа след въвеждане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10 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 11 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12 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Оповестяване на участия в други предприятия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през второто тримесечие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033699" w:rsidP="003703A4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метода на собствения капитал,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през второто или третото тримесечие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 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03369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бъде запознат със следващата актуална информация във връзка с изследователската си програма през третото тримесечие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6E29CD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7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устна актуализация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7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10 април 2019 г. Съветът проведе заседание, за да бъде запознат с актуална информация 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  <w:hyperlink r:id="rId16" w:history="1">
        <w:r w:rsidR="00033699" w:rsidRPr="00DC25AD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проекта</w:t>
        </w:r>
      </w:hyperlink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>и с основните послания от заседанието на Консултативната група по въпросите на коментара на ръководството, проведено през април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2019</w:t>
      </w:r>
      <w:r w:rsidR="00033699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F40BBF"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03369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очаква да продължи обсъжданията във връзка с този проект на заседанието си през май 2019 г.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6E29CD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8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Основни финансови </w:t>
      </w:r>
      <w:r w:rsidR="00CF1465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отчети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8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 11 април 2019 г. Съветът проведе заседание, за да обсъди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6E3245" w:rsidP="003703A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изменения в предложенията на Съвета относно оценките на ръководството за резултатите от дейността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6E3245" w:rsidP="003703A4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неразрешени въпроси, свързани с проектните предложения относно финансовите предприятия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засягащи основно класификацията на приходи и разходи в отчета или отчетите за финансовите резултати от дейността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6E3245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Изменение на предложенията относно оценките на ръководството за резултатите от дейността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21A)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E3245" w:rsidRPr="00DC25AD">
        <w:rPr>
          <w:rFonts w:eastAsia="Times New Roman" w:cs="Helvetica"/>
          <w:color w:val="575757"/>
          <w:sz w:val="24"/>
          <w:szCs w:val="24"/>
          <w:lang w:val="bg-BG"/>
        </w:rPr>
        <w:t>да поясни, че оценките на ръководството за резултатите от дейността са обект на общите изисквания, че информацията, включена във финансовия отчет, трябва да осигурява достоверно представяне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6E3245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 да посочи,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оценките на ръководството за резултатите от дейността следва да представя</w:t>
      </w:r>
      <w:r w:rsidR="007B1A34" w:rsidRPr="00DC25AD">
        <w:rPr>
          <w:rFonts w:eastAsia="Times New Roman" w:cs="Helvetica"/>
          <w:color w:val="575757"/>
          <w:sz w:val="24"/>
          <w:szCs w:val="24"/>
          <w:lang w:val="bg-BG"/>
        </w:rPr>
        <w:t>т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достоверно финансовите резултати от дейността на предприятието пред потребителите на финансовите отчети.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6E3245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Съответно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7B1A34" w:rsidP="003703A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че </w:t>
      </w:r>
      <w:r w:rsidR="006E3245" w:rsidRPr="00DC25AD">
        <w:rPr>
          <w:rFonts w:eastAsia="Times New Roman" w:cs="Helvetica"/>
          <w:color w:val="575757"/>
          <w:sz w:val="24"/>
          <w:szCs w:val="24"/>
          <w:lang w:val="bg-BG"/>
        </w:rPr>
        <w:t>би било ненужно да се направи изрично изявление, забраняващо подвеждащите оценки на ръководството за резултатите от дейността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6E3245" w:rsidP="003703A4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не налага допълнителни ограничения върху това как оценките на ръководството за резултатите от дейността следва да бъдат изчислявани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например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като забрани използването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специално разработени счетоводни политики.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6E3245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7B1A34" w:rsidP="003703A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посочи, че предприятието може да идентифицира дадена оценка като оценка на ръководството за резултатите от дейността във финансовите си отчети единствено ако използва същата оценка в останалите си публични комуникации с потребителите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7B1A34" w:rsidP="003703A4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не определя изискване предприятието да идентифицира позиции от приходи или разходи, отговарящи на дефиницията за необичайни позиции, които са изключени от оценките на ръководството за резултатите от дейността на предприятието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7B1A34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Неразрешени въпроси по отношение на финансовите предприятия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21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A17DE9" w:rsidP="003703A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включва приходите от парични средства и парични еквиваленти в оперативната печалба,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ако в хода на основните си стопански дейности предприятието инвестира във финансови активи, които генерират възвръщаемост самостоятелно и в до голяма степен независимо от други ресурси на предприятието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17DE9" w:rsidP="003703A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изисква предприятието да включва в оперативната печалба разходите, свързани с пасиви, произтичащи от инвестиционни договори с характеристики на участие в разпределението на печалбата, които то издава и които са в обхвата на М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9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решение, а един член отсъстваше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17DE9" w:rsidP="003703A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поясни и илюстрира вида предприятия, които Съветът е имал предвид при разработване на изискванията, които се позовават на „основни стопански дейности” съгласно параграфи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63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64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21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17DE9" w:rsidP="003703A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да посочи, че когато стопанска дейност съставлява отделен подлежащ на отчитане сегмент, прилагайки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Оперативни сегменти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това </w:t>
      </w:r>
      <w:r w:rsidR="00D41C09" w:rsidRPr="00DC25AD">
        <w:rPr>
          <w:rFonts w:eastAsia="Times New Roman" w:cs="Helvetica"/>
          <w:color w:val="575757"/>
          <w:sz w:val="24"/>
          <w:szCs w:val="24"/>
          <w:lang w:val="bg-BG"/>
        </w:rPr>
        <w:t>е индикация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че тази дейност е възможно да е основна стопанска дейност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17DE9" w:rsidP="003703A4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да поясни, че приходи, разходи и </w:t>
      </w:r>
      <w:r w:rsidR="00D41C09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парични потоци от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дивиденти от асоциирани и съвместни предприятия, които не се отчитат счетоводно с помо</w:t>
      </w:r>
      <w:r w:rsidR="00D41C09" w:rsidRPr="00DC25AD">
        <w:rPr>
          <w:rFonts w:eastAsia="Times New Roman" w:cs="Helvetica"/>
          <w:color w:val="575757"/>
          <w:sz w:val="24"/>
          <w:szCs w:val="24"/>
          <w:lang w:val="bg-BG"/>
        </w:rPr>
        <w:t>щ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та на метода на собствения капитал, следва да бъдат класифицирани по същия начин, както </w:t>
      </w:r>
      <w:r w:rsidR="00D41C09" w:rsidRPr="00DC25AD">
        <w:rPr>
          <w:rFonts w:eastAsia="Times New Roman" w:cs="Helvetica"/>
          <w:color w:val="575757"/>
          <w:sz w:val="24"/>
          <w:szCs w:val="24"/>
          <w:lang w:val="bg-BG"/>
        </w:rPr>
        <w:t>приходи, разходи и парични потоци от дивиденти от други инвестиции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17439F"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3703A4" w:rsidRPr="00DC25AD" w:rsidRDefault="00D41C09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бъдещо заседание Съветът ще обсъди какъв вид консултативен документ следва да публикува, за да потърси обратна информация във връзка с предложенията по този проект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6E29CD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9" w:name="9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18)</w:t>
      </w:r>
      <w:bookmarkEnd w:id="9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 11 април 2019 г. Съветът проведе заседание, за да обсъди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0B179D" w:rsidP="003703A4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как идеите, проучвани като част от проекта, посветен на репутацията и обезценката, биха могли да спомогнат за постигане на целите, изложени по време на заседанието на Съвета през юли 2018 г.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0B179D" w:rsidP="003703A4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как да подобри изискванията за оповестяване по отношение на бизнес комбинациите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0B179D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Разбиране как идеите, които се проучват, са взаимосвързани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18A)</w:t>
      </w:r>
    </w:p>
    <w:p w:rsidR="003703A4" w:rsidRPr="00DC25AD" w:rsidRDefault="000B179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обсъди идеите, които се проучват и дали те биха могли да помогнат за постигане на целите на проекта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Тези идеи включват изискването на по-добри оповестявания за бизнес комбинациите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повторното въвеждане на амортизацията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осигуряване на облекчение от задължителния ежегоден тест за обезценка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 подобряване на начина, по който се изчислява стойността в употреба.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0B179D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По-добри оповестявания по отношение на бизнес комбинациите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18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0B179D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Една от целите на проекта, посветен на репутацията и обезценката, е да се идентифицират по-добри оповестявания по отношение на бизнес комбинациите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обсъди потенциално подобрения в целите на оповестяването и изискванията за оповестяване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3 </w:t>
      </w:r>
      <w:r w:rsidR="001B2C5E" w:rsidRPr="00DC25A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Бизнес комбинации, </w:t>
      </w:r>
      <w:r w:rsidR="001B2C5E" w:rsidRPr="00DC25AD">
        <w:rPr>
          <w:rFonts w:eastAsia="Times New Roman" w:cs="Helvetica"/>
          <w:color w:val="575757"/>
          <w:sz w:val="24"/>
          <w:szCs w:val="24"/>
          <w:lang w:val="bg-BG"/>
        </w:rPr>
        <w:t>включително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1B2C5E" w:rsidP="003703A4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поясняване на целите на оповестяването в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3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 добавяне на нова цел на оповестяването предприятията да предоставят информация относно последващите резултати на придобития или комбиниран бизнес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3703A4" w:rsidRPr="00DC25AD" w:rsidRDefault="001B2C5E" w:rsidP="003703A4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добавяне изисквания предприятията да оповестяват дали ключовите цели на бизнес комбинацията са били постигнати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3703A4" w:rsidRPr="00DC25AD" w:rsidRDefault="001B2C5E" w:rsidP="003703A4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реализиране на други целеви подобрения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F40BB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>Следващи етапи</w:t>
      </w:r>
    </w:p>
    <w:p w:rsidR="003703A4" w:rsidRPr="00DC25AD" w:rsidRDefault="001B2C5E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ще обсъди кои предварителни виждания относно постигане на целите на проекта да бъдат включени в документа за обсъждане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планира да публикува документа за обсъждане през втората половина на 2019 г.</w:t>
      </w:r>
    </w:p>
    <w:p w:rsidR="003703A4" w:rsidRPr="00DC25AD" w:rsidRDefault="003703A4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 </w:t>
      </w:r>
    </w:p>
    <w:p w:rsidR="003703A4" w:rsidRPr="00DC25AD" w:rsidRDefault="006E29CD" w:rsidP="003703A4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0" w:name="10"/>
      <w:r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C377CF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4)</w:t>
      </w:r>
      <w:bookmarkEnd w:id="10"/>
    </w:p>
    <w:p w:rsidR="003703A4" w:rsidRPr="00DC25AD" w:rsidRDefault="003056EB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На 11 април 2019 г. Съветът проведе заседание, за да обсъди </w:t>
      </w:r>
      <w:r w:rsidR="00AD1EE6" w:rsidRPr="00DC25AD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динамичното управление на риска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377CF" w:rsidRPr="00DC25AD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4A </w:t>
      </w:r>
      <w:r w:rsidR="00AD1EE6" w:rsidRPr="00DC25AD">
        <w:rPr>
          <w:rFonts w:eastAsia="Times New Roman" w:cs="Helvetica"/>
          <w:color w:val="575757"/>
          <w:sz w:val="24"/>
          <w:szCs w:val="24"/>
          <w:lang w:val="bg-BG"/>
        </w:rPr>
        <w:t>предоставя единствено с информационна цел обобщение на проведените до момента обсъждания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D1EE6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Определени стратегии и целеви профил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4</w:t>
      </w:r>
      <w:r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AD1EE6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обсъди дали моделът на динамично управление на риска следва да не разрешава на предприятието да определя специфични видове стратегии в рамките на целевия профил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10D1B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AD1EE6" w:rsidP="003703A4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моделът на динамично управление на риска не следва да разрешава отрицателни салда да бъдат дефинирани в рамките на целевия профил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D1EE6" w:rsidP="003703A4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когато промените в стратегията за управление на риска са чести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преустанови перспективно прилагането на модела на динамично управление на риска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B312D7" w:rsidP="003703A4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стратегията за управление на риска на предприятието следва да е ясно документирана с конкретно посочен времеви хоризонт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Ако дадена стратегия е дефинирана по начин, който е под условия на бъдещи събития,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настъпването на тези условни събития следва да се третира като промяна в стратегията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B312D7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Някои членове на Съвета поискаха екипът да предостави примери за събития, които биха могли да породят промяна в стратегията на предприятието за управление на риска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B312D7" w:rsidP="003703A4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DC25AD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Представяне 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C377CF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4</w:t>
      </w:r>
      <w:r w:rsidR="00AD1EE6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3703A4" w:rsidRPr="00DC25A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3703A4" w:rsidRPr="00DC25AD" w:rsidRDefault="00B312D7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обсъди как деривативите, определени в рамките на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D1EE6" w:rsidRPr="00DC25AD">
        <w:rPr>
          <w:rFonts w:eastAsia="Times New Roman" w:cs="Helvetica"/>
          <w:color w:val="575757"/>
          <w:sz w:val="24"/>
          <w:szCs w:val="24"/>
          <w:lang w:val="bg-BG"/>
        </w:rPr>
        <w:t>модела на динамично управление на риска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следва да бъдат представяни във финансовия отчет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C10D1B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AD1EE6" w:rsidP="003703A4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моделът на динамично управление на риска </w:t>
      </w:r>
      <w:r w:rsidR="00B312D7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не следва да изисква представяне на определените деривативи в позиция на отделен ред на лицевата част на отчета за </w:t>
      </w:r>
      <w:r w:rsidR="00B312D7" w:rsidRPr="00DC25AD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финансовото състояние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B312D7" w:rsidRPr="00DC25AD">
        <w:rPr>
          <w:rFonts w:eastAsia="Times New Roman" w:cs="Helvetica"/>
          <w:color w:val="575757"/>
          <w:sz w:val="24"/>
          <w:szCs w:val="24"/>
          <w:lang w:val="bg-BG"/>
        </w:rPr>
        <w:t>тази информация обаче следва да е ясно комуникирана до потребителите в пояснителните приложения към финансовия отчет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AD1EE6" w:rsidP="003703A4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моделът на динамично управление на риска </w:t>
      </w:r>
      <w:r w:rsidR="00B312D7" w:rsidRPr="00DC25AD">
        <w:rPr>
          <w:rFonts w:eastAsia="Times New Roman" w:cs="Helvetica"/>
          <w:color w:val="575757"/>
          <w:sz w:val="24"/>
          <w:szCs w:val="24"/>
          <w:lang w:val="bg-BG"/>
        </w:rPr>
        <w:t>не следва да изисква представянето на промените в справедливата стойност на определените деривативи в позиция на отделен ред в друг всеобхватен доход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="00B312D7" w:rsidRPr="00DC25AD">
        <w:rPr>
          <w:rFonts w:eastAsia="Times New Roman" w:cs="Helvetica"/>
          <w:color w:val="575757"/>
          <w:sz w:val="24"/>
          <w:szCs w:val="24"/>
          <w:lang w:val="bg-BG"/>
        </w:rPr>
        <w:t>тази информация обаче следва да е ясно комуникирана до потребителите в пояснителните приложения към финансовия отчет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тези решения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B312D7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Относно </w:t>
      </w:r>
      <w:r w:rsidR="005C0DFC" w:rsidRPr="00DC25AD">
        <w:rPr>
          <w:rFonts w:eastAsia="Times New Roman" w:cs="Helvetica"/>
          <w:color w:val="575757"/>
          <w:sz w:val="24"/>
          <w:szCs w:val="24"/>
          <w:lang w:val="bg-BG"/>
        </w:rPr>
        <w:t>отчета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за финансовото състояние и друг всеобхватен доход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10D1B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3703A4" w:rsidRPr="00DC25AD" w:rsidRDefault="00B312D7" w:rsidP="003703A4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съответстващата част от определените деривативи следва да бъде комуникирана по начин, който ясно да посочва, че тя е свързана с лихвени приходи и разходи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и представена като позиция на отделен ред на лицевата част на отчета за печалбата или загубата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5C0DFC" w:rsidP="003703A4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несъответстващата част от определените деривативи следва да бъде комуникирана по начин, който ясно да посочва, че тя не е свързана с лихвени приходи, лихвени разходи и съответстващата част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5C0DFC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 допълнение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C10D1B" w:rsidRPr="00DC25A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D1EE6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моделът на динамично управление на риска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не следва да изисква представяне на несъответстващата част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в позиция на отделен ред на лицевата страна на отчета за печалбата или загубата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тя обаче следва да е ясно комуникирана до потребителите в пояснителните приложения към финансовия отчет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Пояснителните приложения следва да посочват позицията на отделен ред в печалбата или загубата, където е представено несъответствието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3703A4" w:rsidRPr="00DC25AD" w:rsidRDefault="0017439F" w:rsidP="003703A4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Единадесет членове на Съвета изразиха съгласие, а двама - несъгласие с това решение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C25AD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отсъстваше</w:t>
      </w:r>
      <w:r w:rsidR="003703A4" w:rsidRPr="00DC25A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2129F" w:rsidRPr="00DC25AD" w:rsidRDefault="00D2129F">
      <w:pPr>
        <w:rPr>
          <w:lang w:val="bg-BG"/>
        </w:rPr>
      </w:pPr>
    </w:p>
    <w:sectPr w:rsidR="00D2129F" w:rsidRPr="00DC25AD" w:rsidSect="0056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1B"/>
    <w:multiLevelType w:val="multilevel"/>
    <w:tmpl w:val="DBF8358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E8A"/>
    <w:multiLevelType w:val="multilevel"/>
    <w:tmpl w:val="2CB43CD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0477C"/>
    <w:multiLevelType w:val="multilevel"/>
    <w:tmpl w:val="3460C8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1B8F"/>
    <w:multiLevelType w:val="multilevel"/>
    <w:tmpl w:val="332EF9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F1989"/>
    <w:multiLevelType w:val="multilevel"/>
    <w:tmpl w:val="D1BE235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A1916"/>
    <w:multiLevelType w:val="multilevel"/>
    <w:tmpl w:val="2AC650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E6F7D"/>
    <w:multiLevelType w:val="multilevel"/>
    <w:tmpl w:val="D608968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562A0"/>
    <w:multiLevelType w:val="multilevel"/>
    <w:tmpl w:val="6D0AB74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F4CEC"/>
    <w:multiLevelType w:val="multilevel"/>
    <w:tmpl w:val="6C3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B4470"/>
    <w:multiLevelType w:val="multilevel"/>
    <w:tmpl w:val="970C3A7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664D0"/>
    <w:multiLevelType w:val="multilevel"/>
    <w:tmpl w:val="16342F3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00163"/>
    <w:multiLevelType w:val="multilevel"/>
    <w:tmpl w:val="DC62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310EE"/>
    <w:multiLevelType w:val="multilevel"/>
    <w:tmpl w:val="62E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43095"/>
    <w:multiLevelType w:val="multilevel"/>
    <w:tmpl w:val="060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A2470"/>
    <w:multiLevelType w:val="multilevel"/>
    <w:tmpl w:val="A218128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D6021"/>
    <w:multiLevelType w:val="multilevel"/>
    <w:tmpl w:val="1B0276D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302BB"/>
    <w:multiLevelType w:val="multilevel"/>
    <w:tmpl w:val="6A62B72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3A4"/>
    <w:rsid w:val="00033699"/>
    <w:rsid w:val="00076905"/>
    <w:rsid w:val="000B179D"/>
    <w:rsid w:val="000F6C63"/>
    <w:rsid w:val="000F7F58"/>
    <w:rsid w:val="00170027"/>
    <w:rsid w:val="0017439F"/>
    <w:rsid w:val="001929CF"/>
    <w:rsid w:val="001B2C5E"/>
    <w:rsid w:val="002968F3"/>
    <w:rsid w:val="002A3393"/>
    <w:rsid w:val="002F49FE"/>
    <w:rsid w:val="003056EB"/>
    <w:rsid w:val="00320D4C"/>
    <w:rsid w:val="003703A4"/>
    <w:rsid w:val="003C20D3"/>
    <w:rsid w:val="003D2F7F"/>
    <w:rsid w:val="0044365D"/>
    <w:rsid w:val="00452F9F"/>
    <w:rsid w:val="004579AE"/>
    <w:rsid w:val="00466F4E"/>
    <w:rsid w:val="0056320F"/>
    <w:rsid w:val="00591A20"/>
    <w:rsid w:val="005A61A3"/>
    <w:rsid w:val="005C0DFC"/>
    <w:rsid w:val="006D4E19"/>
    <w:rsid w:val="006E29CD"/>
    <w:rsid w:val="006E3245"/>
    <w:rsid w:val="00704E52"/>
    <w:rsid w:val="007953CE"/>
    <w:rsid w:val="007B1A34"/>
    <w:rsid w:val="007B7401"/>
    <w:rsid w:val="007F2000"/>
    <w:rsid w:val="00823CE5"/>
    <w:rsid w:val="008F08CD"/>
    <w:rsid w:val="00944BC4"/>
    <w:rsid w:val="00A17DE9"/>
    <w:rsid w:val="00A74CC5"/>
    <w:rsid w:val="00AD1EE6"/>
    <w:rsid w:val="00B312D7"/>
    <w:rsid w:val="00C10D1B"/>
    <w:rsid w:val="00C34497"/>
    <w:rsid w:val="00C377CF"/>
    <w:rsid w:val="00CF1465"/>
    <w:rsid w:val="00D2129F"/>
    <w:rsid w:val="00D41C09"/>
    <w:rsid w:val="00DC25AD"/>
    <w:rsid w:val="00E66F68"/>
    <w:rsid w:val="00E73EC7"/>
    <w:rsid w:val="00ED2457"/>
    <w:rsid w:val="00F40BBF"/>
    <w:rsid w:val="00FD0D36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A458F-FAC6-4F26-837D-26799BE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1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049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april-2019/" TargetMode="External"/><Relationship Id="rId13" Type="http://schemas.openxmlformats.org/officeDocument/2006/relationships/hyperlink" Target="https://www.ifrs.org/news-and-events/updates/iasb-updates/april-20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april-2019/" TargetMode="External"/><Relationship Id="rId12" Type="http://schemas.openxmlformats.org/officeDocument/2006/relationships/hyperlink" Target="https://www.ifrs.org/news-and-events/updates/iasb-updates/april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frs.org/projects/work-plan/management-comment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april-2019/" TargetMode="External"/><Relationship Id="rId11" Type="http://schemas.openxmlformats.org/officeDocument/2006/relationships/hyperlink" Target="https://www.ifrs.org/news-and-events/updates/iasb-updates/april-2019/" TargetMode="External"/><Relationship Id="rId5" Type="http://schemas.openxmlformats.org/officeDocument/2006/relationships/hyperlink" Target="https://www.ifrs.org/news-and-events/updates/iasb-updates/april-2019/" TargetMode="External"/><Relationship Id="rId15" Type="http://schemas.openxmlformats.org/officeDocument/2006/relationships/hyperlink" Target="https://www.ifrs.org/projects/work-plan/" TargetMode="External"/><Relationship Id="rId10" Type="http://schemas.openxmlformats.org/officeDocument/2006/relationships/hyperlink" Target="https://www.ifrs.org/news-and-events/updates/iasb-updates/april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april-2019/" TargetMode="External"/><Relationship Id="rId14" Type="http://schemas.openxmlformats.org/officeDocument/2006/relationships/hyperlink" Target="https://www.ifrs.org/news-and-events/updates/iasb-updates/april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3526</Words>
  <Characters>20280</Characters>
  <Application>Microsoft Office Word</Application>
  <DocSecurity>0</DocSecurity>
  <Lines>397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Svetoslava Velinova</cp:lastModifiedBy>
  <cp:revision>5</cp:revision>
  <dcterms:created xsi:type="dcterms:W3CDTF">2019-04-19T05:33:00Z</dcterms:created>
  <dcterms:modified xsi:type="dcterms:W3CDTF">2019-04-19T12:53:00Z</dcterms:modified>
</cp:coreProperties>
</file>