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FE" w:rsidRPr="00310072" w:rsidRDefault="00B25EFE" w:rsidP="00B25EFE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r w:rsidRPr="00310072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 xml:space="preserve">IASB </w:t>
      </w:r>
      <w:proofErr w:type="spellStart"/>
      <w:r w:rsidRPr="00310072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Update</w:t>
      </w:r>
      <w:proofErr w:type="spellEnd"/>
      <w:r w:rsidRPr="00310072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 xml:space="preserve"> </w:t>
      </w:r>
      <w:proofErr w:type="spellStart"/>
      <w:r w:rsidRPr="00310072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March</w:t>
      </w:r>
      <w:proofErr w:type="spellEnd"/>
      <w:r w:rsidRPr="00310072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 xml:space="preserve"> 2019</w:t>
      </w:r>
    </w:p>
    <w:p w:rsidR="00B25EFE" w:rsidRPr="00310072" w:rsidRDefault="00F95A97" w:rsidP="00B25EFE">
      <w:pPr>
        <w:shd w:val="clear" w:color="auto" w:fill="A41F35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r w:rsidRPr="00310072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март 2019 г.</w:t>
      </w:r>
    </w:p>
    <w:p w:rsidR="00B25EFE" w:rsidRPr="00310072" w:rsidRDefault="00B25EFE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</w:p>
    <w:p w:rsidR="00B25EFE" w:rsidRPr="00310072" w:rsidRDefault="00F95A97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 :МСФО стандарти (IFRS</w:t>
      </w:r>
      <w:r w:rsidRPr="00310072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 </w:t>
      </w:r>
      <w:proofErr w:type="spellStart"/>
      <w:r w:rsidRPr="00310072">
        <w:rPr>
          <w:rFonts w:eastAsia="Times New Roman" w:cs="Helvetica"/>
          <w:color w:val="575757"/>
          <w:sz w:val="24"/>
          <w:szCs w:val="24"/>
          <w:lang w:val="bg-BG"/>
        </w:rPr>
        <w:t>Standards</w:t>
      </w:r>
      <w:proofErr w:type="spellEnd"/>
      <w:r w:rsidRPr="00310072">
        <w:rPr>
          <w:rFonts w:eastAsia="Times New Roman" w:cs="Helvetica"/>
          <w:color w:val="575757"/>
          <w:sz w:val="24"/>
          <w:szCs w:val="24"/>
          <w:lang w:val="bg-BG"/>
        </w:rPr>
        <w:t>), Изменения и Разяснения (IFRIC</w:t>
      </w:r>
      <w:r w:rsidRPr="00310072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 </w:t>
      </w:r>
      <w:proofErr w:type="spellStart"/>
      <w:r w:rsidRPr="00310072">
        <w:rPr>
          <w:rFonts w:eastAsia="Times New Roman" w:cs="Helvetica"/>
          <w:color w:val="575757"/>
          <w:sz w:val="24"/>
          <w:szCs w:val="24"/>
          <w:lang w:val="bg-BG"/>
        </w:rPr>
        <w:t>Interpretations</w:t>
      </w:r>
      <w:proofErr w:type="spellEnd"/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) се подлагат на официално гласуване, съгласно предвиденото в </w:t>
      </w:r>
      <w:r w:rsidRPr="00310072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(IFRS</w:t>
      </w:r>
      <w:r w:rsidRPr="00310072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proofErr w:type="spellStart"/>
      <w:r w:rsidRPr="00310072">
        <w:rPr>
          <w:rFonts w:eastAsia="Times New Roman" w:cs="Helvetica"/>
          <w:color w:val="575757"/>
          <w:sz w:val="24"/>
          <w:szCs w:val="24"/>
          <w:lang w:val="bg-BG"/>
        </w:rPr>
        <w:t>Foundation</w:t>
      </w:r>
      <w:proofErr w:type="spellEnd"/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) и Комитета по разясненията на МСФО (IFRS </w:t>
      </w:r>
      <w:proofErr w:type="spellStart"/>
      <w:r w:rsidRPr="00310072">
        <w:rPr>
          <w:rFonts w:eastAsia="Times New Roman" w:cs="Helvetica"/>
          <w:color w:val="575757"/>
          <w:sz w:val="24"/>
          <w:szCs w:val="24"/>
          <w:lang w:val="bg-BG"/>
        </w:rPr>
        <w:t>Interpretation</w:t>
      </w:r>
      <w:proofErr w:type="spellEnd"/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proofErr w:type="spellStart"/>
      <w:r w:rsidRPr="00310072">
        <w:rPr>
          <w:rFonts w:eastAsia="Times New Roman" w:cs="Helvetica"/>
          <w:color w:val="575757"/>
          <w:sz w:val="24"/>
          <w:szCs w:val="24"/>
          <w:lang w:val="bg-BG"/>
        </w:rPr>
        <w:t>Committee</w:t>
      </w:r>
      <w:proofErr w:type="spellEnd"/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br/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br/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заседания </w:t>
      </w:r>
      <w:r w:rsidR="000B5C83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12 март 2019 г., вторник, до 14 март 2019 г., четвъртък, в офисите на Фондация МСФО в Лондон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F95A97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777E93" w:rsidP="00B25EF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5" w:anchor="1" w:history="1">
        <w:r w:rsidR="0014369D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Класифициране на пасивите като текущи или нетекущи</w:t>
        </w:r>
        <w:r w:rsidR="00B25EFE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14369D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Изменение на</w:t>
        </w:r>
        <w:r w:rsidR="00B25EFE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F34C3E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МСС</w:t>
        </w:r>
        <w:r w:rsidR="00B25EFE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1)</w:t>
        </w:r>
      </w:hyperlink>
    </w:p>
    <w:p w:rsidR="00B25EFE" w:rsidRPr="00310072" w:rsidRDefault="00777E93" w:rsidP="00B25EF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6" w:anchor="2" w:history="1">
        <w:r w:rsidR="0014369D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МСП, които са дъщерни предприятия</w:t>
        </w:r>
      </w:hyperlink>
    </w:p>
    <w:p w:rsidR="00B25EFE" w:rsidRPr="00310072" w:rsidRDefault="00777E93" w:rsidP="00B25EF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7" w:anchor="3" w:history="1">
        <w:r w:rsidR="0014369D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Преглед и актуализация на стандарта за МСП</w:t>
        </w:r>
      </w:hyperlink>
    </w:p>
    <w:p w:rsidR="00B25EFE" w:rsidRPr="00310072" w:rsidRDefault="00777E93" w:rsidP="00B25EF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8" w:anchor="4" w:history="1">
        <w:r w:rsidR="0014369D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Финансови инструменти с характеристики на собствен капитал</w:t>
        </w:r>
      </w:hyperlink>
    </w:p>
    <w:p w:rsidR="00B25EFE" w:rsidRPr="00310072" w:rsidRDefault="00777E93" w:rsidP="00B25EF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9" w:anchor="5" w:history="1">
        <w:r w:rsidR="0014369D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Бизнес комбинации под общ контрол</w:t>
        </w:r>
      </w:hyperlink>
    </w:p>
    <w:p w:rsidR="00B25EFE" w:rsidRPr="00310072" w:rsidRDefault="00777E93" w:rsidP="00B25EF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0" w:anchor="6" w:history="1">
        <w:r w:rsidR="0014369D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Добивни дейности</w:t>
        </w:r>
      </w:hyperlink>
    </w:p>
    <w:p w:rsidR="00B25EFE" w:rsidRPr="00310072" w:rsidRDefault="00777E93" w:rsidP="00B25EF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1" w:anchor="7" w:history="1">
        <w:r w:rsidR="0014369D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Основни финансови отчети</w:t>
        </w:r>
      </w:hyperlink>
    </w:p>
    <w:p w:rsidR="00B25EFE" w:rsidRPr="00310072" w:rsidRDefault="00777E93" w:rsidP="00B25EF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2" w:anchor="8" w:history="1">
        <w:r w:rsidR="0014369D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Изменение на</w:t>
        </w:r>
        <w:r w:rsidR="00B25EFE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4A3C6E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B25EFE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17 </w:t>
        </w:r>
        <w:r w:rsidR="0014369D" w:rsidRPr="00310072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Застрахователни договори</w:t>
        </w:r>
      </w:hyperlink>
    </w:p>
    <w:p w:rsidR="00B25EFE" w:rsidRPr="00310072" w:rsidRDefault="00777E93" w:rsidP="00B25EF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3" w:anchor="9" w:history="1">
        <w:r w:rsidR="0014369D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</w:hyperlink>
    </w:p>
    <w:p w:rsidR="00B25EFE" w:rsidRPr="00310072" w:rsidRDefault="00777E93" w:rsidP="00B25EF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4" w:anchor="10" w:history="1">
        <w:r w:rsidR="0014369D" w:rsidRPr="00310072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Реформата във връзка с референтните лихвени проценти </w:t>
        </w:r>
        <w:hyperlink r:id="rId15" w:anchor="5" w:history="1">
          <w:r w:rsidR="0014369D" w:rsidRPr="00310072">
            <w:rPr>
              <w:rFonts w:eastAsia="Times New Roman" w:cs="Helvetica"/>
              <w:color w:val="CD3333"/>
              <w:sz w:val="24"/>
              <w:szCs w:val="24"/>
              <w:u w:val="single"/>
              <w:lang w:val="bg-BG"/>
            </w:rPr>
            <w:t>и нейният ефект върху финансовото отчитане</w:t>
          </w:r>
        </w:hyperlink>
      </w:hyperlink>
    </w:p>
    <w:p w:rsidR="00B25EFE" w:rsidRPr="00310072" w:rsidRDefault="00F95A97" w:rsidP="00B25EFE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Допълнителна информация</w:t>
      </w:r>
    </w:p>
    <w:p w:rsidR="00B25EFE" w:rsidRPr="00310072" w:rsidRDefault="00F95A97" w:rsidP="00B25EFE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Бъдещи заседания на Съвета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B25EFE" w:rsidP="00B25EFE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8–12 </w:t>
      </w:r>
      <w:r w:rsidR="00F95A97" w:rsidRPr="00310072">
        <w:rPr>
          <w:rFonts w:eastAsia="Times New Roman" w:cs="Helvetica"/>
          <w:color w:val="575757"/>
          <w:sz w:val="24"/>
          <w:szCs w:val="24"/>
          <w:lang w:val="bg-BG"/>
        </w:rPr>
        <w:t>април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F95A97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B25EFE" w:rsidRPr="00310072" w:rsidRDefault="00B25EFE" w:rsidP="00B25EFE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13–17 </w:t>
      </w:r>
      <w:r w:rsidR="00F95A97" w:rsidRPr="00310072">
        <w:rPr>
          <w:rFonts w:eastAsia="Times New Roman" w:cs="Helvetica"/>
          <w:color w:val="575757"/>
          <w:sz w:val="24"/>
          <w:szCs w:val="24"/>
          <w:lang w:val="bg-BG"/>
        </w:rPr>
        <w:t>май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F95A97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B25EFE" w:rsidRPr="00310072" w:rsidRDefault="00B25EFE" w:rsidP="00B25EFE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17–19 </w:t>
      </w:r>
      <w:r w:rsidR="00F95A97" w:rsidRPr="00310072">
        <w:rPr>
          <w:rFonts w:eastAsia="Times New Roman" w:cs="Helvetica"/>
          <w:color w:val="575757"/>
          <w:sz w:val="24"/>
          <w:szCs w:val="24"/>
          <w:lang w:val="bg-BG"/>
        </w:rPr>
        <w:t>юни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F95A97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B25EFE" w:rsidRPr="00310072" w:rsidRDefault="00AD5126" w:rsidP="00B25EF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0" w:name="1"/>
      <w:r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Класифициране</w:t>
      </w:r>
      <w:r w:rsidR="0014369D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на пасивите като текущи или нетекущи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4A3C6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29)</w:t>
      </w:r>
      <w:bookmarkEnd w:id="0"/>
    </w:p>
    <w:p w:rsidR="00B25EFE" w:rsidRPr="00310072" w:rsidRDefault="00B040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 12 март 2019 г. Съветът проведе заседание, за да продължи с обсъжданията си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D5126" w:rsidRPr="00310072">
        <w:rPr>
          <w:rFonts w:eastAsia="Times New Roman" w:cs="Helvetica"/>
          <w:color w:val="575757"/>
          <w:sz w:val="24"/>
          <w:szCs w:val="24"/>
          <w:lang w:val="bg-BG"/>
        </w:rPr>
        <w:t>на коментарите във връзка с Проекта за обсъждане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="00AD5126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Класифициране на пасиви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AD5126" w:rsidRPr="00310072">
        <w:rPr>
          <w:rFonts w:eastAsia="Times New Roman" w:cs="Helvetica"/>
          <w:color w:val="575757"/>
          <w:sz w:val="24"/>
          <w:szCs w:val="24"/>
          <w:lang w:val="bg-BG"/>
        </w:rPr>
        <w:t>който предлага изменения в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D5126" w:rsidRPr="00310072">
        <w:rPr>
          <w:rFonts w:eastAsia="Times New Roman" w:cs="Helvetica"/>
          <w:color w:val="575757"/>
          <w:sz w:val="24"/>
          <w:szCs w:val="24"/>
          <w:lang w:val="bg-BG"/>
        </w:rPr>
        <w:t>параграфи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69–76 </w:t>
      </w:r>
      <w:r w:rsidR="00AD5126" w:rsidRPr="00310072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F34C3E" w:rsidRPr="00310072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="00AD5126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D5126" w:rsidP="00B25EF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Пасиви с характеристики на уреждане със собствен капитал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(</w:t>
      </w:r>
      <w:r w:rsidR="004A3C6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29A)</w:t>
      </w:r>
    </w:p>
    <w:p w:rsidR="00B25EFE" w:rsidRPr="00310072" w:rsidRDefault="00250328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D5126" w:rsidRPr="00310072">
        <w:rPr>
          <w:rFonts w:eastAsia="Times New Roman" w:cs="Helvetica"/>
          <w:color w:val="575757"/>
          <w:sz w:val="24"/>
          <w:szCs w:val="24"/>
          <w:lang w:val="bg-BG"/>
        </w:rPr>
        <w:t>да поясни изискванията в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F34C3E" w:rsidRPr="00310072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="00AD5126" w:rsidRPr="00310072">
        <w:rPr>
          <w:rFonts w:eastAsia="Times New Roman" w:cs="Helvetica"/>
          <w:color w:val="575757"/>
          <w:sz w:val="24"/>
          <w:szCs w:val="24"/>
          <w:lang w:val="bg-BG"/>
        </w:rPr>
        <w:t>за класифициране на пасиви с характеристики на уреждане със собствен капитал, като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AD5126" w:rsidP="00B25EF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поясни обстоятелствата, при които задължение за прехвърляне на инструменти на собствения капитал на предприятието оказва влияние върху класифицирането на пасив;</w:t>
      </w:r>
    </w:p>
    <w:p w:rsidR="00B25EFE" w:rsidRPr="00310072" w:rsidRDefault="00AD5126" w:rsidP="00B25EF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поясни, че съществуващите и предложените препратки към капиталови инструменти се отнасят до инструментите на собствения капитал на предприятието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D5126" w:rsidP="00B25EF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хармонизира терминологията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препращайки към „прехвърляне към контрагента”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а не „емитиране”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инструментите на собствения капитал на предприятието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Терминът „прехвърляне” ще се отнася до всеки начин за доставка на инструментите на собствения капитал на предприятието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 контрагента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включително емитирането на нови инструменти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9A4C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D5126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поиска от екипа да осъществи целеви консултации</w:t>
      </w:r>
      <w:r w:rsidR="00B33955" w:rsidRPr="00310072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с цел получаване на по-добро разбиране за практическия ефект от тези пояснения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44789A" w:rsidP="00B25EF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Кредитни условия, тествани след края на отчетния период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(</w:t>
      </w:r>
      <w:r w:rsidR="004A3C6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29</w:t>
      </w:r>
      <w:r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B25EFE" w:rsidRPr="00310072" w:rsidRDefault="0044789A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 предишното си заседание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50328"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да поясни в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F34C3E" w:rsidRPr="00310072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, че при оценяване правото на предприятието да отсрочи уреждането на даден пасив, спазването на условия в споразумение за кредитиране следва да бъде оценявано към отчетната дата дори ако кредитодателят няма да тества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изпълнението на изискванията от страна на предприятието преди настъпването на по-късна дата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44789A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На това свое заседание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0409B"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да не добавя допълнителни насоки относно това как да се тества спазването на условия, обвързани с финансовите резултати от дейността на предприятието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44789A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Десет от четиринадесетте членове на Съвета изразиха съгласие, а четирима – несъгласие с това решение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20D25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:rsidR="00B25EFE" w:rsidRPr="00310072" w:rsidRDefault="0044789A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ще обсъди механизми за преход и ще извърши преглед на регламентираната процедура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във връзка с този проект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B25EFE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B25EFE" w:rsidRPr="00310072" w:rsidRDefault="0014369D" w:rsidP="00B25EF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" w:name="2"/>
      <w:r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МСП, които са дъщерни предприятия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4A3C6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31)</w:t>
      </w:r>
      <w:bookmarkEnd w:id="1"/>
    </w:p>
    <w:p w:rsidR="00B25EFE" w:rsidRPr="00310072" w:rsidRDefault="00B040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 12 март 2019 г. Съветът проведе заседание, за да бъде запознат с актуална информация относно изследователския си проект, посветен на МСП, които са дъщерни предприятия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Този проект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който преди това беше в процес на изчакване в поредицата изследователски проекти, сега става активен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250328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20D25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B25EFE" w:rsidRPr="00310072" w:rsidRDefault="0044789A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Екипът ще осъществи мероприятия от работата със заинтересованите страни.</w:t>
      </w:r>
    </w:p>
    <w:p w:rsidR="00B25EFE" w:rsidRPr="00310072" w:rsidRDefault="00B25EFE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B25EFE" w:rsidRPr="00310072" w:rsidRDefault="0014369D" w:rsidP="00B25EF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2" w:name="3"/>
      <w:r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Всеобхватен преглед 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2019 </w:t>
      </w:r>
      <w:r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г. на стандарта </w:t>
      </w:r>
      <w:r w:rsidR="004A3C6E" w:rsidRPr="00310072">
        <w:rPr>
          <w:rFonts w:eastAsia="Times New Roman" w:cs="Helvetica"/>
          <w:b/>
          <w:bCs/>
          <w:i/>
          <w:color w:val="CD3333"/>
          <w:sz w:val="34"/>
          <w:szCs w:val="34"/>
          <w:lang w:val="bg-BG"/>
        </w:rPr>
        <w:t>МСФО</w:t>
      </w:r>
      <w:r w:rsidR="00B25EFE" w:rsidRPr="00310072">
        <w:rPr>
          <w:rFonts w:eastAsia="Times New Roman" w:cs="Helvetica"/>
          <w:b/>
          <w:bCs/>
          <w:i/>
          <w:color w:val="CD3333"/>
          <w:sz w:val="34"/>
          <w:szCs w:val="34"/>
          <w:lang w:val="bg-BG"/>
        </w:rPr>
        <w:t xml:space="preserve"> </w:t>
      </w:r>
      <w:r w:rsidRPr="00310072">
        <w:rPr>
          <w:rFonts w:eastAsia="Times New Roman" w:cs="Helvetica"/>
          <w:b/>
          <w:bCs/>
          <w:i/>
          <w:color w:val="CD3333"/>
          <w:sz w:val="34"/>
          <w:szCs w:val="34"/>
          <w:lang w:val="bg-BG"/>
        </w:rPr>
        <w:t>за МСП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4A3C6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30)</w:t>
      </w:r>
      <w:bookmarkEnd w:id="2"/>
    </w:p>
    <w:p w:rsidR="00B25EFE" w:rsidRPr="00310072" w:rsidRDefault="00B040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На 12 март 2019 г. Съветът проведе заседание, за да обсъди </w:t>
      </w:r>
      <w:r w:rsidR="009C7043" w:rsidRPr="00310072">
        <w:rPr>
          <w:rFonts w:eastAsia="Times New Roman" w:cs="Helvetica"/>
          <w:color w:val="575757"/>
          <w:sz w:val="24"/>
          <w:szCs w:val="24"/>
          <w:lang w:val="bg-BG"/>
        </w:rPr>
        <w:t>всеобхватния преглед за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9C7043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г. на стандарта</w:t>
      </w:r>
      <w:r w:rsidR="00246E2C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9C7043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 МСП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9C7043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обсъди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0003AC" w:rsidP="00B25EF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дали стандартът</w:t>
      </w:r>
      <w:r w:rsidR="00246E2C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за МСП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следва да бъде приведен в съответствие с пълните МСФО стандарти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B25EFE" w:rsidRPr="00310072" w:rsidRDefault="000003AC" w:rsidP="00B25EF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принципите, които да бъдат прилагани, когато се преценява дали и как стандартът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 МСП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следва да бъде актуализиран с оглед </w:t>
      </w:r>
      <w:r w:rsidR="00246E2C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вземане под внимание на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новите и изменени МСФО стандарти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25EFE" w:rsidRPr="00310072" w:rsidRDefault="000003AC" w:rsidP="00B25EF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дали </w:t>
      </w:r>
      <w:r w:rsidR="00246E2C" w:rsidRPr="00310072">
        <w:rPr>
          <w:rFonts w:eastAsia="Times New Roman" w:cs="Helvetica"/>
          <w:color w:val="575757"/>
          <w:sz w:val="24"/>
          <w:szCs w:val="24"/>
          <w:lang w:val="bg-BG"/>
        </w:rPr>
        <w:t>„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Искането за предоставяне на информация</w:t>
      </w:r>
      <w:r w:rsidR="00246E2C" w:rsidRPr="00310072">
        <w:rPr>
          <w:rFonts w:eastAsia="Times New Roman" w:cs="Helvetica"/>
          <w:color w:val="575757"/>
          <w:sz w:val="24"/>
          <w:szCs w:val="24"/>
          <w:lang w:val="bg-BG"/>
        </w:rPr>
        <w:t>”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следва да препоръча хармонизиране на Раздел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„Концепции и всеобхватни принципи” на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стандарта </w:t>
      </w:r>
      <w:r w:rsidR="004A3C6E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 МСП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издадената през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2018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г. </w:t>
      </w:r>
      <w:r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Концептуална рамка за финансово </w:t>
      </w:r>
      <w:r w:rsidR="00246E2C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отчитане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0003AC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не взе никакви решения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20D25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:rsidR="00B25EFE" w:rsidRPr="00310072" w:rsidRDefault="000003AC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даде указания на екипа да изготви доклад, демонстриращ как принципите биха били приложени, когато се преценява дали и как </w:t>
      </w:r>
      <w:r w:rsidR="00246E2C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стандартът </w:t>
      </w:r>
      <w:r w:rsidR="00246E2C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="00246E2C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следва да бъде актуализиран с оглед вземане под внимание на новите и изменени МСФО стандарти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B25EFE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B25EFE" w:rsidRPr="00310072" w:rsidRDefault="0014369D" w:rsidP="00B25EF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3" w:name="4"/>
      <w:r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Финансови инструменти с характеристики на собствен капитал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4A3C6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5)</w:t>
      </w:r>
      <w:bookmarkEnd w:id="3"/>
    </w:p>
    <w:p w:rsidR="00B25EFE" w:rsidRPr="00310072" w:rsidRDefault="00B040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На 13 март 2019 г. Съветът проведе заседание, за да обсъди </w:t>
      </w:r>
      <w:r w:rsidR="00E70D37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теми, възникващи в резултат на обратната информация във връзка с Документа за обсъждане </w:t>
      </w:r>
      <w:r w:rsidR="00E70D37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Финансови инструменти с характеристики на собствен капитал </w:t>
      </w:r>
      <w:r w:rsidR="00E70D37" w:rsidRPr="00310072">
        <w:rPr>
          <w:rFonts w:eastAsia="Times New Roman" w:cs="Helvetica"/>
          <w:color w:val="575757"/>
          <w:sz w:val="24"/>
          <w:szCs w:val="24"/>
          <w:lang w:val="bg-BG"/>
        </w:rPr>
        <w:t>посредством писма с коментари и мероприятия от работата със заинтересованите страни</w:t>
      </w:r>
      <w:r w:rsidR="00B25EFE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.</w:t>
      </w:r>
    </w:p>
    <w:p w:rsidR="00B25EFE" w:rsidRPr="00310072" w:rsidRDefault="00250328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20D25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:rsidR="00B25EFE" w:rsidRPr="00310072" w:rsidRDefault="00E70D37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 бъдещи свои заседания Съветът ще бъде запознат с подробен анализ на писмата с коментари във връзка с Документа за обсъждане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B25EFE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B25EFE" w:rsidRPr="00310072" w:rsidRDefault="0014369D" w:rsidP="00B25EF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4" w:name="5"/>
      <w:r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Бизнес комбинации под общ контрол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4A3C6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23)</w:t>
      </w:r>
      <w:bookmarkEnd w:id="4"/>
    </w:p>
    <w:p w:rsidR="00B25EFE" w:rsidRPr="00310072" w:rsidRDefault="00B040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На 13 март 2019 г. Съветът проведе заседание, за да обсъди </w:t>
      </w:r>
      <w:r w:rsidR="009758A2" w:rsidRPr="00310072">
        <w:rPr>
          <w:rFonts w:eastAsia="Times New Roman" w:cs="Helvetica"/>
          <w:color w:val="575757"/>
          <w:sz w:val="24"/>
          <w:szCs w:val="24"/>
          <w:lang w:val="bg-BG"/>
        </w:rPr>
        <w:t>изследователския проект, посветен на бизнес комбинациите под общ контрол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79416D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обсъди информационните потребности на различни видове основни потребители на финансовите отчети на предприятието и как тези информационни потребности се вземат под внимание при разработването на алтернативи за оценяване по отношение на попадащите в обхвата на проекта сделки и операции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79416D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обсъди също така и дали би могъл да бъде приложен подход на предшественика по отношение на сделки между изцяло притежавани предприятия, в частност, по отношение на сделки, които засягат заемодатели и други кредитори на получаващото предприятие или засягат потенциални инвеститори в собствен капитал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250328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20D25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B25EFE" w:rsidRPr="00310072" w:rsidRDefault="0079416D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продължи с обсъжданията относно методите за счетоводно отчитане по отношение на сделки, попадащи в обхвата на проекта, на бъдещи свои заседания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B25EFE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B25EFE" w:rsidRPr="00310072" w:rsidRDefault="0014369D" w:rsidP="00B25EF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5" w:name="6"/>
      <w:r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Добивни дейности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4A3C6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19)</w:t>
      </w:r>
      <w:bookmarkEnd w:id="5"/>
    </w:p>
    <w:p w:rsidR="00B25EFE" w:rsidRPr="00310072" w:rsidRDefault="00B040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На 13 март 2019 г. Съветът проведе заседание, за да обсъди </w:t>
      </w:r>
      <w:r w:rsidR="004D3443" w:rsidRPr="00310072">
        <w:rPr>
          <w:rFonts w:eastAsia="Times New Roman" w:cs="Helvetica"/>
          <w:color w:val="575757"/>
          <w:sz w:val="24"/>
          <w:szCs w:val="24"/>
          <w:lang w:val="bg-BG"/>
        </w:rPr>
        <w:t>обратната информация от националните органи за изготвяне и въвеждане на стандарти относно промени в добивните отрасли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D3443" w:rsidRPr="00310072">
        <w:rPr>
          <w:rFonts w:eastAsia="Times New Roman" w:cs="Helvetica"/>
          <w:color w:val="575757"/>
          <w:sz w:val="24"/>
          <w:szCs w:val="24"/>
          <w:lang w:val="bg-BG"/>
        </w:rPr>
        <w:t>след публикуването на издадения през 2010 г. Документ за обсъждане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="004D3443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Добивни дейности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250328" w:rsidRPr="00310072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20D25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:rsidR="00B25EFE" w:rsidRPr="00310072" w:rsidRDefault="004D3443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Преди да вземе решение относно обхвата и посоката на този изследователски проект Съветът планира да проведе образователни сесии и допълнително да развие своето разбиране за добивните дейности и констатациите от Документа за обсъждане от 2010 г.</w:t>
      </w:r>
    </w:p>
    <w:p w:rsidR="00B25EFE" w:rsidRPr="00310072" w:rsidRDefault="00B25EFE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B25EFE" w:rsidRPr="00310072" w:rsidRDefault="0014369D" w:rsidP="00B25EF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6" w:name="7"/>
      <w:r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Основни финансови отчети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4A3C6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21)</w:t>
      </w:r>
      <w:bookmarkEnd w:id="6"/>
    </w:p>
    <w:p w:rsidR="00B25EFE" w:rsidRPr="00310072" w:rsidRDefault="00B040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 13 март 2019 г. Съветът проведе заседание, за да обсъди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EA5C2C" w:rsidP="00B25EFE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дали да добави към задължителните позиции на отделен ред в основните финансови отчети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25EFE" w:rsidRPr="00310072" w:rsidRDefault="00EA5C2C" w:rsidP="00B25EFE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дефиницията, както и насоките и изискванията за оповестяване, по отношение на необичайните позиции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EA5C2C" w:rsidP="00B25EF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Допълнителни предложения относно задължителните позиции на отделен ред в основните финансови отчети 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4A3C6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21A)</w:t>
      </w:r>
    </w:p>
    <w:p w:rsidR="00B25EFE" w:rsidRPr="00310072" w:rsidRDefault="00250328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EA5C2C" w:rsidP="00B25EFE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предприятията да представят в отчета за финансовото състояние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EA5C2C" w:rsidP="00B25EFE">
      <w:pPr>
        <w:numPr>
          <w:ilvl w:val="1"/>
          <w:numId w:val="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репутация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B25EFE" w:rsidRPr="00310072" w:rsidRDefault="00EA5C2C" w:rsidP="00B25EFE">
      <w:pPr>
        <w:numPr>
          <w:ilvl w:val="1"/>
          <w:numId w:val="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инвестиции в „</w:t>
      </w:r>
      <w:r w:rsidR="00FB5D0D" w:rsidRPr="00310072">
        <w:rPr>
          <w:rFonts w:eastAsia="Times New Roman" w:cs="Helvetica"/>
          <w:color w:val="575757"/>
          <w:sz w:val="24"/>
          <w:szCs w:val="24"/>
          <w:lang w:val="bg-BG"/>
        </w:rPr>
        <w:t>неразделно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свързани“ асоциирани и съвместни предприятия, отчитани счетоводно с помощта на метода на собствения капитал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25EFE" w:rsidRPr="00310072" w:rsidRDefault="00EA5C2C" w:rsidP="00B25EFE">
      <w:pPr>
        <w:numPr>
          <w:ilvl w:val="1"/>
          <w:numId w:val="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инвестиции в асоциирани и съвместни предприятия, които не са „</w:t>
      </w:r>
      <w:r w:rsidR="00FB5D0D" w:rsidRPr="00310072">
        <w:rPr>
          <w:rFonts w:eastAsia="Times New Roman" w:cs="Helvetica"/>
          <w:color w:val="575757"/>
          <w:sz w:val="24"/>
          <w:szCs w:val="24"/>
          <w:lang w:val="bg-BG"/>
        </w:rPr>
        <w:t>неразделно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свързани“,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отчитани счетоводно с помощта на метода на собствения капитал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9A4C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- несъгласие с това решение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F95A97" w:rsidP="00F95A97">
      <w:pPr>
        <w:shd w:val="clear" w:color="auto" w:fill="FFFFFF"/>
        <w:spacing w:before="75" w:after="75" w:line="240" w:lineRule="auto"/>
        <w:ind w:left="360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(б)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ab/>
      </w:r>
      <w:r w:rsidR="00EA5C2C" w:rsidRPr="00310072">
        <w:rPr>
          <w:rFonts w:eastAsia="Times New Roman" w:cs="Helvetica"/>
          <w:color w:val="575757"/>
          <w:sz w:val="24"/>
          <w:szCs w:val="24"/>
          <w:lang w:val="bg-BG"/>
        </w:rPr>
        <w:t>да не добавя амортизация и разходи за научноизследователска и развойна дейност към списъка с позиции на отделни редове в параграф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82 </w:t>
      </w:r>
      <w:r w:rsidR="00EA5C2C" w:rsidRPr="00310072">
        <w:rPr>
          <w:rFonts w:eastAsia="Times New Roman" w:cs="Helvetica"/>
          <w:color w:val="575757"/>
          <w:sz w:val="24"/>
          <w:szCs w:val="24"/>
          <w:lang w:val="bg-BG"/>
        </w:rPr>
        <w:t>на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F34C3E" w:rsidRPr="00310072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</w:t>
      </w:r>
      <w:r w:rsidR="00EA5C2C" w:rsidRPr="00310072">
        <w:rPr>
          <w:rFonts w:eastAsia="Times New Roman" w:cs="Helvetica"/>
          <w:color w:val="575757"/>
          <w:sz w:val="24"/>
          <w:szCs w:val="24"/>
          <w:lang w:val="bg-BG"/>
        </w:rPr>
        <w:t>, които се изисква да бъдат представени в отчета или отчетите за финансовите резултати от дейността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9A4C9B" w:rsidRPr="00310072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съгласие, а двама - несъгласие с това решение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FB5D0D" w:rsidP="00B25EF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Необичайни позиции 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4A3C6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21</w:t>
      </w:r>
      <w:r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B25EFE" w:rsidRPr="00310072" w:rsidRDefault="00250328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B95893" w:rsidP="00B25EFE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да дефинира необичайните позиции в съответствие със следното определение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B95893" w:rsidP="00B25EFE">
      <w:pPr>
        <w:shd w:val="clear" w:color="auto" w:fill="FFFFFF"/>
        <w:spacing w:after="300" w:line="240" w:lineRule="auto"/>
        <w:ind w:left="37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„Необичайни позиции са приходи или разходи с ограничена прогнозна значимост, тъй като е разумно да се очаква, че сходни позиции няма да възникнат в течение на няколко годишни отчети периода”</w:t>
      </w:r>
      <w:r w:rsidR="00B25EFE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.</w:t>
      </w:r>
    </w:p>
    <w:p w:rsidR="00B25EFE" w:rsidRPr="00310072" w:rsidRDefault="00B95893" w:rsidP="00B25EFE">
      <w:pPr>
        <w:shd w:val="clear" w:color="auto" w:fill="FFFFFF"/>
        <w:spacing w:after="300" w:line="240" w:lineRule="auto"/>
        <w:ind w:left="37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„Сходни позиции са приходи или разходи, които са сходни като вид и сума”.</w:t>
      </w:r>
    </w:p>
    <w:p w:rsidR="00B25EFE" w:rsidRPr="00310072" w:rsidRDefault="009A4C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- несъгласие с това решение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61CB4" w:rsidP="00A61CB4">
      <w:pPr>
        <w:rPr>
          <w:lang w:val="bg-BG"/>
        </w:rPr>
      </w:pPr>
      <w:r w:rsidRPr="00310072">
        <w:rPr>
          <w:lang w:val="bg-BG"/>
        </w:rPr>
        <w:t>(б)</w:t>
      </w:r>
      <w:r w:rsidRPr="00310072">
        <w:rPr>
          <w:lang w:val="bg-BG"/>
        </w:rPr>
        <w:tab/>
      </w:r>
      <w:r w:rsidR="00156343" w:rsidRPr="00310072">
        <w:rPr>
          <w:rFonts w:eastAsia="Times New Roman" w:cs="Helvetica"/>
          <w:color w:val="575757"/>
          <w:sz w:val="24"/>
          <w:szCs w:val="24"/>
          <w:lang w:val="bg-BG"/>
        </w:rPr>
        <w:t>да посочи, че печалби или загуби, произтичащи от повторното оценяване на позиции, които се изисква да бъдат оценявани по текуща стойност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156343" w:rsidRPr="00310072">
        <w:rPr>
          <w:rFonts w:eastAsia="Times New Roman" w:cs="Helvetica"/>
          <w:color w:val="575757"/>
          <w:sz w:val="24"/>
          <w:szCs w:val="24"/>
          <w:lang w:val="bg-BG"/>
        </w:rPr>
        <w:t>включително справедлива стойност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)</w:t>
      </w:r>
      <w:r w:rsidR="00156343" w:rsidRPr="00310072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56343" w:rsidRPr="00310072">
        <w:rPr>
          <w:rFonts w:eastAsia="Times New Roman" w:cs="Helvetica"/>
          <w:color w:val="575757"/>
          <w:sz w:val="24"/>
          <w:szCs w:val="24"/>
          <w:lang w:val="bg-BG"/>
        </w:rPr>
        <w:t>по принцип не следва да бъдат класифицирани като необичайни позиции</w:t>
      </w:r>
      <w:r w:rsidR="00B25EFE" w:rsidRPr="00310072">
        <w:rPr>
          <w:lang w:val="bg-BG"/>
        </w:rPr>
        <w:t>.</w:t>
      </w:r>
    </w:p>
    <w:p w:rsidR="00B25EFE" w:rsidRPr="00310072" w:rsidRDefault="009A4C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Единадесет от четиринадесетте членове на Съвета изразиха съгласие, а трима - несъгласие с това решение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61CB4" w:rsidP="00A61CB4">
      <w:pPr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(в)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ab/>
      </w:r>
      <w:r w:rsidR="00156343" w:rsidRPr="00310072"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предприятията да отнасят необичайните разходи към категории разходи по тяхната същност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156343" w:rsidRPr="00310072">
        <w:rPr>
          <w:rFonts w:eastAsia="Times New Roman" w:cs="Helvetica"/>
          <w:color w:val="575757"/>
          <w:sz w:val="24"/>
          <w:szCs w:val="24"/>
          <w:lang w:val="bg-BG"/>
        </w:rPr>
        <w:t>независимо от метода за анализиране на разходите в отчета или отчетите за финансовите резултати от дейността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9A4C9B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Тринадесет от четиринадесетте членове на Съвета изразиха съгласие, а един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–</w:t>
      </w:r>
      <w:r w:rsidR="009A4C9B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несъгласие с това решение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61CB4" w:rsidP="00A61CB4">
      <w:pPr>
        <w:rPr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(г)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ab/>
      </w:r>
      <w:r w:rsidR="00156343" w:rsidRPr="00310072"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предприятията да предоставят текстово описание на сделки или други събития, които пораждат необичайни позиции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9A4C9B" w:rsidRPr="00310072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- несъгласие с това решение</w:t>
      </w:r>
      <w:r w:rsidR="00B25EFE" w:rsidRPr="00310072">
        <w:rPr>
          <w:lang w:val="bg-BG"/>
        </w:rPr>
        <w:t>.</w:t>
      </w:r>
    </w:p>
    <w:p w:rsidR="00B25EFE" w:rsidRPr="00310072" w:rsidRDefault="00A61CB4" w:rsidP="00A61CB4">
      <w:pPr>
        <w:rPr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(д)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ab/>
      </w:r>
      <w:r w:rsidR="00156343" w:rsidRPr="00310072">
        <w:rPr>
          <w:rFonts w:eastAsia="Times New Roman" w:cs="Helvetica"/>
          <w:color w:val="575757"/>
          <w:sz w:val="24"/>
          <w:szCs w:val="24"/>
          <w:lang w:val="bg-BG"/>
        </w:rPr>
        <w:t>да не изисква предприятията да предоставят информация относно приходи или разходи, свързани с необичайни приходи или разходи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156343" w:rsidRPr="00310072">
        <w:rPr>
          <w:rFonts w:eastAsia="Times New Roman" w:cs="Helvetica"/>
          <w:color w:val="575757"/>
          <w:sz w:val="24"/>
          <w:szCs w:val="24"/>
          <w:lang w:val="bg-BG"/>
        </w:rPr>
        <w:t>освен ако самите тези приходи или разходи не отговарят на дефиницията за необичайни позиции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). </w:t>
      </w:r>
      <w:r w:rsidR="009A4C9B" w:rsidRPr="00310072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- несъгласие с това решение</w:t>
      </w:r>
      <w:r w:rsidR="00B25EFE" w:rsidRPr="00310072">
        <w:rPr>
          <w:lang w:val="bg-BG"/>
        </w:rPr>
        <w:t>.</w:t>
      </w:r>
    </w:p>
    <w:p w:rsidR="00B25EFE" w:rsidRPr="00310072" w:rsidRDefault="00B040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56343" w:rsidRPr="00310072">
        <w:rPr>
          <w:rFonts w:eastAsia="Times New Roman" w:cs="Helvetica"/>
          <w:color w:val="575757"/>
          <w:sz w:val="24"/>
          <w:szCs w:val="24"/>
          <w:lang w:val="bg-BG"/>
        </w:rPr>
        <w:t>да не предоставя насоки, посочващи, че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156343" w:rsidP="00B25EFE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предоставяната за необичайните позиции информация следва да бъде неутрална, отбелязвайки, че се очаква информацията във финансовите отчети да е неутрална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25EFE" w:rsidRPr="00310072" w:rsidRDefault="00156343" w:rsidP="00B25EFE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предприятията биха могли да вземат под внимание възникнали в минали периоди сходни позиции, за да оценят дали е разумно да се очаква, че сходни позиции ще възникнат в бъдеще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9A4C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Осем от четиринадесетте членове на Съвета изразиха съгласие, а шестима - несъгласие с това решение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20D25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:rsidR="00B25EFE" w:rsidRPr="00310072" w:rsidRDefault="00E743EE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ще продължи да осъжда темите, попадащи в обхвата на проекта, на бъдещи свои заседания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B25EFE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B25EFE" w:rsidRPr="00310072" w:rsidRDefault="0014369D" w:rsidP="00B25EF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7" w:name="8"/>
      <w:r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Изменение на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4A3C6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МСФО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17 </w:t>
      </w:r>
      <w:r w:rsidRPr="00310072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>Застрахователни договори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 (</w:t>
      </w:r>
      <w:r w:rsidR="004A3C6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2)</w:t>
      </w:r>
      <w:bookmarkEnd w:id="7"/>
    </w:p>
    <w:p w:rsidR="00B25EFE" w:rsidRPr="00310072" w:rsidRDefault="00B040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На 14 март 2019 г. Съветът проведе заседание, за да разгледа </w:t>
      </w:r>
      <w:r w:rsidR="00A64955" w:rsidRPr="00310072">
        <w:rPr>
          <w:rFonts w:eastAsia="Times New Roman" w:cs="Helvetica"/>
          <w:color w:val="575757"/>
          <w:sz w:val="24"/>
          <w:szCs w:val="24"/>
          <w:lang w:val="bg-BG"/>
        </w:rPr>
        <w:t>възможни изменения в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17 </w:t>
      </w:r>
      <w:r w:rsidR="00A64955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Застрахователни договори,</w:t>
      </w:r>
      <w:r w:rsidR="006564B7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A64955" w:rsidRPr="00310072">
        <w:rPr>
          <w:rFonts w:eastAsia="Times New Roman" w:cs="Helvetica"/>
          <w:color w:val="575757"/>
          <w:sz w:val="24"/>
          <w:szCs w:val="24"/>
          <w:lang w:val="bg-BG"/>
        </w:rPr>
        <w:t>отнасящи се до следните теми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6564B7" w:rsidP="00B25EFE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ниво на агрегиране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Документ</w:t>
      </w:r>
      <w:r w:rsidR="00E9617D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по програмата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2A, 2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B25EFE" w:rsidRPr="00310072" w:rsidRDefault="006564B7" w:rsidP="00B25EFE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кредитни карти, които предоставят застрахователно покритие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B25EFE" w:rsidRPr="00310072" w:rsidRDefault="006564B7" w:rsidP="00B25EFE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изисквания при преход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опция за смекчаване на риска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B25EFE" w:rsidRPr="00310072" w:rsidRDefault="006564B7" w:rsidP="00B25EFE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изисквания при преход 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кредити, които прехвърлят съществен застрахователен риск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B25EFE" w:rsidRPr="00310072" w:rsidRDefault="006564B7" w:rsidP="00B25EFE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изменения на изискванията за оповестяване, произтичащи от неокончателните решения на Съвета към настоящия момент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—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Ж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25EFE" w:rsidRPr="00310072" w:rsidRDefault="006564B7" w:rsidP="00B25EFE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други последствия за изискванията за оповестяване и изискванията при преход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</w:t>
      </w:r>
      <w:r w:rsidR="00FB3844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„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З</w:t>
      </w:r>
      <w:r w:rsidR="00FB3844" w:rsidRPr="00310072">
        <w:rPr>
          <w:rFonts w:eastAsia="Times New Roman" w:cs="Helvetica"/>
          <w:color w:val="575757"/>
          <w:sz w:val="24"/>
          <w:szCs w:val="24"/>
          <w:lang w:val="bg-BG"/>
        </w:rPr>
        <w:t>”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6564B7" w:rsidP="00B25EF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Ниво на агрегиране 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4A3C6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2A–2</w:t>
      </w:r>
      <w:r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B25EFE" w:rsidRPr="00310072" w:rsidRDefault="00250328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64B7" w:rsidRPr="00310072">
        <w:rPr>
          <w:rFonts w:eastAsia="Times New Roman" w:cs="Helvetica"/>
          <w:color w:val="575757"/>
          <w:sz w:val="24"/>
          <w:szCs w:val="24"/>
          <w:lang w:val="bg-BG"/>
        </w:rPr>
        <w:t>да запази без промяна изискванията в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="006564B7" w:rsidRPr="00310072">
        <w:rPr>
          <w:rFonts w:eastAsia="Times New Roman" w:cs="Helvetica"/>
          <w:color w:val="575757"/>
          <w:sz w:val="24"/>
          <w:szCs w:val="24"/>
          <w:lang w:val="bg-BG"/>
        </w:rPr>
        <w:t>относно нивото на агрегиране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9A4C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6564B7" w:rsidP="00B25EF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Кредитни карти, които предоставят застрахователно покритие 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4A3C6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</w:t>
      </w:r>
      <w:r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B25EFE" w:rsidRPr="00310072" w:rsidRDefault="00250328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7D09" w:rsidRPr="00310072"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="00C57D09" w:rsidRPr="00310072">
        <w:rPr>
          <w:rFonts w:eastAsia="Times New Roman" w:cs="Helvetica"/>
          <w:color w:val="575757"/>
          <w:sz w:val="24"/>
          <w:szCs w:val="24"/>
          <w:lang w:val="bg-BG"/>
        </w:rPr>
        <w:t>, така че да изключи от неговия обхват договорите за кредитни карти, които предоставят застрахователно покритие, по отношение на което предприятието не отразява оценката на застрахователния риск, свързан с отделния клиент, при определяне цената на договора с този клиент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9A4C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6564B7" w:rsidP="00B25EF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Изисквания при преход—опция за смекчаване на риска 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4A3C6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</w:t>
      </w:r>
      <w:r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B25EFE" w:rsidRPr="00310072" w:rsidRDefault="00250328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7D09" w:rsidRPr="00310072">
        <w:rPr>
          <w:rFonts w:eastAsia="Times New Roman" w:cs="Helvetica"/>
          <w:color w:val="575757"/>
          <w:sz w:val="24"/>
          <w:szCs w:val="24"/>
          <w:lang w:val="bg-BG"/>
        </w:rPr>
        <w:t>да измени изискванията на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="00C57D09" w:rsidRPr="00310072">
        <w:rPr>
          <w:rFonts w:eastAsia="Times New Roman" w:cs="Helvetica"/>
          <w:color w:val="575757"/>
          <w:sz w:val="24"/>
          <w:szCs w:val="24"/>
          <w:lang w:val="bg-BG"/>
        </w:rPr>
        <w:t>, за да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C57D09" w:rsidP="00B25EFE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позволи на предприятието да прилага опцията за смекчаване на риска от датата на преминаване към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при условие, че предприятието определи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своите взаимоотношения за смекчаване на риска, за да приложи опцията за смекчаване на риска, не по-късно от датата на преминаване към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17;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25EFE" w:rsidRPr="00310072" w:rsidRDefault="00C57D09" w:rsidP="00B25EFE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позволи на предприятие, което може да прилага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ретроспективно по отношение на група застрахователни договори с характеристики на пряко участие в разпределението на печалбата, да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използва подхода по справедлива стойност при преминаване по отношение на групата, ако и само ако предприятието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C57D09" w:rsidP="00B25EFE">
      <w:pPr>
        <w:numPr>
          <w:ilvl w:val="1"/>
          <w:numId w:val="1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избере да прилага опцията за смекчаване на риска по отношение на групата от датата на преминаване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25EFE" w:rsidRPr="00310072" w:rsidRDefault="00C57D09" w:rsidP="00B25EFE">
      <w:pPr>
        <w:numPr>
          <w:ilvl w:val="1"/>
          <w:numId w:val="1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е използвало деривативи или договори за презастраховане, държани с цел смекчаване на финансовия риск, произтичащ от групата, преди датата на преминаване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9A4C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C57D09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6564B7" w:rsidP="00B25EF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Изисквания при преход —</w:t>
      </w:r>
      <w:r w:rsidR="00C57D09" w:rsidRPr="0031007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кредити, които прехвърлят съществен застрахователен риск 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4A3C6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</w:t>
      </w:r>
      <w:r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Е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B25EFE" w:rsidRPr="00310072" w:rsidRDefault="00250328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57D09" w:rsidRPr="00310072">
        <w:rPr>
          <w:rFonts w:eastAsia="Times New Roman" w:cs="Helvetica"/>
          <w:color w:val="575757"/>
          <w:sz w:val="24"/>
          <w:szCs w:val="24"/>
          <w:lang w:val="bg-BG"/>
        </w:rPr>
        <w:t>да запази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482076" w:rsidP="00B25EFE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изискванията при преход в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по отношение на кредити, които прехвърлят съществен застрахователен риск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в случай че предприятието избере да прилага изискванията в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спрямо портфейл от такива кредити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25EFE" w:rsidRPr="00310072" w:rsidRDefault="00482076" w:rsidP="00B25EFE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изискванията при преход в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9 </w:t>
      </w:r>
      <w:r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по отношение на кредити, които прехвърлят съществен застрахователен риск, в случай че предприятието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482076" w:rsidP="00B25EFE">
      <w:pPr>
        <w:numPr>
          <w:ilvl w:val="1"/>
          <w:numId w:val="1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избере да прилага изискванията в МСФО 9 спрямо портфейл от такива кредити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25EFE" w:rsidRPr="00310072" w:rsidRDefault="00482076" w:rsidP="00B25EFE">
      <w:pPr>
        <w:numPr>
          <w:ilvl w:val="1"/>
          <w:numId w:val="1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прилага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E2007" w:rsidRPr="005E2007">
        <w:rPr>
          <w:rFonts w:eastAsia="Times New Roman" w:cs="Helvetica"/>
          <w:color w:val="575757"/>
          <w:sz w:val="24"/>
          <w:szCs w:val="24"/>
          <w:lang w:val="bg-BG"/>
        </w:rPr>
        <w:t xml:space="preserve">първоначално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към един и същ момент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250328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82076" w:rsidRPr="00310072">
        <w:rPr>
          <w:rFonts w:eastAsia="Times New Roman" w:cs="Helvetica"/>
          <w:color w:val="575757"/>
          <w:sz w:val="24"/>
          <w:szCs w:val="24"/>
          <w:lang w:val="bg-BG"/>
        </w:rPr>
        <w:t>да измени изискванията при преход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82076" w:rsidRPr="00310072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="00482076" w:rsidRPr="00310072">
        <w:rPr>
          <w:rFonts w:eastAsia="Times New Roman" w:cs="Helvetica"/>
          <w:color w:val="575757"/>
          <w:sz w:val="24"/>
          <w:szCs w:val="24"/>
          <w:lang w:val="bg-BG"/>
        </w:rPr>
        <w:t>по отношение на кредити, които прехвърлят съществен застрахователен риск, в случай че предприятието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482076" w:rsidP="00B25EFE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избере да прилага изискванията в МСФО 9 спрямо портфейл от такива кредити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25EFE" w:rsidRPr="00310072" w:rsidRDefault="00482076" w:rsidP="00B25EFE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е прилагало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преди първоначално да приложи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</w:p>
    <w:p w:rsidR="00B25EFE" w:rsidRPr="00310072" w:rsidRDefault="00482076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При такива обстоятелства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250328"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да измени изискванията при преход в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9:</w:t>
      </w:r>
    </w:p>
    <w:p w:rsidR="00B25EFE" w:rsidRPr="00310072" w:rsidRDefault="006020E1" w:rsidP="00B25EFE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предприятието да прилага изискванията при преход в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9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, които са необходими за прилагането на предложените изменения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6020E1" w:rsidP="00B25EFE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да разреши на предприятието да определи отново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 да изисква предприятието да отмени свои предходни определения</w:t>
      </w:r>
      <w:r w:rsidR="00066E21" w:rsidRPr="00310072">
        <w:rPr>
          <w:rFonts w:eastAsia="Times New Roman" w:cs="Helvetica"/>
          <w:color w:val="575757"/>
          <w:sz w:val="24"/>
          <w:szCs w:val="24"/>
          <w:lang w:val="bg-BG"/>
        </w:rPr>
        <w:t>, на финансов пасив съгласно опцията за справедлива стойност на датата, на която предприятието за първи път прилага предложените изменения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066E21" w:rsidRPr="00310072">
        <w:rPr>
          <w:rFonts w:eastAsia="Times New Roman" w:cs="Helvetica"/>
          <w:color w:val="575757"/>
          <w:sz w:val="24"/>
          <w:szCs w:val="24"/>
          <w:lang w:val="bg-BG"/>
        </w:rPr>
        <w:t>до степента, в която се създава ново счетоводно несъответствие или предходно счетоводно несъответствие вече не съществува, в резултат на прилагането на предложените изменения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066E21" w:rsidP="00B25EFE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да не изисква предприятието да преизчислява предходни периоди, за да отрази прилагането на предложените изменения, но да разрешава на предприятието да преизчислява предходни периоди при определени условия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066E21" w:rsidP="00B25EFE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да освободи предприятието от представянето на количествената информация, изисквана от параграф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28(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F34C3E" w:rsidRPr="00310072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8 </w:t>
      </w:r>
      <w:r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Счетоводна политика</w:t>
      </w:r>
      <w:r w:rsidR="00B25EFE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промени в счетоводните приблизителни оценки и грешки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066E21" w:rsidP="00B25EFE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да изисква предприятието да оповестява специфична информация в допълнение към оповестяванията, които биха се изисквали от друг МСФО стандарт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Изискваната специфична информация 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066E21" w:rsidP="00B25EFE">
      <w:pPr>
        <w:numPr>
          <w:ilvl w:val="1"/>
          <w:numId w:val="1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предходната класификация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включително категорията на оценяване, когато това е приложимо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 балансовата стойност на кредитите непосредствено преди прилагане на предложените изменения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B25EFE" w:rsidRPr="00310072" w:rsidRDefault="00066E21" w:rsidP="00B25EFE">
      <w:pPr>
        <w:numPr>
          <w:ilvl w:val="1"/>
          <w:numId w:val="1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новата категория на оценяване и балансовата стойност на кредитите, определени в съответствие с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след прилагането на предложените изменения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B25EFE" w:rsidRPr="00310072" w:rsidRDefault="00066E21" w:rsidP="00B25EFE">
      <w:pPr>
        <w:numPr>
          <w:ilvl w:val="1"/>
          <w:numId w:val="1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балансовата стойност на финансови пасиви към датата на първоначално прилагане на предложените изменения</w:t>
      </w:r>
      <w:r w:rsidR="00AD5BF5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в отчета за финансовото състояние, които преди това са били определени като оценявани по справедлива стойност през печалбата или загубата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AD5BF5" w:rsidRPr="00310072">
        <w:rPr>
          <w:rFonts w:eastAsia="Times New Roman" w:cs="Helvetica"/>
          <w:color w:val="575757"/>
          <w:sz w:val="24"/>
          <w:szCs w:val="24"/>
          <w:lang w:val="bg-BG"/>
        </w:rPr>
        <w:t>ССПЗ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)</w:t>
      </w:r>
      <w:r w:rsidR="00AD5BF5" w:rsidRPr="00310072">
        <w:rPr>
          <w:rFonts w:eastAsia="Times New Roman" w:cs="Helvetica"/>
          <w:color w:val="575757"/>
          <w:sz w:val="24"/>
          <w:szCs w:val="24"/>
          <w:lang w:val="bg-BG"/>
        </w:rPr>
        <w:t>, но в резултата на предложените изменения вече не се определят като такива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;</w:t>
      </w:r>
      <w:r w:rsidR="00AD5BF5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и</w:t>
      </w:r>
    </w:p>
    <w:p w:rsidR="00B25EFE" w:rsidRPr="00310072" w:rsidRDefault="00AD5BF5" w:rsidP="00B25EFE">
      <w:pPr>
        <w:numPr>
          <w:ilvl w:val="1"/>
          <w:numId w:val="1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причините за определяне или отменяне на определянето на финансови пасиви като оценявани по ССПЗ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9A4C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 </w:t>
      </w:r>
    </w:p>
    <w:p w:rsidR="00B25EFE" w:rsidRPr="00310072" w:rsidRDefault="006564B7" w:rsidP="00B25EF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Изменения на изискванията за оповестяване, произтичащи от неокончателните решения на Съвета към настоящия момент</w:t>
      </w:r>
      <w:r w:rsidR="00B25EFE" w:rsidRPr="0031007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 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4A3C6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</w:t>
      </w:r>
      <w:r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Ж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B25EFE" w:rsidRPr="00310072" w:rsidRDefault="00250328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D38B0" w:rsidRPr="00310072">
        <w:rPr>
          <w:rFonts w:eastAsia="Times New Roman" w:cs="Helvetica"/>
          <w:color w:val="575757"/>
          <w:sz w:val="24"/>
          <w:szCs w:val="24"/>
          <w:lang w:val="bg-BG"/>
        </w:rPr>
        <w:t>да измени изискванията за оповестяване в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="001D38B0" w:rsidRPr="00310072">
        <w:rPr>
          <w:rFonts w:eastAsia="Times New Roman" w:cs="Helvetica"/>
          <w:color w:val="575757"/>
          <w:sz w:val="24"/>
          <w:szCs w:val="24"/>
          <w:lang w:val="bg-BG"/>
        </w:rPr>
        <w:t>, за да отрази предложените изменения, отнасящи се до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1D38B0" w:rsidP="00B25EFE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маржа на договорената услуга, признат в печалбата или загубата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 базата на единици покритие, определени като се взема предвид както застрахователното покритие, така и услугите, свързани с инвестиции или услугите по възвръщаемост на инвестициите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ако има такива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като изиска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1D38B0" w:rsidP="00B25EFE">
      <w:pPr>
        <w:numPr>
          <w:ilvl w:val="1"/>
          <w:numId w:val="1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количествено оповестяване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в подходящи времеви диапазони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 очакваното признаване в печалбата или загубата на маржа на договорената услуга, оставащ към края на отчетния период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т.е., отстранявайки възможността за избор в параграф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109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да се предостави само качествена информация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1D38B0" w:rsidP="00B25EFE">
      <w:pPr>
        <w:numPr>
          <w:ilvl w:val="1"/>
          <w:numId w:val="1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конкретно оповестяване на подхода за оценяване </w:t>
      </w:r>
      <w:r w:rsidR="005E2007">
        <w:rPr>
          <w:rFonts w:eastAsia="Times New Roman" w:cs="Helvetica"/>
          <w:color w:val="575757"/>
          <w:sz w:val="24"/>
          <w:szCs w:val="24"/>
          <w:lang w:val="bg-BG"/>
        </w:rPr>
        <w:t xml:space="preserve">на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относителното тегло на ползите, предоставени от застрахователното покритие 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като част от изискванията за оповестяване в параграф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117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17.</w:t>
      </w:r>
    </w:p>
    <w:p w:rsidR="00B25EFE" w:rsidRPr="00310072" w:rsidRDefault="001D38B0" w:rsidP="00B25EFE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паричните потоци при придобиване на застраховане, които все още не са включени в оценката на признати групи застрахователни договори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като изиска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1D38B0" w:rsidP="00B25EFE">
      <w:pPr>
        <w:numPr>
          <w:ilvl w:val="1"/>
          <w:numId w:val="1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равнение на актива, създаден от тези парични потоци към началото и края на отчетния период и промените в него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по-конкретно признаване на загуба от обезценка или възстановявания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9A4B7F" w:rsidRPr="00310072">
        <w:rPr>
          <w:rFonts w:eastAsia="Times New Roman" w:cs="Helvetica"/>
          <w:color w:val="575757"/>
          <w:sz w:val="24"/>
          <w:szCs w:val="24"/>
          <w:lang w:val="bg-BG"/>
        </w:rPr>
        <w:t>Агрегирането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на информацията, предоставена в това равнение,</w:t>
      </w:r>
      <w:r w:rsidR="009A4B7F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следва да е в съответствие с агрегирането, </w:t>
      </w:r>
      <w:r w:rsidR="009A4B7F" w:rsidRPr="00310072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което предприятието използва, когато прилага параграф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98 </w:t>
      </w:r>
      <w:r w:rsidR="009A4B7F" w:rsidRPr="00310072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="009A4B7F" w:rsidRPr="00310072">
        <w:rPr>
          <w:rFonts w:eastAsia="Times New Roman" w:cs="Helvetica"/>
          <w:color w:val="575757"/>
          <w:sz w:val="24"/>
          <w:szCs w:val="24"/>
          <w:lang w:val="bg-BG"/>
        </w:rPr>
        <w:t>по отношение на с ответните застрахователни договори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9A4B7F" w:rsidP="00B25EFE">
      <w:pPr>
        <w:numPr>
          <w:ilvl w:val="1"/>
          <w:numId w:val="1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количествено оповестяване, в подходящи времеви диапазони, на очаквания момент на включване на тези парични потоци при придобиване в оценката на съответната група застрахователни договори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9A4C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9A4B7F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6564B7" w:rsidP="00B25EF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Последствия за изискванията за оповестяване и изискванията при преход 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4A3C6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</w:t>
      </w:r>
      <w:r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„З”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B25EFE" w:rsidRPr="00310072" w:rsidRDefault="00250328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21C8C" w:rsidRPr="00310072">
        <w:rPr>
          <w:rFonts w:eastAsia="Times New Roman" w:cs="Helvetica"/>
          <w:color w:val="575757"/>
          <w:sz w:val="24"/>
          <w:szCs w:val="24"/>
          <w:lang w:val="bg-BG"/>
        </w:rPr>
        <w:t>да запази без изменение всички изисквания за оповестяване и изисквания при преход в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17, </w:t>
      </w:r>
      <w:r w:rsidR="00821C8C" w:rsidRPr="00310072">
        <w:rPr>
          <w:rFonts w:eastAsia="Times New Roman" w:cs="Helvetica"/>
          <w:color w:val="575757"/>
          <w:sz w:val="24"/>
          <w:szCs w:val="24"/>
          <w:lang w:val="bg-BG"/>
        </w:rPr>
        <w:t>освен описаното в неокончателните решения във връзка с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21C8C" w:rsidRPr="00310072">
        <w:rPr>
          <w:rFonts w:eastAsia="Times New Roman" w:cs="Helvetica"/>
          <w:color w:val="575757"/>
          <w:sz w:val="24"/>
          <w:szCs w:val="24"/>
          <w:lang w:val="bg-BG"/>
        </w:rPr>
        <w:t>Документи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по програмата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</w:t>
      </w:r>
      <w:r w:rsidR="00821C8C" w:rsidRPr="00310072">
        <w:rPr>
          <w:rFonts w:eastAsia="Times New Roman" w:cs="Helvetica"/>
          <w:color w:val="575757"/>
          <w:sz w:val="24"/>
          <w:szCs w:val="24"/>
          <w:lang w:val="bg-BG"/>
        </w:rPr>
        <w:t>Д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, 2</w:t>
      </w:r>
      <w:r w:rsidR="00821C8C" w:rsidRPr="00310072">
        <w:rPr>
          <w:rFonts w:eastAsia="Times New Roman" w:cs="Helvetica"/>
          <w:color w:val="575757"/>
          <w:sz w:val="24"/>
          <w:szCs w:val="24"/>
          <w:lang w:val="bg-BG"/>
        </w:rPr>
        <w:t>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21C8C"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</w:t>
      </w:r>
      <w:r w:rsidR="00821C8C" w:rsidRPr="00310072">
        <w:rPr>
          <w:rFonts w:eastAsia="Times New Roman" w:cs="Helvetica"/>
          <w:color w:val="575757"/>
          <w:sz w:val="24"/>
          <w:szCs w:val="24"/>
          <w:lang w:val="bg-BG"/>
        </w:rPr>
        <w:t>Ж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9A4C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 </w:t>
      </w:r>
    </w:p>
    <w:p w:rsidR="00B25EFE" w:rsidRPr="00310072" w:rsidRDefault="00A20D25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:rsidR="00B25EFE" w:rsidRPr="00310072" w:rsidRDefault="00821C8C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 заседанието си през април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2019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г. Съветът планира да разгледа като цяло пакета от изменения, решени в порядък на работна хипотеза от Съвета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 това заседание Съветът ще прецени дали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674576" w:rsidP="00B25EFE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като цяло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ползите от измененията надвишават разходите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25EFE" w:rsidRPr="00310072" w:rsidRDefault="00674576" w:rsidP="00B25EFE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като цяло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измененията не нарушават неправомерно процеса по въвеждане и прилагане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674576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 същото заседание екипът очаква да поиска разрешение от Съвета да пристъпи към процедурата по гласуване на предложените изменения в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17.</w:t>
      </w:r>
    </w:p>
    <w:p w:rsidR="00B25EFE" w:rsidRPr="00310072" w:rsidRDefault="00B25EFE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B25EFE" w:rsidRPr="00310072" w:rsidRDefault="00106732" w:rsidP="00B25EF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8" w:name="9"/>
      <w:r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Инициатива за оповестяване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—</w:t>
      </w:r>
      <w:r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Счетоводни политики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4A3C6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11)</w:t>
      </w:r>
      <w:bookmarkEnd w:id="8"/>
    </w:p>
    <w:p w:rsidR="00B25EFE" w:rsidRPr="00310072" w:rsidRDefault="00B040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 14 март 2019 г. Съветът проведе заседание, за да продължи с разискванията относно оповестяванията на счетоводните политики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106732" w:rsidP="00B25EF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Примери 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4A3C6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11A)</w:t>
      </w:r>
    </w:p>
    <w:p w:rsidR="00B25EFE" w:rsidRPr="00310072" w:rsidRDefault="00250328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06732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да използва два примера, за да демонстрира как предприятието следва да прилага процеса от четири стъпки по отношение на нивото на същественост, представен в изложението за практика във връзка </w:t>
      </w:r>
      <w:r w:rsidR="00106732" w:rsidRPr="00310072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 нивото за същественост по отношение на оповестяванията относно счетоводните политики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106732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в порядък на работна хипотеза, че примерите следва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106732" w:rsidP="00B25EFE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да подчертават необходимостта от фокусиране върху информация, която да е полезна за потребителите на финансовите отчети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25EFE" w:rsidRPr="00310072" w:rsidRDefault="00106732" w:rsidP="00B25EFE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демонстрират как прилагането на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процеса от четири стъпки по отношение на нивото на същественост може да отговори на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106732" w:rsidP="00B25EFE">
      <w:pPr>
        <w:numPr>
          <w:ilvl w:val="1"/>
          <w:numId w:val="1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използването на шаблонна или прекалено обща информация в оповестявания</w:t>
      </w:r>
      <w:r w:rsidR="005E2007">
        <w:rPr>
          <w:rFonts w:eastAsia="Times New Roman" w:cs="Helvetica"/>
          <w:color w:val="575757"/>
          <w:sz w:val="24"/>
          <w:szCs w:val="24"/>
          <w:lang w:val="bg-BG"/>
        </w:rPr>
        <w:t>та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относно счетоводните политики, които са съществени за финансовия отчет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25EFE" w:rsidRPr="00310072" w:rsidRDefault="00106732" w:rsidP="00B25EFE">
      <w:pPr>
        <w:numPr>
          <w:ilvl w:val="1"/>
          <w:numId w:val="1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оповестявания относно счетоводните политики, съдържащи само информация, която повтаря изискванията на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стандартите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9A4C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- несъгласие с тези решения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20D25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:rsidR="00B25EFE" w:rsidRPr="00310072" w:rsidRDefault="00AC36EF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 бъдещо заседание Съветът ще обсъди стъпките от регламентираната процедура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B25EFE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B25EFE" w:rsidRPr="00310072" w:rsidRDefault="0014369D" w:rsidP="00B25EF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9" w:name="10"/>
      <w:r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Реформата във връзка с референтните лихвени проценти и нейният ефект върху финансовото отчитане 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4A3C6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14)</w:t>
      </w:r>
      <w:bookmarkEnd w:id="9"/>
    </w:p>
    <w:p w:rsidR="00B25EFE" w:rsidRPr="00310072" w:rsidRDefault="00B040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На 14 март 2019 г. Съветът проведе заседание, за да обсъди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14369D" w:rsidP="00B25EFE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дали предприятието следва да има право на избор да прилага облекчението, изложено по време на заседанието на Съвета през февруари 2019 г. и кога предприятието следва да преустанови прилагането на това облекчение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14;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25EFE" w:rsidRPr="00310072" w:rsidRDefault="0014369D" w:rsidP="00B25EFE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стъпките от регламентираната процедура – Документ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по програмата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14A.</w:t>
      </w:r>
    </w:p>
    <w:p w:rsidR="00B25EFE" w:rsidRPr="00310072" w:rsidRDefault="0014369D" w:rsidP="00B25EF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Доброволно прилагане и край на облекчението 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4A3C6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14)</w:t>
      </w:r>
    </w:p>
    <w:p w:rsidR="00B25EFE" w:rsidRPr="00310072" w:rsidRDefault="00B040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14369D" w:rsidRPr="00310072"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14369D" w:rsidP="00B25EFE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прилагането на облекчението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когато това е приложимо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следва да бъде задължително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14369D" w:rsidP="00B25EFE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предприятията следва да преустановят прилагането на облекчението при настъпване на по-ранното от следните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B25EFE" w:rsidRPr="00310072" w:rsidRDefault="00AC36EF" w:rsidP="00B25EFE">
      <w:pPr>
        <w:numPr>
          <w:ilvl w:val="1"/>
          <w:numId w:val="21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несигурността относно времето и сумата на произтичащите в резултат парични потоци вече не е налице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B25EFE" w:rsidRPr="00310072" w:rsidRDefault="00AC36EF" w:rsidP="00B25EFE">
      <w:pPr>
        <w:numPr>
          <w:ilvl w:val="1"/>
          <w:numId w:val="21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хеджиращото взаимоотношение приключва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5E2007" w:rsidRDefault="00AC36EF" w:rsidP="00523D52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5E2007">
        <w:rPr>
          <w:rFonts w:eastAsia="Times New Roman" w:cs="Helvetica"/>
          <w:color w:val="575757"/>
          <w:sz w:val="24"/>
          <w:szCs w:val="24"/>
          <w:lang w:val="bg-BG"/>
        </w:rPr>
        <w:t>преустановяване на облекчението</w:t>
      </w:r>
      <w:r w:rsidR="00B25EFE" w:rsidRPr="005E2007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5E2007">
        <w:rPr>
          <w:rFonts w:eastAsia="Times New Roman" w:cs="Helvetica"/>
          <w:color w:val="575757"/>
          <w:sz w:val="24"/>
          <w:szCs w:val="24"/>
          <w:lang w:val="bg-BG"/>
        </w:rPr>
        <w:t>преди приключване на хеджиращото взаимоотношение</w:t>
      </w:r>
      <w:r w:rsidR="00B25EFE" w:rsidRPr="005E2007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5E2007">
        <w:rPr>
          <w:rFonts w:eastAsia="Times New Roman" w:cs="Helvetica"/>
          <w:color w:val="575757"/>
          <w:sz w:val="24"/>
          <w:szCs w:val="24"/>
          <w:lang w:val="bg-BG"/>
        </w:rPr>
        <w:t>не е приложимо за отделно разграничимите компоненти на риск</w:t>
      </w:r>
      <w:r w:rsidR="00B25EFE" w:rsidRPr="005E2007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9A4C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C36EF" w:rsidP="00B25EF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Стъпки от регламентираната процедура 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4A3C6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B25EFE" w:rsidRPr="00310072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14A)</w:t>
      </w:r>
    </w:p>
    <w:p w:rsidR="00B25EFE" w:rsidRPr="00310072" w:rsidRDefault="00B0409B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AC36EF" w:rsidRPr="00310072">
        <w:rPr>
          <w:rFonts w:eastAsia="Times New Roman" w:cs="Helvetica"/>
          <w:color w:val="575757"/>
          <w:sz w:val="24"/>
          <w:szCs w:val="24"/>
          <w:lang w:val="bg-BG"/>
        </w:rPr>
        <w:t>, че периодът за предоставяне на коментари във връзка с предложените изменения в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 9 </w:t>
      </w:r>
      <w:r w:rsidR="00AC36EF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="00AC36EF"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F34C3E" w:rsidRPr="00310072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39 </w:t>
      </w:r>
      <w:r w:rsidR="00AC36EF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B25EFE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: </w:t>
      </w:r>
      <w:r w:rsidR="00AC36EF" w:rsidRPr="0031007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признаване и оценяване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="00AC36EF" w:rsidRPr="00310072">
        <w:rPr>
          <w:rFonts w:eastAsia="Times New Roman" w:cs="Helvetica"/>
          <w:color w:val="575757"/>
          <w:sz w:val="24"/>
          <w:szCs w:val="24"/>
          <w:lang w:val="bg-BG"/>
        </w:rPr>
        <w:t>следва да бъде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45 </w:t>
      </w:r>
      <w:r w:rsidR="00AC36EF" w:rsidRPr="00310072">
        <w:rPr>
          <w:rFonts w:eastAsia="Times New Roman" w:cs="Helvetica"/>
          <w:color w:val="575757"/>
          <w:sz w:val="24"/>
          <w:szCs w:val="24"/>
          <w:lang w:val="bg-BG"/>
        </w:rPr>
        <w:t>дни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9A4C9B" w:rsidRPr="00310072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C36EF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Всички членове на Съвета потвърдиха, че са се уверили, че Съветът е изпълнил приложимите изисквания на регламентираната процедура и че Съветът е осъществил достатъчно консултации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и е извършил достатъчно анализи, за да се пристъпи към </w:t>
      </w:r>
      <w:r w:rsidR="005E2007">
        <w:rPr>
          <w:rFonts w:eastAsia="Times New Roman" w:cs="Helvetica"/>
          <w:color w:val="575757"/>
          <w:sz w:val="24"/>
          <w:szCs w:val="24"/>
          <w:lang w:val="bg-BG"/>
        </w:rPr>
        <w:t>процедурата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по гласуване на Проекта за обсъждане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B25EFE" w:rsidRPr="00310072" w:rsidRDefault="00AC36EF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Нито един от членовете на Съвета не даде индикации, че възнамерява да изрази несъгласие с предложените изменения в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A3C6E" w:rsidRPr="0031007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F34C3E" w:rsidRPr="00310072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39.</w:t>
      </w:r>
    </w:p>
    <w:p w:rsidR="00B25EFE" w:rsidRPr="00310072" w:rsidRDefault="00A20D25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B25EFE" w:rsidRPr="00310072" w:rsidRDefault="00AC36EF" w:rsidP="00B25EF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310072">
        <w:rPr>
          <w:rFonts w:eastAsia="Times New Roman" w:cs="Helvetica"/>
          <w:color w:val="575757"/>
          <w:sz w:val="24"/>
          <w:szCs w:val="24"/>
          <w:lang w:val="bg-BG"/>
        </w:rPr>
        <w:t>Съветът планира да издаде проект за обсъждане през второто тримесечие на</w:t>
      </w:r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5E2007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bookmarkStart w:id="10" w:name="_GoBack"/>
      <w:bookmarkEnd w:id="10"/>
      <w:r w:rsidR="00B25EFE" w:rsidRPr="0031007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6C6969" w:rsidRPr="00310072" w:rsidRDefault="006C6969">
      <w:pPr>
        <w:rPr>
          <w:lang w:val="bg-BG"/>
        </w:rPr>
      </w:pPr>
    </w:p>
    <w:sectPr w:rsidR="006C6969" w:rsidRPr="00310072" w:rsidSect="00CA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417"/>
    <w:multiLevelType w:val="multilevel"/>
    <w:tmpl w:val="6DA6166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67606"/>
    <w:multiLevelType w:val="multilevel"/>
    <w:tmpl w:val="36DC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9665A"/>
    <w:multiLevelType w:val="multilevel"/>
    <w:tmpl w:val="C2AA7B3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0136A"/>
    <w:multiLevelType w:val="multilevel"/>
    <w:tmpl w:val="E2009D5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978CE"/>
    <w:multiLevelType w:val="multilevel"/>
    <w:tmpl w:val="9ABA6B66"/>
    <w:lvl w:ilvl="0">
      <w:start w:val="1"/>
      <w:numFmt w:val="russianLow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0AF6F77"/>
    <w:multiLevelType w:val="multilevel"/>
    <w:tmpl w:val="29DAE3BC"/>
    <w:lvl w:ilvl="0">
      <w:start w:val="1"/>
      <w:numFmt w:val="russianLow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1193C0C"/>
    <w:multiLevelType w:val="multilevel"/>
    <w:tmpl w:val="8864E24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B179B"/>
    <w:multiLevelType w:val="multilevel"/>
    <w:tmpl w:val="7572366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D185F"/>
    <w:multiLevelType w:val="multilevel"/>
    <w:tmpl w:val="04A8E0C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12DF0"/>
    <w:multiLevelType w:val="multilevel"/>
    <w:tmpl w:val="3476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8A29FA"/>
    <w:multiLevelType w:val="multilevel"/>
    <w:tmpl w:val="4014BC4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C3685"/>
    <w:multiLevelType w:val="multilevel"/>
    <w:tmpl w:val="D230351C"/>
    <w:lvl w:ilvl="0">
      <w:start w:val="1"/>
      <w:numFmt w:val="russianLow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CE25BB2"/>
    <w:multiLevelType w:val="multilevel"/>
    <w:tmpl w:val="38F8CE6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95052"/>
    <w:multiLevelType w:val="multilevel"/>
    <w:tmpl w:val="57B2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3314E"/>
    <w:multiLevelType w:val="multilevel"/>
    <w:tmpl w:val="558660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9A5538"/>
    <w:multiLevelType w:val="multilevel"/>
    <w:tmpl w:val="A7667FB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632B7"/>
    <w:multiLevelType w:val="multilevel"/>
    <w:tmpl w:val="5104554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27FC9"/>
    <w:multiLevelType w:val="multilevel"/>
    <w:tmpl w:val="B110462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264FD0"/>
    <w:multiLevelType w:val="multilevel"/>
    <w:tmpl w:val="CAC80EF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C7F74"/>
    <w:multiLevelType w:val="multilevel"/>
    <w:tmpl w:val="B6AE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AE36D6"/>
    <w:multiLevelType w:val="multilevel"/>
    <w:tmpl w:val="EF96E4C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8493F"/>
    <w:multiLevelType w:val="multilevel"/>
    <w:tmpl w:val="558660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18"/>
  </w:num>
  <w:num w:numId="7">
    <w:abstractNumId w:val="16"/>
  </w:num>
  <w:num w:numId="8">
    <w:abstractNumId w:val="11"/>
  </w:num>
  <w:num w:numId="9">
    <w:abstractNumId w:val="14"/>
  </w:num>
  <w:num w:numId="10">
    <w:abstractNumId w:val="5"/>
  </w:num>
  <w:num w:numId="11">
    <w:abstractNumId w:val="0"/>
  </w:num>
  <w:num w:numId="12">
    <w:abstractNumId w:val="19"/>
  </w:num>
  <w:num w:numId="13">
    <w:abstractNumId w:val="3"/>
  </w:num>
  <w:num w:numId="14">
    <w:abstractNumId w:val="20"/>
  </w:num>
  <w:num w:numId="15">
    <w:abstractNumId w:val="10"/>
  </w:num>
  <w:num w:numId="16">
    <w:abstractNumId w:val="2"/>
  </w:num>
  <w:num w:numId="17">
    <w:abstractNumId w:val="4"/>
  </w:num>
  <w:num w:numId="18">
    <w:abstractNumId w:val="7"/>
  </w:num>
  <w:num w:numId="19">
    <w:abstractNumId w:val="17"/>
  </w:num>
  <w:num w:numId="20">
    <w:abstractNumId w:val="9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5EFE"/>
    <w:rsid w:val="000003AC"/>
    <w:rsid w:val="00052A9B"/>
    <w:rsid w:val="00066E21"/>
    <w:rsid w:val="000B5C83"/>
    <w:rsid w:val="00106732"/>
    <w:rsid w:val="0014369D"/>
    <w:rsid w:val="00156343"/>
    <w:rsid w:val="001C73CB"/>
    <w:rsid w:val="001D38B0"/>
    <w:rsid w:val="00246E2C"/>
    <w:rsid w:val="00250328"/>
    <w:rsid w:val="002B186B"/>
    <w:rsid w:val="002B40CE"/>
    <w:rsid w:val="002F0FF3"/>
    <w:rsid w:val="00310072"/>
    <w:rsid w:val="0044789A"/>
    <w:rsid w:val="00482076"/>
    <w:rsid w:val="004A3C6E"/>
    <w:rsid w:val="004D3443"/>
    <w:rsid w:val="00543FE6"/>
    <w:rsid w:val="005E2007"/>
    <w:rsid w:val="006020E1"/>
    <w:rsid w:val="006564B7"/>
    <w:rsid w:val="00674576"/>
    <w:rsid w:val="00681E2A"/>
    <w:rsid w:val="006C6969"/>
    <w:rsid w:val="0079416D"/>
    <w:rsid w:val="00821C8C"/>
    <w:rsid w:val="009758A2"/>
    <w:rsid w:val="009A4B7F"/>
    <w:rsid w:val="009A4C9B"/>
    <w:rsid w:val="009C7043"/>
    <w:rsid w:val="00A20D25"/>
    <w:rsid w:val="00A61CB4"/>
    <w:rsid w:val="00A64955"/>
    <w:rsid w:val="00AC36EF"/>
    <w:rsid w:val="00AD5126"/>
    <w:rsid w:val="00AD5BF5"/>
    <w:rsid w:val="00B0409B"/>
    <w:rsid w:val="00B25EFE"/>
    <w:rsid w:val="00B33955"/>
    <w:rsid w:val="00B95893"/>
    <w:rsid w:val="00C57D09"/>
    <w:rsid w:val="00CA191C"/>
    <w:rsid w:val="00D07BBD"/>
    <w:rsid w:val="00E70D37"/>
    <w:rsid w:val="00E743EE"/>
    <w:rsid w:val="00E9617D"/>
    <w:rsid w:val="00EA5C2C"/>
    <w:rsid w:val="00F34C3E"/>
    <w:rsid w:val="00F95A97"/>
    <w:rsid w:val="00FB3844"/>
    <w:rsid w:val="00FB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85E83-71EC-4EF4-BCE9-197CCE24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53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1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march-2019/" TargetMode="External"/><Relationship Id="rId13" Type="http://schemas.openxmlformats.org/officeDocument/2006/relationships/hyperlink" Target="https://www.ifrs.org/news-and-events/updates/iasb-updates/march-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march-2019/" TargetMode="External"/><Relationship Id="rId12" Type="http://schemas.openxmlformats.org/officeDocument/2006/relationships/hyperlink" Target="https://www.ifrs.org/news-and-events/updates/iasb-updates/march-201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march-2019/" TargetMode="External"/><Relationship Id="rId11" Type="http://schemas.openxmlformats.org/officeDocument/2006/relationships/hyperlink" Target="https://www.ifrs.org/news-and-events/updates/iasb-updates/march-2019/" TargetMode="External"/><Relationship Id="rId5" Type="http://schemas.openxmlformats.org/officeDocument/2006/relationships/hyperlink" Target="https://www.ifrs.org/news-and-events/updates/iasb-updates/march-2019/" TargetMode="External"/><Relationship Id="rId15" Type="http://schemas.openxmlformats.org/officeDocument/2006/relationships/hyperlink" Target="https://www.ifrs.org/news-and-events/updates/iasb-updates/february-2019/" TargetMode="External"/><Relationship Id="rId10" Type="http://schemas.openxmlformats.org/officeDocument/2006/relationships/hyperlink" Target="https://www.ifrs.org/news-and-events/updates/iasb-updates/march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march-2019/" TargetMode="External"/><Relationship Id="rId14" Type="http://schemas.openxmlformats.org/officeDocument/2006/relationships/hyperlink" Target="https://www.ifrs.org/news-and-events/updates/iasb-updates/march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3487</Words>
  <Characters>20469</Characters>
  <Application>Microsoft Office Word</Application>
  <DocSecurity>0</DocSecurity>
  <Lines>417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VS</cp:lastModifiedBy>
  <cp:revision>11</cp:revision>
  <dcterms:created xsi:type="dcterms:W3CDTF">2019-04-17T07:15:00Z</dcterms:created>
  <dcterms:modified xsi:type="dcterms:W3CDTF">2019-04-17T15:44:00Z</dcterms:modified>
</cp:coreProperties>
</file>