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4B" w:rsidRPr="00324AD7" w:rsidRDefault="0021094B" w:rsidP="00BA55BC">
      <w:pPr>
        <w:pStyle w:val="NormalWeb"/>
        <w:spacing w:before="0" w:beforeAutospacing="0" w:after="0" w:afterAutospacing="0"/>
        <w:jc w:val="center"/>
        <w:rPr>
          <w:b/>
          <w:sz w:val="28"/>
          <w:szCs w:val="28"/>
        </w:rPr>
      </w:pPr>
    </w:p>
    <w:p w:rsidR="00662B82" w:rsidRPr="00324AD7" w:rsidRDefault="00662B82" w:rsidP="00BA55BC">
      <w:pPr>
        <w:pStyle w:val="NormalWeb"/>
        <w:spacing w:before="0" w:beforeAutospacing="0" w:after="0" w:afterAutospacing="0"/>
        <w:jc w:val="center"/>
        <w:rPr>
          <w:b/>
          <w:sz w:val="28"/>
          <w:szCs w:val="28"/>
        </w:rPr>
      </w:pPr>
    </w:p>
    <w:p w:rsidR="00662B82" w:rsidRPr="00324AD7" w:rsidRDefault="00662B82" w:rsidP="00BA55BC">
      <w:pPr>
        <w:pStyle w:val="NormalWeb"/>
        <w:spacing w:before="0" w:beforeAutospacing="0" w:after="0" w:afterAutospacing="0"/>
        <w:jc w:val="center"/>
        <w:rPr>
          <w:b/>
          <w:sz w:val="28"/>
          <w:szCs w:val="28"/>
        </w:rPr>
      </w:pPr>
    </w:p>
    <w:p w:rsidR="003E2A1B" w:rsidRPr="00324AD7" w:rsidRDefault="004E3E2D" w:rsidP="00BA55BC">
      <w:pPr>
        <w:pStyle w:val="NormalWeb"/>
        <w:spacing w:before="0" w:beforeAutospacing="0" w:after="0" w:afterAutospacing="0"/>
        <w:jc w:val="center"/>
        <w:rPr>
          <w:b/>
          <w:sz w:val="28"/>
          <w:szCs w:val="28"/>
        </w:rPr>
      </w:pPr>
      <w:r w:rsidRPr="00324AD7">
        <w:rPr>
          <w:b/>
          <w:sz w:val="28"/>
          <w:szCs w:val="28"/>
        </w:rPr>
        <w:t>RULES OF PROCEDURE</w:t>
      </w:r>
    </w:p>
    <w:p w:rsidR="003E2A1B" w:rsidRPr="00324AD7" w:rsidRDefault="003E2A1B" w:rsidP="00BA55BC">
      <w:pPr>
        <w:pStyle w:val="NormalWeb"/>
        <w:spacing w:before="0" w:beforeAutospacing="0" w:after="0" w:afterAutospacing="0"/>
        <w:jc w:val="center"/>
        <w:rPr>
          <w:sz w:val="28"/>
          <w:szCs w:val="28"/>
        </w:rPr>
      </w:pPr>
    </w:p>
    <w:p w:rsidR="003E2A1B" w:rsidRPr="00324AD7" w:rsidRDefault="004E3E2D" w:rsidP="00BA55BC">
      <w:pPr>
        <w:pStyle w:val="NormalWeb"/>
        <w:spacing w:before="0" w:beforeAutospacing="0" w:after="0" w:afterAutospacing="0"/>
        <w:jc w:val="center"/>
        <w:rPr>
          <w:b/>
          <w:sz w:val="28"/>
          <w:szCs w:val="28"/>
        </w:rPr>
      </w:pPr>
      <w:r w:rsidRPr="00324AD7">
        <w:rPr>
          <w:b/>
          <w:sz w:val="28"/>
          <w:szCs w:val="28"/>
        </w:rPr>
        <w:t>for the Organization and Conducting of Certified Public Accountant Examinations</w:t>
      </w:r>
    </w:p>
    <w:p w:rsidR="0021094B" w:rsidRPr="00324AD7" w:rsidRDefault="0021094B" w:rsidP="00BA55BC">
      <w:pPr>
        <w:pStyle w:val="NormalWeb"/>
        <w:spacing w:before="0" w:beforeAutospacing="0" w:after="0" w:afterAutospacing="0"/>
        <w:ind w:firstLine="709"/>
        <w:jc w:val="center"/>
      </w:pPr>
    </w:p>
    <w:p w:rsidR="00662B82" w:rsidRPr="00324AD7" w:rsidRDefault="00662B82" w:rsidP="00BA55BC">
      <w:pPr>
        <w:pStyle w:val="NormalWeb"/>
        <w:spacing w:before="0" w:beforeAutospacing="0" w:after="0" w:afterAutospacing="0"/>
        <w:ind w:firstLine="709"/>
        <w:jc w:val="center"/>
      </w:pPr>
    </w:p>
    <w:p w:rsidR="00161397" w:rsidRPr="00324AD7" w:rsidRDefault="00161397" w:rsidP="00BA55BC">
      <w:pPr>
        <w:pStyle w:val="NormalWeb"/>
        <w:spacing w:before="0" w:beforeAutospacing="0" w:after="0" w:afterAutospacing="0"/>
        <w:ind w:firstLine="709"/>
        <w:jc w:val="center"/>
      </w:pPr>
    </w:p>
    <w:p w:rsidR="001A6F6F" w:rsidRPr="00324AD7" w:rsidRDefault="004E3E2D" w:rsidP="00066011">
      <w:pPr>
        <w:jc w:val="both"/>
        <w:rPr>
          <w:sz w:val="24"/>
          <w:szCs w:val="24"/>
          <w:lang w:val="en-GB"/>
        </w:rPr>
      </w:pPr>
      <w:r w:rsidRPr="00324AD7">
        <w:rPr>
          <w:sz w:val="24"/>
          <w:szCs w:val="24"/>
          <w:lang w:val="en-GB"/>
        </w:rPr>
        <w:t>This document has been developed by</w:t>
      </w:r>
      <w:r w:rsidR="001A6F6F" w:rsidRPr="00324AD7">
        <w:rPr>
          <w:sz w:val="24"/>
          <w:szCs w:val="24"/>
          <w:lang w:val="en-GB"/>
        </w:rPr>
        <w:t xml:space="preserve"> </w:t>
      </w:r>
      <w:r w:rsidRPr="00324AD7">
        <w:rPr>
          <w:sz w:val="24"/>
          <w:szCs w:val="24"/>
          <w:lang w:val="en-GB"/>
        </w:rPr>
        <w:t>the Institute of Certified Public Accountants (ICPA) pursuant to Art</w:t>
      </w:r>
      <w:r w:rsidR="00204733" w:rsidRPr="00324AD7">
        <w:rPr>
          <w:sz w:val="24"/>
          <w:szCs w:val="24"/>
          <w:lang w:val="en-GB"/>
        </w:rPr>
        <w:t>.</w:t>
      </w:r>
      <w:r w:rsidR="00C55F68" w:rsidRPr="00324AD7">
        <w:rPr>
          <w:sz w:val="24"/>
          <w:szCs w:val="24"/>
          <w:lang w:val="en-GB"/>
        </w:rPr>
        <w:t xml:space="preserve"> </w:t>
      </w:r>
      <w:r w:rsidR="00204733" w:rsidRPr="00324AD7">
        <w:rPr>
          <w:sz w:val="24"/>
          <w:szCs w:val="24"/>
          <w:lang w:val="en-GB"/>
        </w:rPr>
        <w:t>36</w:t>
      </w:r>
      <w:r w:rsidR="00C55F68" w:rsidRPr="00324AD7">
        <w:rPr>
          <w:sz w:val="24"/>
          <w:szCs w:val="24"/>
          <w:lang w:val="en-GB"/>
        </w:rPr>
        <w:t>,</w:t>
      </w:r>
      <w:r w:rsidR="00204733" w:rsidRPr="00324AD7">
        <w:rPr>
          <w:sz w:val="24"/>
          <w:szCs w:val="24"/>
          <w:lang w:val="en-GB"/>
        </w:rPr>
        <w:t xml:space="preserve"> </w:t>
      </w:r>
      <w:r w:rsidRPr="00324AD7">
        <w:rPr>
          <w:sz w:val="24"/>
          <w:szCs w:val="24"/>
          <w:lang w:val="en-GB"/>
        </w:rPr>
        <w:t xml:space="preserve">paragraph </w:t>
      </w:r>
      <w:r w:rsidR="00204733" w:rsidRPr="00324AD7">
        <w:rPr>
          <w:sz w:val="24"/>
          <w:szCs w:val="24"/>
          <w:lang w:val="en-GB"/>
        </w:rPr>
        <w:t>1</w:t>
      </w:r>
      <w:r w:rsidRPr="00324AD7">
        <w:rPr>
          <w:sz w:val="24"/>
          <w:szCs w:val="24"/>
          <w:lang w:val="en-GB"/>
        </w:rPr>
        <w:t>(</w:t>
      </w:r>
      <w:r w:rsidR="00C55F68" w:rsidRPr="00324AD7">
        <w:rPr>
          <w:sz w:val="24"/>
          <w:szCs w:val="24"/>
          <w:lang w:val="en-GB"/>
        </w:rPr>
        <w:t>6</w:t>
      </w:r>
      <w:r w:rsidRPr="00324AD7">
        <w:rPr>
          <w:sz w:val="24"/>
          <w:szCs w:val="24"/>
          <w:lang w:val="en-GB"/>
        </w:rPr>
        <w:t>)</w:t>
      </w:r>
      <w:r w:rsidR="00C55F68" w:rsidRPr="00324AD7">
        <w:rPr>
          <w:sz w:val="24"/>
          <w:szCs w:val="24"/>
          <w:lang w:val="en-GB"/>
        </w:rPr>
        <w:t xml:space="preserve"> </w:t>
      </w:r>
      <w:r w:rsidR="00324AD7">
        <w:rPr>
          <w:sz w:val="24"/>
          <w:szCs w:val="24"/>
          <w:lang w:val="en-GB"/>
        </w:rPr>
        <w:t>of</w:t>
      </w:r>
      <w:r w:rsidR="00204733" w:rsidRPr="00324AD7">
        <w:rPr>
          <w:sz w:val="24"/>
          <w:szCs w:val="24"/>
          <w:lang w:val="en-GB"/>
        </w:rPr>
        <w:t xml:space="preserve"> </w:t>
      </w:r>
      <w:r w:rsidRPr="00324AD7">
        <w:rPr>
          <w:sz w:val="24"/>
          <w:szCs w:val="24"/>
          <w:lang w:val="en-GB"/>
        </w:rPr>
        <w:t>the Independent Financial Audit Act (IFAA)</w:t>
      </w:r>
      <w:r w:rsidR="00C55F68" w:rsidRPr="00324AD7">
        <w:rPr>
          <w:sz w:val="24"/>
          <w:szCs w:val="24"/>
          <w:lang w:val="en-GB"/>
        </w:rPr>
        <w:t xml:space="preserve"> </w:t>
      </w:r>
      <w:r w:rsidRPr="00324AD7">
        <w:rPr>
          <w:sz w:val="24"/>
          <w:szCs w:val="24"/>
          <w:lang w:val="en-GB"/>
        </w:rPr>
        <w:t>and adopted by the Commission for Public Oversight of Statutory Auditors</w:t>
      </w:r>
      <w:r w:rsidR="001A6F6F" w:rsidRPr="00324AD7">
        <w:rPr>
          <w:sz w:val="24"/>
          <w:szCs w:val="24"/>
          <w:lang w:val="en-GB"/>
        </w:rPr>
        <w:t xml:space="preserve"> (</w:t>
      </w:r>
      <w:r w:rsidRPr="00324AD7">
        <w:rPr>
          <w:sz w:val="24"/>
          <w:szCs w:val="24"/>
          <w:lang w:val="en-GB"/>
        </w:rPr>
        <w:t>CPOSA</w:t>
      </w:r>
      <w:r w:rsidR="001A6F6F" w:rsidRPr="00324AD7">
        <w:rPr>
          <w:sz w:val="24"/>
          <w:szCs w:val="24"/>
          <w:lang w:val="en-GB"/>
        </w:rPr>
        <w:t>)</w:t>
      </w:r>
      <w:r w:rsidR="00C55F68" w:rsidRPr="00324AD7">
        <w:rPr>
          <w:sz w:val="24"/>
          <w:szCs w:val="24"/>
          <w:lang w:val="en-GB"/>
        </w:rPr>
        <w:t xml:space="preserve"> </w:t>
      </w:r>
      <w:r w:rsidRPr="00324AD7">
        <w:rPr>
          <w:sz w:val="24"/>
          <w:szCs w:val="24"/>
          <w:lang w:val="en-GB"/>
        </w:rPr>
        <w:t>on the grounds of</w:t>
      </w:r>
      <w:r w:rsidR="00C55F68" w:rsidRPr="00324AD7">
        <w:rPr>
          <w:sz w:val="24"/>
          <w:szCs w:val="24"/>
          <w:lang w:val="en-GB"/>
        </w:rPr>
        <w:t xml:space="preserve"> </w:t>
      </w:r>
      <w:r w:rsidRPr="00324AD7">
        <w:rPr>
          <w:sz w:val="24"/>
          <w:szCs w:val="24"/>
          <w:lang w:val="en-GB"/>
        </w:rPr>
        <w:t>Art.</w:t>
      </w:r>
      <w:r w:rsidR="00C55F68" w:rsidRPr="00324AD7">
        <w:rPr>
          <w:sz w:val="24"/>
          <w:szCs w:val="24"/>
          <w:lang w:val="en-GB"/>
        </w:rPr>
        <w:t xml:space="preserve"> 71, </w:t>
      </w:r>
      <w:r w:rsidRPr="00324AD7">
        <w:rPr>
          <w:sz w:val="24"/>
          <w:szCs w:val="24"/>
          <w:lang w:val="en-GB"/>
        </w:rPr>
        <w:t>paragraph</w:t>
      </w:r>
      <w:r w:rsidR="00C55F68" w:rsidRPr="00324AD7">
        <w:rPr>
          <w:sz w:val="24"/>
          <w:szCs w:val="24"/>
          <w:lang w:val="en-GB"/>
        </w:rPr>
        <w:t xml:space="preserve"> 3</w:t>
      </w:r>
      <w:r w:rsidRPr="00324AD7">
        <w:rPr>
          <w:sz w:val="24"/>
          <w:szCs w:val="24"/>
          <w:lang w:val="en-GB"/>
        </w:rPr>
        <w:t>(</w:t>
      </w:r>
      <w:r w:rsidR="00C55F68" w:rsidRPr="00324AD7">
        <w:rPr>
          <w:sz w:val="24"/>
          <w:szCs w:val="24"/>
          <w:lang w:val="en-GB"/>
        </w:rPr>
        <w:t>4</w:t>
      </w:r>
      <w:r w:rsidRPr="00324AD7">
        <w:rPr>
          <w:sz w:val="24"/>
          <w:szCs w:val="24"/>
          <w:lang w:val="en-GB"/>
        </w:rPr>
        <w:t>) of this Act</w:t>
      </w:r>
      <w:r w:rsidR="00066011" w:rsidRPr="00324AD7">
        <w:rPr>
          <w:sz w:val="24"/>
          <w:szCs w:val="24"/>
          <w:lang w:val="en-GB"/>
        </w:rPr>
        <w:t>.</w:t>
      </w:r>
    </w:p>
    <w:p w:rsidR="006B462A" w:rsidRPr="00324AD7" w:rsidRDefault="00066011" w:rsidP="00066011">
      <w:pPr>
        <w:jc w:val="both"/>
        <w:rPr>
          <w:sz w:val="24"/>
          <w:szCs w:val="24"/>
          <w:lang w:val="en-GB"/>
        </w:rPr>
      </w:pPr>
      <w:r w:rsidRPr="00324AD7">
        <w:rPr>
          <w:sz w:val="24"/>
          <w:szCs w:val="24"/>
          <w:lang w:val="en-GB"/>
        </w:rPr>
        <w:t>The main purpose of the examinations shall be to test whether candidates possess the required theoretical knowledge</w:t>
      </w:r>
      <w:r w:rsidR="00161397" w:rsidRPr="00324AD7">
        <w:rPr>
          <w:sz w:val="24"/>
          <w:szCs w:val="24"/>
          <w:lang w:val="en-GB"/>
        </w:rPr>
        <w:t xml:space="preserve"> </w:t>
      </w:r>
      <w:r w:rsidRPr="00324AD7">
        <w:rPr>
          <w:sz w:val="24"/>
          <w:szCs w:val="24"/>
          <w:lang w:val="en-GB"/>
        </w:rPr>
        <w:t>and practical skills</w:t>
      </w:r>
      <w:r w:rsidR="006B462A" w:rsidRPr="00324AD7">
        <w:rPr>
          <w:sz w:val="24"/>
          <w:szCs w:val="24"/>
          <w:lang w:val="en-GB"/>
        </w:rPr>
        <w:t xml:space="preserve"> </w:t>
      </w:r>
      <w:r w:rsidRPr="00324AD7">
        <w:rPr>
          <w:sz w:val="24"/>
          <w:szCs w:val="24"/>
          <w:lang w:val="en-GB"/>
        </w:rPr>
        <w:t>to qualify as</w:t>
      </w:r>
      <w:r w:rsidR="006B462A" w:rsidRPr="00324AD7">
        <w:rPr>
          <w:sz w:val="24"/>
          <w:szCs w:val="24"/>
          <w:lang w:val="en-GB"/>
        </w:rPr>
        <w:t xml:space="preserve"> </w:t>
      </w:r>
      <w:r w:rsidRPr="00324AD7">
        <w:rPr>
          <w:sz w:val="24"/>
          <w:szCs w:val="24"/>
          <w:lang w:val="en-GB"/>
        </w:rPr>
        <w:t>certified public accountants</w:t>
      </w:r>
      <w:r w:rsidR="00BA55BC" w:rsidRPr="00324AD7">
        <w:rPr>
          <w:sz w:val="24"/>
          <w:szCs w:val="24"/>
          <w:lang w:val="en-GB"/>
        </w:rPr>
        <w:t>.</w:t>
      </w:r>
    </w:p>
    <w:p w:rsidR="00C238B1" w:rsidRPr="00324AD7" w:rsidRDefault="00066011" w:rsidP="00066011">
      <w:pPr>
        <w:jc w:val="both"/>
        <w:rPr>
          <w:sz w:val="24"/>
          <w:szCs w:val="24"/>
          <w:lang w:val="en-GB"/>
        </w:rPr>
      </w:pPr>
      <w:r w:rsidRPr="00324AD7">
        <w:rPr>
          <w:sz w:val="24"/>
          <w:szCs w:val="24"/>
          <w:lang w:val="en-GB"/>
        </w:rPr>
        <w:t>The Rules of Procedure</w:t>
      </w:r>
      <w:r w:rsidR="001A6F6F" w:rsidRPr="00324AD7">
        <w:rPr>
          <w:sz w:val="24"/>
          <w:szCs w:val="24"/>
          <w:lang w:val="en-GB"/>
        </w:rPr>
        <w:t xml:space="preserve"> </w:t>
      </w:r>
      <w:r w:rsidRPr="00324AD7">
        <w:rPr>
          <w:sz w:val="24"/>
          <w:szCs w:val="24"/>
          <w:lang w:val="en-GB"/>
        </w:rPr>
        <w:t>for the Organization and Conducting of Certified Public Accountant Examinations</w:t>
      </w:r>
      <w:r w:rsidR="00B40ACE" w:rsidRPr="00324AD7">
        <w:rPr>
          <w:sz w:val="24"/>
          <w:szCs w:val="24"/>
          <w:lang w:val="en-GB"/>
        </w:rPr>
        <w:t xml:space="preserve"> </w:t>
      </w:r>
      <w:r w:rsidRPr="00324AD7">
        <w:rPr>
          <w:sz w:val="24"/>
          <w:szCs w:val="24"/>
          <w:lang w:val="en-GB"/>
        </w:rPr>
        <w:t xml:space="preserve">shall </w:t>
      </w:r>
      <w:r w:rsidR="00D83B83">
        <w:rPr>
          <w:sz w:val="24"/>
          <w:szCs w:val="24"/>
          <w:lang w:val="en-US"/>
        </w:rPr>
        <w:t>regulate</w:t>
      </w:r>
      <w:r w:rsidRPr="00324AD7">
        <w:rPr>
          <w:sz w:val="24"/>
          <w:szCs w:val="24"/>
          <w:lang w:val="en-GB"/>
        </w:rPr>
        <w:t xml:space="preserve"> the organization and conducting of written examinations</w:t>
      </w:r>
      <w:r w:rsidR="001A6F6F" w:rsidRPr="00324AD7">
        <w:rPr>
          <w:sz w:val="24"/>
          <w:szCs w:val="24"/>
          <w:lang w:val="en-GB"/>
        </w:rPr>
        <w:t xml:space="preserve"> </w:t>
      </w:r>
      <w:r w:rsidRPr="00324AD7">
        <w:rPr>
          <w:sz w:val="24"/>
          <w:szCs w:val="24"/>
          <w:lang w:val="en-GB"/>
        </w:rPr>
        <w:t xml:space="preserve">for awarding a </w:t>
      </w:r>
      <w:r w:rsidR="005D279F" w:rsidRPr="00324AD7">
        <w:rPr>
          <w:sz w:val="24"/>
          <w:szCs w:val="24"/>
          <w:lang w:val="en-GB"/>
        </w:rPr>
        <w:t>C</w:t>
      </w:r>
      <w:r w:rsidRPr="00324AD7">
        <w:rPr>
          <w:sz w:val="24"/>
          <w:szCs w:val="24"/>
          <w:lang w:val="en-GB"/>
        </w:rPr>
        <w:t xml:space="preserve">ertified </w:t>
      </w:r>
      <w:r w:rsidR="005D279F" w:rsidRPr="00324AD7">
        <w:rPr>
          <w:sz w:val="24"/>
          <w:szCs w:val="24"/>
          <w:lang w:val="en-GB"/>
        </w:rPr>
        <w:t>P</w:t>
      </w:r>
      <w:r w:rsidRPr="00324AD7">
        <w:rPr>
          <w:sz w:val="24"/>
          <w:szCs w:val="24"/>
          <w:lang w:val="en-GB"/>
        </w:rPr>
        <w:t xml:space="preserve">ublic </w:t>
      </w:r>
      <w:r w:rsidR="005D279F" w:rsidRPr="00324AD7">
        <w:rPr>
          <w:sz w:val="24"/>
          <w:szCs w:val="24"/>
          <w:lang w:val="en-GB"/>
        </w:rPr>
        <w:t>A</w:t>
      </w:r>
      <w:r w:rsidRPr="00324AD7">
        <w:rPr>
          <w:sz w:val="24"/>
          <w:szCs w:val="24"/>
          <w:lang w:val="en-GB"/>
        </w:rPr>
        <w:t>ccountant diploma ensuring that these examinations are reliable, unbiased and transparent</w:t>
      </w:r>
      <w:r w:rsidR="00C238B1" w:rsidRPr="00324AD7">
        <w:rPr>
          <w:sz w:val="24"/>
          <w:szCs w:val="24"/>
          <w:lang w:val="en-GB"/>
        </w:rPr>
        <w:t>.</w:t>
      </w:r>
    </w:p>
    <w:p w:rsidR="003E2A1B"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0" w:name="_Toc535242761"/>
      <w:bookmarkStart w:id="1" w:name="_Toc535598108"/>
      <w:r w:rsidRPr="00324AD7">
        <w:rPr>
          <w:i w:val="0"/>
          <w:color w:val="auto"/>
          <w:sz w:val="24"/>
          <w:szCs w:val="24"/>
          <w:lang w:val="en-GB"/>
        </w:rPr>
        <w:t>Chapter One</w:t>
      </w:r>
      <w:bookmarkEnd w:id="0"/>
      <w:bookmarkEnd w:id="1"/>
    </w:p>
    <w:p w:rsidR="003E2A1B" w:rsidRPr="00324AD7" w:rsidRDefault="00066011" w:rsidP="00BA55BC">
      <w:pPr>
        <w:pStyle w:val="IntenseQuote"/>
        <w:pBdr>
          <w:bottom w:val="none" w:sz="0" w:space="0" w:color="auto"/>
        </w:pBdr>
        <w:spacing w:before="0" w:after="120"/>
        <w:ind w:left="0" w:right="0"/>
        <w:jc w:val="center"/>
        <w:outlineLvl w:val="0"/>
        <w:rPr>
          <w:i w:val="0"/>
          <w:color w:val="auto"/>
          <w:sz w:val="24"/>
          <w:szCs w:val="24"/>
          <w:lang w:val="en-GB"/>
        </w:rPr>
      </w:pPr>
      <w:bookmarkStart w:id="2" w:name="_Toc535242762"/>
      <w:bookmarkStart w:id="3" w:name="_Toc535598109"/>
      <w:r w:rsidRPr="00324AD7">
        <w:rPr>
          <w:i w:val="0"/>
          <w:color w:val="auto"/>
          <w:sz w:val="24"/>
          <w:szCs w:val="24"/>
          <w:lang w:val="en-GB"/>
        </w:rPr>
        <w:t>GENERAL PROVISIONS</w:t>
      </w:r>
      <w:bookmarkEnd w:id="2"/>
      <w:bookmarkEnd w:id="3"/>
    </w:p>
    <w:p w:rsidR="003E2A1B" w:rsidRPr="00324AD7" w:rsidRDefault="004E3E2D" w:rsidP="00BA55BC">
      <w:pPr>
        <w:pStyle w:val="NormalWeb"/>
        <w:spacing w:before="0" w:beforeAutospacing="0" w:after="0" w:afterAutospacing="0"/>
        <w:ind w:firstLine="709"/>
        <w:jc w:val="both"/>
      </w:pPr>
      <w:r w:rsidRPr="00324AD7">
        <w:rPr>
          <w:rFonts w:eastAsia="Times New Roman"/>
          <w:b/>
          <w:lang w:eastAsia="bg-BG"/>
        </w:rPr>
        <w:t>Art.</w:t>
      </w:r>
      <w:r w:rsidR="003E2A1B" w:rsidRPr="00324AD7">
        <w:rPr>
          <w:rFonts w:eastAsia="Times New Roman"/>
          <w:b/>
          <w:lang w:eastAsia="bg-BG"/>
        </w:rPr>
        <w:t xml:space="preserve"> 1.</w:t>
      </w:r>
      <w:r w:rsidR="003E2A1B" w:rsidRPr="00324AD7">
        <w:t xml:space="preserve"> </w:t>
      </w:r>
      <w:r w:rsidR="005D279F" w:rsidRPr="00324AD7">
        <w:t>These Rules of Procedure, hereinafter referred to as the Rules, shall set out the procedure and the conditions for applying for, preparation and conducting of the Certified Public Accountant examinations</w:t>
      </w:r>
      <w:r w:rsidR="003E2A1B" w:rsidRPr="00324AD7">
        <w:t>.</w:t>
      </w:r>
    </w:p>
    <w:p w:rsidR="003E2A1B" w:rsidRPr="00324AD7" w:rsidRDefault="004E3E2D" w:rsidP="00BA55BC">
      <w:pPr>
        <w:pStyle w:val="NormalWeb"/>
        <w:spacing w:before="0" w:beforeAutospacing="0" w:after="0" w:afterAutospacing="0"/>
        <w:ind w:firstLine="709"/>
      </w:pPr>
      <w:r w:rsidRPr="00324AD7">
        <w:rPr>
          <w:rFonts w:eastAsia="Times New Roman"/>
          <w:b/>
          <w:lang w:eastAsia="bg-BG"/>
        </w:rPr>
        <w:t>Art.</w:t>
      </w:r>
      <w:r w:rsidR="003E2A1B" w:rsidRPr="00324AD7">
        <w:rPr>
          <w:rFonts w:eastAsia="Times New Roman"/>
          <w:b/>
          <w:lang w:eastAsia="bg-BG"/>
        </w:rPr>
        <w:t xml:space="preserve"> 2.</w:t>
      </w:r>
      <w:r w:rsidR="003E2A1B" w:rsidRPr="00324AD7">
        <w:t xml:space="preserve"> </w:t>
      </w:r>
      <w:r w:rsidR="005D279F" w:rsidRPr="00324AD7">
        <w:t>The purpose of these Rules shall be to ensure</w:t>
      </w:r>
      <w:r w:rsidR="003E2A1B" w:rsidRPr="00324AD7">
        <w:t>:</w:t>
      </w:r>
    </w:p>
    <w:p w:rsidR="00396585" w:rsidRPr="00324AD7" w:rsidRDefault="005D279F" w:rsidP="00BA55BC">
      <w:pPr>
        <w:pStyle w:val="NormalWeb"/>
        <w:numPr>
          <w:ilvl w:val="0"/>
          <w:numId w:val="2"/>
        </w:numPr>
        <w:tabs>
          <w:tab w:val="left" w:pos="993"/>
        </w:tabs>
        <w:spacing w:before="0" w:beforeAutospacing="0" w:after="0" w:afterAutospacing="0"/>
        <w:ind w:left="0" w:firstLine="709"/>
        <w:jc w:val="both"/>
      </w:pPr>
      <w:r w:rsidRPr="00324AD7">
        <w:t xml:space="preserve">the awarding of a Certified Public Accountant diploma only to individuals meeting the requirements of </w:t>
      </w:r>
      <w:r w:rsidR="004E3E2D" w:rsidRPr="00324AD7">
        <w:t>IFAA</w:t>
      </w:r>
      <w:r w:rsidR="00B40ACE" w:rsidRPr="00324AD7">
        <w:t>;</w:t>
      </w:r>
    </w:p>
    <w:p w:rsidR="006731EA" w:rsidRPr="00324AD7" w:rsidRDefault="005D279F" w:rsidP="00BA55BC">
      <w:pPr>
        <w:pStyle w:val="NormalWeb"/>
        <w:numPr>
          <w:ilvl w:val="0"/>
          <w:numId w:val="2"/>
        </w:numPr>
        <w:tabs>
          <w:tab w:val="left" w:pos="993"/>
        </w:tabs>
        <w:spacing w:before="0" w:beforeAutospacing="0" w:after="0" w:afterAutospacing="0"/>
        <w:ind w:left="0" w:firstLine="709"/>
        <w:jc w:val="both"/>
      </w:pPr>
      <w:r w:rsidRPr="00324AD7">
        <w:t>the objective testing of candidates’ professional knowledge and skills through written examinations</w:t>
      </w:r>
      <w:r w:rsidR="006731EA" w:rsidRPr="00324AD7">
        <w:t>;</w:t>
      </w:r>
    </w:p>
    <w:p w:rsidR="00B40ACE" w:rsidRPr="00324AD7" w:rsidRDefault="00B40ACE" w:rsidP="00BA55BC">
      <w:pPr>
        <w:pStyle w:val="NormalWeb"/>
        <w:numPr>
          <w:ilvl w:val="0"/>
          <w:numId w:val="2"/>
        </w:numPr>
        <w:tabs>
          <w:tab w:val="left" w:pos="993"/>
        </w:tabs>
        <w:spacing w:before="0" w:beforeAutospacing="0" w:after="0" w:afterAutospacing="0"/>
        <w:ind w:left="0" w:firstLine="709"/>
        <w:jc w:val="both"/>
      </w:pPr>
      <w:r w:rsidRPr="00324AD7">
        <w:t xml:space="preserve"> </w:t>
      </w:r>
      <w:r w:rsidR="005D279F" w:rsidRPr="00324AD7">
        <w:t>the application of unified principles for the assessment of validity</w:t>
      </w:r>
      <w:r w:rsidR="006731EA" w:rsidRPr="00324AD7">
        <w:t xml:space="preserve">, </w:t>
      </w:r>
      <w:r w:rsidR="005D279F" w:rsidRPr="00324AD7">
        <w:t>reliability</w:t>
      </w:r>
      <w:r w:rsidRPr="00324AD7">
        <w:t xml:space="preserve">, </w:t>
      </w:r>
      <w:r w:rsidR="005D279F" w:rsidRPr="00324AD7">
        <w:t>impartiality</w:t>
      </w:r>
      <w:r w:rsidRPr="00324AD7">
        <w:t xml:space="preserve"> </w:t>
      </w:r>
      <w:r w:rsidR="005D279F" w:rsidRPr="00324AD7">
        <w:t>and sufficiency</w:t>
      </w:r>
      <w:r w:rsidRPr="00324AD7">
        <w:t>;</w:t>
      </w:r>
    </w:p>
    <w:p w:rsidR="00396585" w:rsidRPr="00324AD7" w:rsidRDefault="005D279F" w:rsidP="00BA55BC">
      <w:pPr>
        <w:pStyle w:val="NormalWeb"/>
        <w:numPr>
          <w:ilvl w:val="0"/>
          <w:numId w:val="2"/>
        </w:numPr>
        <w:tabs>
          <w:tab w:val="left" w:pos="993"/>
        </w:tabs>
        <w:spacing w:before="0" w:beforeAutospacing="0" w:after="0" w:afterAutospacing="0"/>
        <w:ind w:left="0" w:firstLine="709"/>
        <w:jc w:val="both"/>
      </w:pPr>
      <w:r w:rsidRPr="00324AD7">
        <w:t>the transparency of the examination procedure</w:t>
      </w:r>
      <w:r w:rsidR="003E2A1B" w:rsidRPr="00324AD7">
        <w:t>;</w:t>
      </w:r>
    </w:p>
    <w:p w:rsidR="001A6F6F" w:rsidRPr="00324AD7" w:rsidRDefault="005D279F" w:rsidP="00BA55BC">
      <w:pPr>
        <w:pStyle w:val="NormalWeb"/>
        <w:numPr>
          <w:ilvl w:val="0"/>
          <w:numId w:val="2"/>
        </w:numPr>
        <w:tabs>
          <w:tab w:val="left" w:pos="993"/>
        </w:tabs>
        <w:spacing w:before="0" w:beforeAutospacing="0" w:after="0" w:afterAutospacing="0"/>
        <w:ind w:left="0" w:firstLine="709"/>
        <w:jc w:val="both"/>
      </w:pPr>
      <w:r w:rsidRPr="00324AD7">
        <w:t>the establishment of good practices in the conducting and managing of the examination process</w:t>
      </w:r>
      <w:r w:rsidR="001A6F6F" w:rsidRPr="00324AD7">
        <w:t>.</w:t>
      </w:r>
    </w:p>
    <w:p w:rsidR="006731EA"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4" w:name="_Toc535242763"/>
      <w:bookmarkStart w:id="5" w:name="_Toc535598110"/>
      <w:r w:rsidRPr="00324AD7">
        <w:rPr>
          <w:i w:val="0"/>
          <w:color w:val="auto"/>
          <w:sz w:val="24"/>
          <w:szCs w:val="24"/>
          <w:lang w:val="en-GB"/>
        </w:rPr>
        <w:t>Chapter Two</w:t>
      </w:r>
      <w:bookmarkEnd w:id="4"/>
      <w:bookmarkEnd w:id="5"/>
    </w:p>
    <w:p w:rsidR="001A6F6F" w:rsidRPr="00324AD7" w:rsidRDefault="00ED6AC5" w:rsidP="00BA55BC">
      <w:pPr>
        <w:pStyle w:val="IntenseQuote"/>
        <w:pBdr>
          <w:bottom w:val="none" w:sz="0" w:space="0" w:color="auto"/>
        </w:pBdr>
        <w:spacing w:before="0" w:after="120"/>
        <w:ind w:left="0" w:right="0"/>
        <w:jc w:val="center"/>
        <w:outlineLvl w:val="0"/>
        <w:rPr>
          <w:i w:val="0"/>
          <w:color w:val="auto"/>
          <w:sz w:val="24"/>
          <w:szCs w:val="24"/>
          <w:lang w:val="en-GB"/>
        </w:rPr>
      </w:pPr>
      <w:r w:rsidRPr="00324AD7">
        <w:rPr>
          <w:i w:val="0"/>
          <w:color w:val="auto"/>
          <w:sz w:val="24"/>
          <w:szCs w:val="24"/>
          <w:lang w:val="en-GB"/>
        </w:rPr>
        <w:t>CERTIFIED PUBLIC ACCOUNTANT EXAMINATIONS</w:t>
      </w:r>
    </w:p>
    <w:p w:rsidR="00E01B66" w:rsidRPr="00324AD7" w:rsidRDefault="004E3E2D" w:rsidP="00BA55BC">
      <w:pPr>
        <w:pStyle w:val="NormalWeb"/>
        <w:spacing w:before="0" w:beforeAutospacing="0" w:after="0" w:afterAutospacing="0"/>
        <w:ind w:firstLine="709"/>
        <w:jc w:val="both"/>
      </w:pPr>
      <w:r w:rsidRPr="00324AD7">
        <w:rPr>
          <w:rFonts w:eastAsia="Times New Roman"/>
          <w:b/>
          <w:lang w:eastAsia="bg-BG"/>
        </w:rPr>
        <w:t>Art.</w:t>
      </w:r>
      <w:r w:rsidR="006731EA" w:rsidRPr="00324AD7">
        <w:rPr>
          <w:rFonts w:eastAsia="Times New Roman"/>
          <w:b/>
          <w:lang w:eastAsia="bg-BG"/>
        </w:rPr>
        <w:t xml:space="preserve"> 3</w:t>
      </w:r>
      <w:r w:rsidR="00396585" w:rsidRPr="00324AD7">
        <w:t xml:space="preserve">. (1) </w:t>
      </w:r>
      <w:r w:rsidR="00CD77FC" w:rsidRPr="00324AD7">
        <w:t>The Certified Public Accountant examinations as provided for in</w:t>
      </w:r>
      <w:r w:rsidR="00E01B66" w:rsidRPr="00324AD7">
        <w:t xml:space="preserve"> </w:t>
      </w:r>
      <w:r w:rsidRPr="00324AD7">
        <w:t>Art.</w:t>
      </w:r>
      <w:r w:rsidR="00482B78" w:rsidRPr="00324AD7">
        <w:t xml:space="preserve"> </w:t>
      </w:r>
      <w:r w:rsidR="00E01B66" w:rsidRPr="00324AD7">
        <w:t xml:space="preserve">15 </w:t>
      </w:r>
      <w:r w:rsidR="00CD77FC" w:rsidRPr="00324AD7">
        <w:t>of</w:t>
      </w:r>
      <w:r w:rsidR="00E01B66" w:rsidRPr="00324AD7">
        <w:t xml:space="preserve"> </w:t>
      </w:r>
      <w:r w:rsidRPr="00324AD7">
        <w:t>IFAA</w:t>
      </w:r>
      <w:r w:rsidR="00482B78" w:rsidRPr="00324AD7">
        <w:t xml:space="preserve"> </w:t>
      </w:r>
      <w:r w:rsidR="00CD77FC" w:rsidRPr="00324AD7">
        <w:t>shall comprise</w:t>
      </w:r>
      <w:r w:rsidR="00E01B66" w:rsidRPr="00324AD7">
        <w:t>:</w:t>
      </w:r>
    </w:p>
    <w:p w:rsidR="00E01B66" w:rsidRPr="00324AD7" w:rsidRDefault="00CD77FC" w:rsidP="00BA55BC">
      <w:pPr>
        <w:pStyle w:val="NormalWeb"/>
        <w:numPr>
          <w:ilvl w:val="0"/>
          <w:numId w:val="34"/>
        </w:numPr>
        <w:tabs>
          <w:tab w:val="left" w:pos="993"/>
        </w:tabs>
        <w:spacing w:before="0" w:beforeAutospacing="0" w:after="0" w:afterAutospacing="0"/>
        <w:ind w:left="0" w:firstLine="724"/>
        <w:jc w:val="both"/>
      </w:pPr>
      <w:r w:rsidRPr="00324AD7">
        <w:t>accountancy</w:t>
      </w:r>
      <w:r w:rsidR="00E01B66" w:rsidRPr="00324AD7">
        <w:t xml:space="preserve">, </w:t>
      </w:r>
      <w:r w:rsidRPr="00324AD7">
        <w:t>including the International Accounting Standards</w:t>
      </w:r>
      <w:r w:rsidR="00E01B66" w:rsidRPr="00324AD7">
        <w:t>;</w:t>
      </w:r>
    </w:p>
    <w:p w:rsidR="00E01B66" w:rsidRPr="00324AD7" w:rsidRDefault="00CD77FC" w:rsidP="00BA55BC">
      <w:pPr>
        <w:pStyle w:val="NormalWeb"/>
        <w:numPr>
          <w:ilvl w:val="0"/>
          <w:numId w:val="34"/>
        </w:numPr>
        <w:tabs>
          <w:tab w:val="left" w:pos="993"/>
        </w:tabs>
        <w:spacing w:before="0" w:beforeAutospacing="0" w:after="0" w:afterAutospacing="0"/>
        <w:ind w:left="0" w:firstLine="724"/>
        <w:jc w:val="both"/>
      </w:pPr>
      <w:r w:rsidRPr="00324AD7">
        <w:t>commercial law</w:t>
      </w:r>
      <w:r w:rsidR="00E01B66" w:rsidRPr="00324AD7">
        <w:t>;</w:t>
      </w:r>
    </w:p>
    <w:p w:rsidR="00E01B66" w:rsidRPr="00324AD7" w:rsidRDefault="00CD77FC" w:rsidP="00BA55BC">
      <w:pPr>
        <w:pStyle w:val="NormalWeb"/>
        <w:numPr>
          <w:ilvl w:val="0"/>
          <w:numId w:val="34"/>
        </w:numPr>
        <w:tabs>
          <w:tab w:val="left" w:pos="993"/>
        </w:tabs>
        <w:spacing w:before="0" w:beforeAutospacing="0" w:after="0" w:afterAutospacing="0"/>
        <w:ind w:left="0" w:firstLine="724"/>
        <w:jc w:val="both"/>
      </w:pPr>
      <w:r w:rsidRPr="00324AD7">
        <w:t>tax and social security law</w:t>
      </w:r>
      <w:r w:rsidR="00E01B66" w:rsidRPr="00324AD7">
        <w:t>;</w:t>
      </w:r>
    </w:p>
    <w:p w:rsidR="00920DCF" w:rsidRPr="00324AD7" w:rsidRDefault="00CD77FC" w:rsidP="00BA55BC">
      <w:pPr>
        <w:pStyle w:val="NormalWeb"/>
        <w:numPr>
          <w:ilvl w:val="0"/>
          <w:numId w:val="34"/>
        </w:numPr>
        <w:tabs>
          <w:tab w:val="left" w:pos="993"/>
        </w:tabs>
        <w:spacing w:before="0" w:beforeAutospacing="0" w:after="0" w:afterAutospacing="0"/>
        <w:ind w:left="0" w:firstLine="724"/>
        <w:jc w:val="both"/>
      </w:pPr>
      <w:r w:rsidRPr="00324AD7">
        <w:t>independent financial audit</w:t>
      </w:r>
      <w:r w:rsidR="00E01B66" w:rsidRPr="00324AD7">
        <w:t xml:space="preserve">, </w:t>
      </w:r>
      <w:r w:rsidRPr="00324AD7">
        <w:t>including the International Standards on Auditing</w:t>
      </w:r>
      <w:r w:rsidR="00E01B66" w:rsidRPr="00324AD7">
        <w:t xml:space="preserve">, </w:t>
      </w:r>
      <w:r w:rsidRPr="00324AD7">
        <w:t>the Code of Ethics for Professional Accountants</w:t>
      </w:r>
      <w:r w:rsidR="00E01B66" w:rsidRPr="00324AD7">
        <w:t xml:space="preserve">, </w:t>
      </w:r>
      <w:r w:rsidRPr="00324AD7">
        <w:t>the Independent Financial Audit Act</w:t>
      </w:r>
      <w:r w:rsidR="00E01B66" w:rsidRPr="00324AD7">
        <w:t>.</w:t>
      </w:r>
    </w:p>
    <w:p w:rsidR="00FE3C60"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6" w:name="_Toc535598112"/>
      <w:r w:rsidRPr="00324AD7">
        <w:rPr>
          <w:i w:val="0"/>
          <w:color w:val="auto"/>
          <w:sz w:val="24"/>
          <w:szCs w:val="24"/>
          <w:lang w:val="en-GB"/>
        </w:rPr>
        <w:lastRenderedPageBreak/>
        <w:t>Chapter Three</w:t>
      </w:r>
      <w:bookmarkEnd w:id="6"/>
    </w:p>
    <w:p w:rsidR="00FE3C60" w:rsidRPr="00324AD7" w:rsidRDefault="00E45D71" w:rsidP="00BA55BC">
      <w:pPr>
        <w:pStyle w:val="IntenseQuote"/>
        <w:pBdr>
          <w:bottom w:val="none" w:sz="0" w:space="0" w:color="auto"/>
        </w:pBdr>
        <w:spacing w:before="0" w:after="120"/>
        <w:ind w:left="0" w:right="0"/>
        <w:jc w:val="center"/>
        <w:outlineLvl w:val="0"/>
        <w:rPr>
          <w:i w:val="0"/>
          <w:color w:val="auto"/>
          <w:sz w:val="24"/>
          <w:szCs w:val="24"/>
          <w:lang w:val="en-GB"/>
        </w:rPr>
      </w:pPr>
      <w:bookmarkStart w:id="7" w:name="_Toc535598113"/>
      <w:r w:rsidRPr="00324AD7">
        <w:rPr>
          <w:i w:val="0"/>
          <w:color w:val="auto"/>
          <w:sz w:val="24"/>
          <w:szCs w:val="24"/>
          <w:lang w:val="en-GB"/>
        </w:rPr>
        <w:t>TERMS AND CONDITIONS FOR APPLICATION</w:t>
      </w:r>
      <w:bookmarkEnd w:id="7"/>
    </w:p>
    <w:p w:rsidR="00FE3C60" w:rsidRPr="00324AD7" w:rsidRDefault="004E3E2D" w:rsidP="00BA55BC">
      <w:pPr>
        <w:pStyle w:val="NormalWeb"/>
        <w:spacing w:before="0" w:beforeAutospacing="0" w:after="0" w:afterAutospacing="0"/>
        <w:ind w:firstLine="709"/>
        <w:jc w:val="both"/>
      </w:pPr>
      <w:r w:rsidRPr="00324AD7">
        <w:rPr>
          <w:rFonts w:eastAsia="Times New Roman"/>
          <w:b/>
          <w:lang w:eastAsia="bg-BG"/>
        </w:rPr>
        <w:t>Art.</w:t>
      </w:r>
      <w:r w:rsidR="004314E6" w:rsidRPr="00324AD7">
        <w:rPr>
          <w:rFonts w:eastAsia="Times New Roman"/>
          <w:b/>
          <w:lang w:eastAsia="bg-BG"/>
        </w:rPr>
        <w:t xml:space="preserve"> </w:t>
      </w:r>
      <w:r w:rsidR="006731EA" w:rsidRPr="00324AD7">
        <w:rPr>
          <w:rFonts w:eastAsia="Times New Roman"/>
          <w:b/>
          <w:lang w:eastAsia="bg-BG"/>
        </w:rPr>
        <w:t>4</w:t>
      </w:r>
      <w:r w:rsidR="00FE3C60" w:rsidRPr="00324AD7">
        <w:rPr>
          <w:rFonts w:eastAsia="Times New Roman"/>
          <w:b/>
          <w:lang w:eastAsia="bg-BG"/>
        </w:rPr>
        <w:t>.</w:t>
      </w:r>
      <w:r w:rsidR="00FE3C60" w:rsidRPr="00324AD7">
        <w:t xml:space="preserve"> </w:t>
      </w:r>
      <w:r w:rsidR="00E45D71" w:rsidRPr="00324AD7">
        <w:t>Only a person of good repute having a higher education degree and professional experience as per the requirements of Art. 13, paragraphs 2 and 3 of IFAA, may be a Certified Public Accountant candidate</w:t>
      </w:r>
      <w:r w:rsidR="00FE3C60" w:rsidRPr="00324AD7">
        <w:t>.</w:t>
      </w:r>
    </w:p>
    <w:p w:rsidR="00765845" w:rsidRPr="00324AD7" w:rsidRDefault="004E3E2D" w:rsidP="00BA55BC">
      <w:pPr>
        <w:pStyle w:val="NormalWeb"/>
        <w:spacing w:before="0" w:beforeAutospacing="0" w:after="0" w:afterAutospacing="0"/>
        <w:ind w:firstLine="709"/>
        <w:jc w:val="both"/>
      </w:pPr>
      <w:r w:rsidRPr="00324AD7">
        <w:rPr>
          <w:rFonts w:eastAsia="Times New Roman"/>
          <w:b/>
          <w:lang w:eastAsia="bg-BG"/>
        </w:rPr>
        <w:t>Art.</w:t>
      </w:r>
      <w:r w:rsidR="00482B78" w:rsidRPr="00324AD7">
        <w:rPr>
          <w:rFonts w:eastAsia="Times New Roman"/>
          <w:b/>
          <w:lang w:eastAsia="bg-BG"/>
        </w:rPr>
        <w:t xml:space="preserve"> </w:t>
      </w:r>
      <w:r w:rsidR="006731EA" w:rsidRPr="00324AD7">
        <w:rPr>
          <w:rFonts w:eastAsia="Times New Roman"/>
          <w:b/>
          <w:lang w:eastAsia="bg-BG"/>
        </w:rPr>
        <w:t>5</w:t>
      </w:r>
      <w:r w:rsidR="00291286" w:rsidRPr="00324AD7">
        <w:rPr>
          <w:rFonts w:eastAsia="Times New Roman"/>
          <w:b/>
          <w:lang w:eastAsia="bg-BG"/>
        </w:rPr>
        <w:t>.</w:t>
      </w:r>
      <w:r w:rsidR="00291286" w:rsidRPr="00324AD7">
        <w:t xml:space="preserve"> </w:t>
      </w:r>
      <w:r w:rsidR="00765845" w:rsidRPr="00324AD7">
        <w:t xml:space="preserve">(1) </w:t>
      </w:r>
      <w:proofErr w:type="gramStart"/>
      <w:r w:rsidR="00601C41" w:rsidRPr="00324AD7">
        <w:t>To</w:t>
      </w:r>
      <w:proofErr w:type="gramEnd"/>
      <w:r w:rsidR="00601C41" w:rsidRPr="00324AD7">
        <w:t xml:space="preserve"> start the procedure for sitting the Certified Public Accountant examinations</w:t>
      </w:r>
      <w:r w:rsidR="00E45D71" w:rsidRPr="00324AD7">
        <w:t xml:space="preserve">, candidates shall </w:t>
      </w:r>
      <w:r w:rsidR="00601C41" w:rsidRPr="00324AD7">
        <w:t>submit</w:t>
      </w:r>
      <w:r w:rsidR="00E45D71" w:rsidRPr="00324AD7">
        <w:t xml:space="preserve"> an application</w:t>
      </w:r>
      <w:r w:rsidR="003F1145" w:rsidRPr="00324AD7">
        <w:t xml:space="preserve">, </w:t>
      </w:r>
      <w:r w:rsidR="00601C41" w:rsidRPr="00324AD7">
        <w:t xml:space="preserve">accompanied by a notarized copy of </w:t>
      </w:r>
      <w:r w:rsidR="00F87A18">
        <w:t xml:space="preserve">a </w:t>
      </w:r>
      <w:r w:rsidR="00601C41" w:rsidRPr="00324AD7">
        <w:t>university degree diploma</w:t>
      </w:r>
      <w:r w:rsidR="00765845" w:rsidRPr="00324AD7">
        <w:t xml:space="preserve">, </w:t>
      </w:r>
      <w:r w:rsidR="00601C41" w:rsidRPr="00324AD7">
        <w:t>together with the transcript thereto</w:t>
      </w:r>
      <w:r w:rsidR="00765845" w:rsidRPr="00324AD7">
        <w:t>.</w:t>
      </w:r>
    </w:p>
    <w:p w:rsidR="00765845" w:rsidRPr="00324AD7" w:rsidRDefault="00765845" w:rsidP="00BA55BC">
      <w:pPr>
        <w:pStyle w:val="NormalWeb"/>
        <w:spacing w:before="0" w:beforeAutospacing="0" w:after="0" w:afterAutospacing="0"/>
        <w:ind w:firstLine="709"/>
        <w:jc w:val="both"/>
      </w:pPr>
      <w:r w:rsidRPr="00324AD7">
        <w:t>(</w:t>
      </w:r>
      <w:r w:rsidR="00723E8D" w:rsidRPr="00324AD7">
        <w:t>2</w:t>
      </w:r>
      <w:r w:rsidRPr="00324AD7">
        <w:t xml:space="preserve">) </w:t>
      </w:r>
      <w:r w:rsidR="00601C41" w:rsidRPr="00324AD7">
        <w:t>Candidates shall specify in the application the year in which they wish to start sitting the examinations. The applications shall be entered into a specific register set up with ICPA for this purpose</w:t>
      </w:r>
      <w:r w:rsidRPr="00324AD7">
        <w:t>.</w:t>
      </w:r>
    </w:p>
    <w:p w:rsidR="0072164C"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r w:rsidRPr="00324AD7">
        <w:rPr>
          <w:i w:val="0"/>
          <w:color w:val="auto"/>
          <w:sz w:val="24"/>
          <w:szCs w:val="24"/>
          <w:lang w:val="en-GB"/>
        </w:rPr>
        <w:t>Section</w:t>
      </w:r>
      <w:r w:rsidR="0072164C" w:rsidRPr="00324AD7">
        <w:rPr>
          <w:i w:val="0"/>
          <w:color w:val="auto"/>
          <w:sz w:val="24"/>
          <w:szCs w:val="24"/>
          <w:lang w:val="en-GB"/>
        </w:rPr>
        <w:t xml:space="preserve"> I</w:t>
      </w:r>
    </w:p>
    <w:p w:rsidR="0072164C" w:rsidRPr="00324AD7" w:rsidRDefault="00601C41" w:rsidP="00BA55BC">
      <w:pPr>
        <w:pStyle w:val="IntenseQuote"/>
        <w:pBdr>
          <w:bottom w:val="none" w:sz="0" w:space="0" w:color="auto"/>
        </w:pBdr>
        <w:spacing w:before="0" w:after="120"/>
        <w:ind w:left="0" w:right="0"/>
        <w:jc w:val="center"/>
        <w:outlineLvl w:val="0"/>
        <w:rPr>
          <w:i w:val="0"/>
          <w:color w:val="auto"/>
          <w:sz w:val="24"/>
          <w:szCs w:val="24"/>
          <w:lang w:val="en-GB"/>
        </w:rPr>
      </w:pPr>
      <w:r w:rsidRPr="00324AD7">
        <w:rPr>
          <w:i w:val="0"/>
          <w:color w:val="auto"/>
          <w:sz w:val="24"/>
          <w:szCs w:val="24"/>
          <w:lang w:val="en-GB"/>
        </w:rPr>
        <w:t xml:space="preserve">Requirements for </w:t>
      </w:r>
      <w:r w:rsidR="00B06A2F">
        <w:rPr>
          <w:i w:val="0"/>
          <w:color w:val="auto"/>
          <w:sz w:val="24"/>
          <w:szCs w:val="24"/>
          <w:lang w:val="en-GB"/>
        </w:rPr>
        <w:t>b</w:t>
      </w:r>
      <w:r w:rsidRPr="00324AD7">
        <w:rPr>
          <w:i w:val="0"/>
          <w:color w:val="auto"/>
          <w:sz w:val="24"/>
          <w:szCs w:val="24"/>
          <w:lang w:val="en-GB"/>
        </w:rPr>
        <w:t xml:space="preserve">eing </w:t>
      </w:r>
      <w:r w:rsidR="00B06A2F">
        <w:rPr>
          <w:i w:val="0"/>
          <w:color w:val="auto"/>
          <w:sz w:val="24"/>
          <w:szCs w:val="24"/>
          <w:lang w:val="en-GB"/>
        </w:rPr>
        <w:t>a</w:t>
      </w:r>
      <w:r w:rsidRPr="00324AD7">
        <w:rPr>
          <w:i w:val="0"/>
          <w:color w:val="auto"/>
          <w:sz w:val="24"/>
          <w:szCs w:val="24"/>
          <w:lang w:val="en-GB"/>
        </w:rPr>
        <w:t xml:space="preserve">dmitted to </w:t>
      </w:r>
      <w:r w:rsidR="00B06A2F">
        <w:rPr>
          <w:i w:val="0"/>
          <w:color w:val="auto"/>
          <w:sz w:val="24"/>
          <w:szCs w:val="24"/>
          <w:lang w:val="en-GB"/>
        </w:rPr>
        <w:t>s</w:t>
      </w:r>
      <w:r w:rsidRPr="00324AD7">
        <w:rPr>
          <w:i w:val="0"/>
          <w:color w:val="auto"/>
          <w:sz w:val="24"/>
          <w:szCs w:val="24"/>
          <w:lang w:val="en-GB"/>
        </w:rPr>
        <w:t>it the</w:t>
      </w:r>
      <w:r w:rsidR="0072164C" w:rsidRPr="00324AD7">
        <w:rPr>
          <w:i w:val="0"/>
          <w:color w:val="auto"/>
          <w:sz w:val="24"/>
          <w:szCs w:val="24"/>
          <w:lang w:val="en-GB"/>
        </w:rPr>
        <w:t xml:space="preserve"> </w:t>
      </w:r>
      <w:r w:rsidRPr="00324AD7">
        <w:rPr>
          <w:i w:val="0"/>
          <w:color w:val="auto"/>
          <w:sz w:val="24"/>
          <w:szCs w:val="24"/>
          <w:lang w:val="en-GB"/>
        </w:rPr>
        <w:t xml:space="preserve">Certified Public Accountant </w:t>
      </w:r>
      <w:r w:rsidR="00B06A2F">
        <w:rPr>
          <w:i w:val="0"/>
          <w:color w:val="auto"/>
          <w:sz w:val="24"/>
          <w:szCs w:val="24"/>
          <w:lang w:val="en-GB"/>
        </w:rPr>
        <w:t>e</w:t>
      </w:r>
      <w:r w:rsidRPr="00324AD7">
        <w:rPr>
          <w:i w:val="0"/>
          <w:color w:val="auto"/>
          <w:sz w:val="24"/>
          <w:szCs w:val="24"/>
          <w:lang w:val="en-GB"/>
        </w:rPr>
        <w:t>xaminations</w:t>
      </w:r>
      <w:r w:rsidR="0072164C" w:rsidRPr="00324AD7">
        <w:rPr>
          <w:i w:val="0"/>
          <w:color w:val="auto"/>
          <w:sz w:val="24"/>
          <w:szCs w:val="24"/>
          <w:lang w:val="en-GB"/>
        </w:rPr>
        <w:t xml:space="preserve"> </w:t>
      </w:r>
      <w:r w:rsidRPr="00324AD7">
        <w:rPr>
          <w:i w:val="0"/>
          <w:color w:val="auto"/>
          <w:sz w:val="24"/>
          <w:szCs w:val="24"/>
          <w:lang w:val="en-GB"/>
        </w:rPr>
        <w:t xml:space="preserve">and </w:t>
      </w:r>
      <w:r w:rsidR="00B06A2F">
        <w:rPr>
          <w:i w:val="0"/>
          <w:color w:val="auto"/>
          <w:sz w:val="24"/>
          <w:szCs w:val="24"/>
          <w:lang w:val="en-GB"/>
        </w:rPr>
        <w:t>p</w:t>
      </w:r>
      <w:r w:rsidRPr="00324AD7">
        <w:rPr>
          <w:i w:val="0"/>
          <w:color w:val="auto"/>
          <w:sz w:val="24"/>
          <w:szCs w:val="24"/>
          <w:lang w:val="en-GB"/>
        </w:rPr>
        <w:t xml:space="preserve">rofessional </w:t>
      </w:r>
      <w:r w:rsidR="00B06A2F">
        <w:rPr>
          <w:i w:val="0"/>
          <w:color w:val="auto"/>
          <w:sz w:val="24"/>
          <w:szCs w:val="24"/>
          <w:lang w:val="en-GB"/>
        </w:rPr>
        <w:t>e</w:t>
      </w:r>
      <w:r w:rsidRPr="00324AD7">
        <w:rPr>
          <w:i w:val="0"/>
          <w:color w:val="auto"/>
          <w:sz w:val="24"/>
          <w:szCs w:val="24"/>
          <w:lang w:val="en-GB"/>
        </w:rPr>
        <w:t>xperience</w:t>
      </w:r>
    </w:p>
    <w:p w:rsidR="00FE3C60" w:rsidRPr="00324AD7" w:rsidRDefault="004E3E2D" w:rsidP="00BA55BC">
      <w:pPr>
        <w:pStyle w:val="NormalWeb"/>
        <w:spacing w:before="0" w:beforeAutospacing="0" w:after="0" w:afterAutospacing="0"/>
        <w:ind w:firstLine="709"/>
        <w:jc w:val="both"/>
      </w:pPr>
      <w:r w:rsidRPr="00324AD7">
        <w:rPr>
          <w:b/>
        </w:rPr>
        <w:t>Art.</w:t>
      </w:r>
      <w:r w:rsidR="00482B78" w:rsidRPr="00324AD7">
        <w:rPr>
          <w:b/>
        </w:rPr>
        <w:t xml:space="preserve"> </w:t>
      </w:r>
      <w:r w:rsidR="003F1145" w:rsidRPr="00324AD7">
        <w:rPr>
          <w:b/>
        </w:rPr>
        <w:t>6</w:t>
      </w:r>
      <w:r w:rsidR="00482B78" w:rsidRPr="00324AD7">
        <w:rPr>
          <w:b/>
        </w:rPr>
        <w:t>.</w:t>
      </w:r>
      <w:r w:rsidR="003F1145" w:rsidRPr="00324AD7">
        <w:t xml:space="preserve"> </w:t>
      </w:r>
      <w:r w:rsidR="00FE3C60" w:rsidRPr="00324AD7">
        <w:t>(</w:t>
      </w:r>
      <w:r w:rsidR="003F1145" w:rsidRPr="00324AD7">
        <w:t>1</w:t>
      </w:r>
      <w:r w:rsidR="00FE3C60" w:rsidRPr="00324AD7">
        <w:t xml:space="preserve">) </w:t>
      </w:r>
      <w:r w:rsidR="000D5E9B" w:rsidRPr="00324AD7">
        <w:rPr>
          <w:rFonts w:eastAsia="Times New Roman"/>
        </w:rPr>
        <w:t>To acquire the right to sit the examinations referred to in</w:t>
      </w:r>
      <w:r w:rsidR="00FE3C60" w:rsidRPr="00324AD7">
        <w:rPr>
          <w:rFonts w:eastAsia="Times New Roman"/>
        </w:rPr>
        <w:t xml:space="preserve"> </w:t>
      </w:r>
      <w:r w:rsidRPr="00324AD7">
        <w:rPr>
          <w:rFonts w:eastAsia="Times New Roman"/>
        </w:rPr>
        <w:t>Art.</w:t>
      </w:r>
      <w:r w:rsidR="00FE3C60" w:rsidRPr="00324AD7">
        <w:rPr>
          <w:rFonts w:eastAsia="Times New Roman"/>
        </w:rPr>
        <w:t xml:space="preserve"> 15, </w:t>
      </w:r>
      <w:r w:rsidRPr="00324AD7">
        <w:rPr>
          <w:rFonts w:eastAsia="Times New Roman"/>
        </w:rPr>
        <w:t>paragraph</w:t>
      </w:r>
      <w:r w:rsidR="00FE3C60" w:rsidRPr="00324AD7">
        <w:rPr>
          <w:rFonts w:eastAsia="Times New Roman"/>
        </w:rPr>
        <w:t xml:space="preserve"> 1 </w:t>
      </w:r>
      <w:r w:rsidR="00CD77FC" w:rsidRPr="00324AD7">
        <w:t>of IFAA</w:t>
      </w:r>
      <w:r w:rsidR="00FE3C60" w:rsidRPr="00324AD7">
        <w:rPr>
          <w:rFonts w:eastAsia="Times New Roman"/>
        </w:rPr>
        <w:t xml:space="preserve">, </w:t>
      </w:r>
      <w:r w:rsidR="000D5E9B" w:rsidRPr="00324AD7">
        <w:rPr>
          <w:rFonts w:eastAsia="Times New Roman"/>
          <w:color w:val="000000"/>
        </w:rPr>
        <w:t xml:space="preserve">a candidate must have successfully passed university examinations in the areas specified in </w:t>
      </w:r>
      <w:r w:rsidR="000D5E9B" w:rsidRPr="00324AD7">
        <w:t>Art. 14, paragraph 1 of IFAA</w:t>
      </w:r>
      <w:r w:rsidR="00FE3C60" w:rsidRPr="00324AD7">
        <w:t>.</w:t>
      </w:r>
    </w:p>
    <w:p w:rsidR="00FE3C60" w:rsidRPr="00324AD7" w:rsidRDefault="00FE3C60" w:rsidP="00BA55BC">
      <w:pPr>
        <w:pStyle w:val="NormalWeb"/>
        <w:spacing w:before="0" w:beforeAutospacing="0" w:after="0" w:afterAutospacing="0"/>
        <w:ind w:firstLine="709"/>
        <w:jc w:val="both"/>
      </w:pPr>
      <w:r w:rsidRPr="00324AD7">
        <w:t>(</w:t>
      </w:r>
      <w:r w:rsidR="00723E8D" w:rsidRPr="00324AD7">
        <w:t>2</w:t>
      </w:r>
      <w:r w:rsidRPr="00324AD7">
        <w:t xml:space="preserve">) </w:t>
      </w:r>
      <w:r w:rsidR="000D5E9B" w:rsidRPr="00324AD7">
        <w:t>A university degree diploma together with the transcript thereto, or a certificate issued by the National Centre for Information and Documentation with the Ministry of Education and Science for the recognition of a foreign university diploma, shall constitute a proof of having successfully passed the examinations in the areas specified in Art. 14, paragraph 1 of IFAA</w:t>
      </w:r>
      <w:r w:rsidRPr="00324AD7">
        <w:t>.</w:t>
      </w:r>
    </w:p>
    <w:p w:rsidR="000403CC" w:rsidRPr="00324AD7" w:rsidRDefault="00FE3C60" w:rsidP="00BA55BC">
      <w:pPr>
        <w:ind w:firstLine="709"/>
        <w:jc w:val="both"/>
        <w:rPr>
          <w:strike/>
          <w:sz w:val="24"/>
          <w:szCs w:val="24"/>
          <w:lang w:val="en-GB"/>
        </w:rPr>
      </w:pPr>
      <w:r w:rsidRPr="00324AD7">
        <w:rPr>
          <w:sz w:val="24"/>
          <w:szCs w:val="24"/>
          <w:lang w:val="en-GB"/>
        </w:rPr>
        <w:t>(</w:t>
      </w:r>
      <w:r w:rsidR="00723E8D" w:rsidRPr="00324AD7">
        <w:rPr>
          <w:sz w:val="24"/>
          <w:szCs w:val="24"/>
          <w:lang w:val="en-GB"/>
        </w:rPr>
        <w:t>3</w:t>
      </w:r>
      <w:r w:rsidRPr="00324AD7">
        <w:rPr>
          <w:sz w:val="24"/>
          <w:szCs w:val="24"/>
          <w:lang w:val="en-GB"/>
        </w:rPr>
        <w:t xml:space="preserve">) </w:t>
      </w:r>
      <w:r w:rsidR="00E46FDF" w:rsidRPr="00324AD7">
        <w:rPr>
          <w:sz w:val="24"/>
          <w:szCs w:val="24"/>
          <w:lang w:val="en-GB"/>
        </w:rPr>
        <w:t>Where the subjects included in the transcript to the diploma are similar in title and content with the areas indicated in Art. 14, paragraph 1 of IFAA, these shall be deemed as equivalent</w:t>
      </w:r>
      <w:r w:rsidRPr="00324AD7">
        <w:rPr>
          <w:sz w:val="24"/>
          <w:szCs w:val="24"/>
          <w:lang w:val="en-GB"/>
        </w:rPr>
        <w:t xml:space="preserve">. </w:t>
      </w:r>
      <w:r w:rsidR="00E46FDF" w:rsidRPr="00324AD7">
        <w:rPr>
          <w:sz w:val="24"/>
          <w:szCs w:val="24"/>
          <w:lang w:val="en-GB"/>
        </w:rPr>
        <w:t xml:space="preserve">Equivalence shall be recognized in accordance with criteria, established in advance, for correlation between the examinations referred to in </w:t>
      </w:r>
      <w:r w:rsidR="004E3E2D" w:rsidRPr="00324AD7">
        <w:rPr>
          <w:sz w:val="24"/>
          <w:szCs w:val="24"/>
          <w:lang w:val="en-GB"/>
        </w:rPr>
        <w:t>Art.</w:t>
      </w:r>
      <w:r w:rsidRPr="00324AD7">
        <w:rPr>
          <w:sz w:val="24"/>
          <w:szCs w:val="24"/>
          <w:lang w:val="en-GB"/>
        </w:rPr>
        <w:t xml:space="preserve"> 14, </w:t>
      </w:r>
      <w:r w:rsidR="004E3E2D" w:rsidRPr="00324AD7">
        <w:rPr>
          <w:sz w:val="24"/>
          <w:szCs w:val="24"/>
          <w:lang w:val="en-GB"/>
        </w:rPr>
        <w:t>paragraph</w:t>
      </w:r>
      <w:r w:rsidRPr="00324AD7">
        <w:rPr>
          <w:sz w:val="24"/>
          <w:szCs w:val="24"/>
          <w:lang w:val="en-GB"/>
        </w:rPr>
        <w:t xml:space="preserve"> 1 </w:t>
      </w:r>
      <w:r w:rsidR="00CD77FC" w:rsidRPr="00324AD7">
        <w:rPr>
          <w:sz w:val="24"/>
          <w:szCs w:val="24"/>
          <w:lang w:val="en-GB"/>
        </w:rPr>
        <w:t>of IFAA</w:t>
      </w:r>
      <w:r w:rsidRPr="00324AD7">
        <w:rPr>
          <w:sz w:val="24"/>
          <w:szCs w:val="24"/>
          <w:lang w:val="en-GB"/>
        </w:rPr>
        <w:t xml:space="preserve"> </w:t>
      </w:r>
      <w:r w:rsidR="00E46FDF" w:rsidRPr="00324AD7">
        <w:rPr>
          <w:sz w:val="24"/>
          <w:szCs w:val="24"/>
          <w:lang w:val="en-GB"/>
        </w:rPr>
        <w:t xml:space="preserve">and the subjects taught at the universities in accordance with </w:t>
      </w:r>
      <w:r w:rsidR="00B609DF" w:rsidRPr="00324AD7">
        <w:rPr>
          <w:sz w:val="24"/>
          <w:szCs w:val="24"/>
          <w:lang w:val="en-GB"/>
        </w:rPr>
        <w:t>Annex</w:t>
      </w:r>
      <w:r w:rsidR="00C55F68" w:rsidRPr="00324AD7">
        <w:rPr>
          <w:sz w:val="24"/>
          <w:szCs w:val="24"/>
          <w:lang w:val="en-GB"/>
        </w:rPr>
        <w:t xml:space="preserve"> </w:t>
      </w:r>
      <w:r w:rsidR="00B609DF" w:rsidRPr="00324AD7">
        <w:rPr>
          <w:sz w:val="24"/>
          <w:szCs w:val="24"/>
          <w:lang w:val="en-GB"/>
        </w:rPr>
        <w:t xml:space="preserve">No </w:t>
      </w:r>
      <w:r w:rsidR="00C55F68" w:rsidRPr="00324AD7">
        <w:rPr>
          <w:sz w:val="24"/>
          <w:szCs w:val="24"/>
          <w:lang w:val="en-GB"/>
        </w:rPr>
        <w:t xml:space="preserve">1 </w:t>
      </w:r>
      <w:r w:rsidR="00E46FDF" w:rsidRPr="00324AD7">
        <w:rPr>
          <w:sz w:val="24"/>
          <w:szCs w:val="24"/>
          <w:lang w:val="en-GB"/>
        </w:rPr>
        <w:t>to these Rules.</w:t>
      </w:r>
    </w:p>
    <w:p w:rsidR="000403CC" w:rsidRPr="00324AD7" w:rsidRDefault="000403CC" w:rsidP="00BA55BC">
      <w:pPr>
        <w:ind w:firstLine="709"/>
        <w:jc w:val="both"/>
        <w:rPr>
          <w:sz w:val="24"/>
          <w:szCs w:val="24"/>
          <w:lang w:val="en-GB"/>
        </w:rPr>
      </w:pPr>
      <w:r w:rsidRPr="00324AD7">
        <w:rPr>
          <w:sz w:val="24"/>
          <w:szCs w:val="24"/>
          <w:lang w:val="en-GB"/>
        </w:rPr>
        <w:t>(</w:t>
      </w:r>
      <w:r w:rsidR="00723E8D" w:rsidRPr="00324AD7">
        <w:rPr>
          <w:sz w:val="24"/>
          <w:szCs w:val="24"/>
          <w:lang w:val="en-GB"/>
        </w:rPr>
        <w:t>4</w:t>
      </w:r>
      <w:r w:rsidRPr="00324AD7">
        <w:rPr>
          <w:sz w:val="24"/>
          <w:szCs w:val="24"/>
          <w:lang w:val="en-GB"/>
        </w:rPr>
        <w:t xml:space="preserve">) </w:t>
      </w:r>
      <w:r w:rsidR="00E46FDF" w:rsidRPr="00324AD7">
        <w:rPr>
          <w:sz w:val="24"/>
          <w:szCs w:val="24"/>
          <w:lang w:val="en-GB"/>
        </w:rPr>
        <w:t>A study course, taken by a candidate at an Institute for Postgraduate Studies with a university, which is not a part of bachelor or master’s degree shall not be considered as proper grounds for compliance with the requirements of Art. 14, paragraph 1 of IFAA</w:t>
      </w:r>
      <w:r w:rsidRPr="00324AD7">
        <w:rPr>
          <w:sz w:val="24"/>
          <w:szCs w:val="24"/>
          <w:lang w:val="en-GB"/>
        </w:rPr>
        <w:t>.</w:t>
      </w:r>
    </w:p>
    <w:p w:rsidR="000C5BFD" w:rsidRPr="00324AD7" w:rsidRDefault="000C5BFD" w:rsidP="00BA55BC">
      <w:pPr>
        <w:pStyle w:val="NormalWeb"/>
        <w:spacing w:before="0" w:beforeAutospacing="0" w:after="0" w:afterAutospacing="0"/>
        <w:ind w:firstLine="709"/>
        <w:jc w:val="both"/>
      </w:pPr>
      <w:r w:rsidRPr="00324AD7">
        <w:t>(</w:t>
      </w:r>
      <w:r w:rsidR="00723E8D" w:rsidRPr="00324AD7">
        <w:t>5</w:t>
      </w:r>
      <w:r w:rsidRPr="00324AD7">
        <w:t xml:space="preserve">) </w:t>
      </w:r>
      <w:r w:rsidR="00682FB7" w:rsidRPr="00324AD7">
        <w:t>Compliance</w:t>
      </w:r>
      <w:r w:rsidR="00E46FDF" w:rsidRPr="00324AD7">
        <w:t xml:space="preserve"> shall be assessed in accordance with the criteria set out in </w:t>
      </w:r>
      <w:r w:rsidR="00B609DF" w:rsidRPr="00324AD7">
        <w:t>Annex No</w:t>
      </w:r>
      <w:r w:rsidRPr="00324AD7">
        <w:t xml:space="preserve"> 1.</w:t>
      </w:r>
      <w:r w:rsidR="00006711" w:rsidRPr="00324AD7">
        <w:t xml:space="preserve"> </w:t>
      </w:r>
      <w:r w:rsidR="00ED621D" w:rsidRPr="00324AD7">
        <w:t xml:space="preserve">The outcome of the assessment for </w:t>
      </w:r>
      <w:r w:rsidR="00682FB7" w:rsidRPr="00324AD7">
        <w:t xml:space="preserve">compliance of candidates’ higher education degree diplomas with the requirements of </w:t>
      </w:r>
      <w:r w:rsidR="004E3E2D" w:rsidRPr="00324AD7">
        <w:t>Art.</w:t>
      </w:r>
      <w:r w:rsidR="005F3F5F" w:rsidRPr="00324AD7">
        <w:t xml:space="preserve"> </w:t>
      </w:r>
      <w:r w:rsidR="00006711" w:rsidRPr="00324AD7">
        <w:t xml:space="preserve">14 </w:t>
      </w:r>
      <w:r w:rsidR="004E3E2D" w:rsidRPr="00324AD7">
        <w:t>paragraph</w:t>
      </w:r>
      <w:r w:rsidR="005F3F5F" w:rsidRPr="00324AD7">
        <w:t xml:space="preserve"> </w:t>
      </w:r>
      <w:r w:rsidR="00006711" w:rsidRPr="00324AD7">
        <w:t xml:space="preserve">1 </w:t>
      </w:r>
      <w:r w:rsidR="00CD77FC" w:rsidRPr="00324AD7">
        <w:t>of IFAA</w:t>
      </w:r>
      <w:r w:rsidR="00006711" w:rsidRPr="00324AD7">
        <w:t xml:space="preserve"> </w:t>
      </w:r>
      <w:r w:rsidR="00682FB7" w:rsidRPr="00324AD7">
        <w:t xml:space="preserve">shall be made public on ICPA’s website </w:t>
      </w:r>
      <w:r w:rsidR="00006711" w:rsidRPr="00324AD7">
        <w:t>(</w:t>
      </w:r>
      <w:hyperlink r:id="rId8" w:tgtFrame="_blank" w:history="1">
        <w:r w:rsidR="00006711" w:rsidRPr="00324AD7">
          <w:rPr>
            <w:rStyle w:val="Hyperlink"/>
            <w:color w:val="0070C0"/>
          </w:rPr>
          <w:t>www.ides.bg</w:t>
        </w:r>
      </w:hyperlink>
      <w:r w:rsidR="00006711" w:rsidRPr="00324AD7">
        <w:t xml:space="preserve">), </w:t>
      </w:r>
      <w:r w:rsidR="00682FB7" w:rsidRPr="00324AD7">
        <w:t xml:space="preserve">specifying also the need for taking additional </w:t>
      </w:r>
      <w:r w:rsidR="00767D18" w:rsidRPr="00324AD7">
        <w:t xml:space="preserve">examinations </w:t>
      </w:r>
      <w:r w:rsidR="00682FB7" w:rsidRPr="00324AD7">
        <w:t>and</w:t>
      </w:r>
      <w:r w:rsidR="00006711" w:rsidRPr="00324AD7">
        <w:t>/</w:t>
      </w:r>
      <w:r w:rsidR="00682FB7" w:rsidRPr="00324AD7">
        <w:t>or</w:t>
      </w:r>
      <w:r w:rsidR="00006711" w:rsidRPr="00324AD7">
        <w:t xml:space="preserve"> </w:t>
      </w:r>
      <w:r w:rsidR="00767D18" w:rsidRPr="00324AD7">
        <w:t>examinations for recognition of equivalence,</w:t>
      </w:r>
      <w:r w:rsidR="00006711" w:rsidRPr="00324AD7">
        <w:t xml:space="preserve"> </w:t>
      </w:r>
      <w:r w:rsidR="00682FB7" w:rsidRPr="00324AD7">
        <w:t>as provided for in these Rules</w:t>
      </w:r>
      <w:r w:rsidR="00006711" w:rsidRPr="00324AD7">
        <w:t>.</w:t>
      </w:r>
    </w:p>
    <w:p w:rsidR="000403CC" w:rsidRPr="00324AD7" w:rsidRDefault="00FE3C60" w:rsidP="00BA55BC">
      <w:pPr>
        <w:pStyle w:val="NormalWeb"/>
        <w:spacing w:before="0" w:beforeAutospacing="0" w:after="0" w:afterAutospacing="0"/>
        <w:ind w:firstLine="709"/>
        <w:jc w:val="both"/>
      </w:pPr>
      <w:r w:rsidRPr="00324AD7">
        <w:t>(</w:t>
      </w:r>
      <w:r w:rsidR="00723E8D" w:rsidRPr="00324AD7">
        <w:t>6</w:t>
      </w:r>
      <w:r w:rsidRPr="00324AD7">
        <w:t xml:space="preserve">) </w:t>
      </w:r>
      <w:r w:rsidR="001B51BB" w:rsidRPr="00324AD7">
        <w:t>A candidate who has not passed an examination in any of the areas referred to in Art. 14, paragraph 1 of IFAA, shall take this examination at ICPA before tenure professors in the relevant subject</w:t>
      </w:r>
      <w:r w:rsidR="000403CC" w:rsidRPr="00324AD7">
        <w:t xml:space="preserve">, </w:t>
      </w:r>
      <w:r w:rsidR="001B51BB" w:rsidRPr="00324AD7">
        <w:t>after having filed, within a time limit announced for each calendar year on ICPA’s website</w:t>
      </w:r>
      <w:r w:rsidR="000403CC" w:rsidRPr="00324AD7">
        <w:t xml:space="preserve"> </w:t>
      </w:r>
      <w:r w:rsidR="005F3F5F" w:rsidRPr="00324AD7">
        <w:t>(</w:t>
      </w:r>
      <w:hyperlink r:id="rId9" w:tgtFrame="_blank" w:history="1">
        <w:r w:rsidR="005F3F5F" w:rsidRPr="00324AD7">
          <w:rPr>
            <w:rStyle w:val="Hyperlink"/>
            <w:color w:val="0070C0"/>
          </w:rPr>
          <w:t>www.ides.bg</w:t>
        </w:r>
      </w:hyperlink>
      <w:r w:rsidR="005F3F5F" w:rsidRPr="00324AD7">
        <w:t>)</w:t>
      </w:r>
      <w:r w:rsidR="001B51BB" w:rsidRPr="00324AD7">
        <w:t>, an application in a standard form.</w:t>
      </w:r>
    </w:p>
    <w:p w:rsidR="00FE3C60" w:rsidRPr="00324AD7" w:rsidRDefault="000403CC" w:rsidP="00BA55BC">
      <w:pPr>
        <w:pStyle w:val="NormalWeb"/>
        <w:spacing w:before="0" w:beforeAutospacing="0" w:after="0" w:afterAutospacing="0"/>
        <w:ind w:firstLine="709"/>
        <w:jc w:val="both"/>
      </w:pPr>
      <w:r w:rsidRPr="00324AD7">
        <w:t>(</w:t>
      </w:r>
      <w:r w:rsidR="00723E8D" w:rsidRPr="00324AD7">
        <w:t>7</w:t>
      </w:r>
      <w:r w:rsidRPr="00324AD7">
        <w:t xml:space="preserve">) </w:t>
      </w:r>
      <w:r w:rsidR="001B51BB" w:rsidRPr="00324AD7">
        <w:t>The examinations in the relevant areas under</w:t>
      </w:r>
      <w:r w:rsidRPr="00324AD7">
        <w:t xml:space="preserve"> </w:t>
      </w:r>
      <w:r w:rsidR="004E3E2D" w:rsidRPr="00324AD7">
        <w:t>Art.</w:t>
      </w:r>
      <w:r w:rsidRPr="00324AD7">
        <w:t xml:space="preserve"> 14, </w:t>
      </w:r>
      <w:r w:rsidR="004E3E2D" w:rsidRPr="00324AD7">
        <w:t>paragraph</w:t>
      </w:r>
      <w:r w:rsidRPr="00324AD7">
        <w:t xml:space="preserve"> 1 </w:t>
      </w:r>
      <w:r w:rsidR="00CD77FC" w:rsidRPr="00324AD7">
        <w:t>of IFAA</w:t>
      </w:r>
      <w:r w:rsidR="00FE3C60" w:rsidRPr="00324AD7">
        <w:t xml:space="preserve"> </w:t>
      </w:r>
      <w:r w:rsidR="001B51BB" w:rsidRPr="00324AD7">
        <w:t>shall be conducted by</w:t>
      </w:r>
      <w:r w:rsidR="00FE3C60" w:rsidRPr="00324AD7">
        <w:t xml:space="preserve"> </w:t>
      </w:r>
      <w:r w:rsidR="001B51BB" w:rsidRPr="00324AD7">
        <w:t>lecturers</w:t>
      </w:r>
      <w:r w:rsidR="00FE3C60" w:rsidRPr="00324AD7">
        <w:t xml:space="preserve">, </w:t>
      </w:r>
      <w:r w:rsidR="001B51BB" w:rsidRPr="00324AD7">
        <w:t xml:space="preserve">duly authorized by the relevant head of chair at </w:t>
      </w:r>
      <w:r w:rsidR="00266746" w:rsidRPr="00324AD7">
        <w:t>a</w:t>
      </w:r>
      <w:r w:rsidR="001B51BB" w:rsidRPr="00324AD7">
        <w:t xml:space="preserve"> university</w:t>
      </w:r>
      <w:r w:rsidR="00FE3C60" w:rsidRPr="00324AD7">
        <w:t xml:space="preserve">, </w:t>
      </w:r>
      <w:r w:rsidR="001B51BB" w:rsidRPr="00324AD7">
        <w:t xml:space="preserve">in accordance with a curriculum, announced in advance, under which the subject is taught at </w:t>
      </w:r>
      <w:r w:rsidR="00266746" w:rsidRPr="00324AD7">
        <w:t>this</w:t>
      </w:r>
      <w:r w:rsidR="001B51BB" w:rsidRPr="00324AD7">
        <w:t xml:space="preserve"> university</w:t>
      </w:r>
      <w:r w:rsidR="00FE3C60" w:rsidRPr="00324AD7">
        <w:t>.</w:t>
      </w:r>
    </w:p>
    <w:p w:rsidR="004314E6" w:rsidRPr="00324AD7" w:rsidRDefault="004314E6" w:rsidP="00BA55BC">
      <w:pPr>
        <w:pStyle w:val="NormalWeb"/>
        <w:spacing w:before="0" w:beforeAutospacing="0" w:after="0" w:afterAutospacing="0"/>
        <w:ind w:firstLine="709"/>
        <w:jc w:val="both"/>
      </w:pPr>
      <w:r w:rsidRPr="00324AD7">
        <w:t>(</w:t>
      </w:r>
      <w:r w:rsidR="00723E8D" w:rsidRPr="00324AD7">
        <w:t>8</w:t>
      </w:r>
      <w:r w:rsidRPr="00324AD7">
        <w:t xml:space="preserve">) </w:t>
      </w:r>
      <w:r w:rsidR="00266746" w:rsidRPr="00324AD7">
        <w:t>The examinations referred to in</w:t>
      </w:r>
      <w:r w:rsidRPr="00324AD7">
        <w:t xml:space="preserve"> </w:t>
      </w:r>
      <w:r w:rsidR="004E3E2D" w:rsidRPr="00324AD7">
        <w:t>paragraph</w:t>
      </w:r>
      <w:r w:rsidRPr="00324AD7">
        <w:t xml:space="preserve"> </w:t>
      </w:r>
      <w:r w:rsidR="0020720F" w:rsidRPr="00324AD7">
        <w:t>6</w:t>
      </w:r>
      <w:r w:rsidR="00482B78" w:rsidRPr="00324AD7">
        <w:t xml:space="preserve"> </w:t>
      </w:r>
      <w:r w:rsidR="00266746" w:rsidRPr="00324AD7">
        <w:t>shall be held in accordance with a time frame made public in advance on</w:t>
      </w:r>
      <w:r w:rsidR="000403CC" w:rsidRPr="00324AD7">
        <w:t xml:space="preserve"> </w:t>
      </w:r>
      <w:r w:rsidR="00266746" w:rsidRPr="00324AD7">
        <w:t>ICPA’s website</w:t>
      </w:r>
      <w:r w:rsidRPr="00324AD7">
        <w:t xml:space="preserve"> </w:t>
      </w:r>
      <w:r w:rsidR="00006711" w:rsidRPr="00324AD7">
        <w:t>(</w:t>
      </w:r>
      <w:hyperlink r:id="rId10" w:tgtFrame="_blank" w:history="1">
        <w:r w:rsidR="00006711" w:rsidRPr="00324AD7">
          <w:rPr>
            <w:rStyle w:val="Hyperlink"/>
            <w:color w:val="0070C0"/>
          </w:rPr>
          <w:t>www.ides.bg</w:t>
        </w:r>
      </w:hyperlink>
      <w:r w:rsidR="00006711" w:rsidRPr="00324AD7">
        <w:t>).</w:t>
      </w:r>
    </w:p>
    <w:p w:rsidR="004314E6" w:rsidRPr="00324AD7" w:rsidRDefault="004314E6" w:rsidP="00BA55BC">
      <w:pPr>
        <w:pStyle w:val="NormalWeb"/>
        <w:spacing w:before="0" w:beforeAutospacing="0" w:after="0" w:afterAutospacing="0"/>
        <w:ind w:firstLine="709"/>
        <w:jc w:val="both"/>
      </w:pPr>
      <w:r w:rsidRPr="00324AD7">
        <w:t>(</w:t>
      </w:r>
      <w:r w:rsidR="00723E8D" w:rsidRPr="00324AD7">
        <w:t>9</w:t>
      </w:r>
      <w:r w:rsidRPr="00324AD7">
        <w:t xml:space="preserve">) </w:t>
      </w:r>
      <w:r w:rsidR="00767D18" w:rsidRPr="00324AD7">
        <w:t>The lecturer having conducted the examination shall draw up a protocol of test results for each examination</w:t>
      </w:r>
      <w:r w:rsidR="00482B78" w:rsidRPr="00324AD7">
        <w:t>.</w:t>
      </w:r>
    </w:p>
    <w:p w:rsidR="000C5BFD" w:rsidRPr="00324AD7" w:rsidRDefault="000C5BFD" w:rsidP="00BA55BC">
      <w:pPr>
        <w:pStyle w:val="NormalWeb"/>
        <w:spacing w:before="0" w:beforeAutospacing="0" w:after="0" w:afterAutospacing="0"/>
        <w:ind w:firstLine="709"/>
        <w:jc w:val="both"/>
      </w:pPr>
      <w:r w:rsidRPr="00324AD7">
        <w:t>(</w:t>
      </w:r>
      <w:r w:rsidR="00723E8D" w:rsidRPr="00324AD7">
        <w:t>10</w:t>
      </w:r>
      <w:r w:rsidRPr="00324AD7">
        <w:t xml:space="preserve">) </w:t>
      </w:r>
      <w:r w:rsidR="00947AD1" w:rsidRPr="00324AD7">
        <w:t>Within a 7-day period after the relevant examination, the</w:t>
      </w:r>
      <w:r w:rsidR="00767D18" w:rsidRPr="00324AD7">
        <w:t xml:space="preserve"> protocols referred to in</w:t>
      </w:r>
      <w:r w:rsidRPr="00324AD7">
        <w:t xml:space="preserve"> </w:t>
      </w:r>
      <w:r w:rsidR="004E3E2D" w:rsidRPr="00324AD7">
        <w:t>paragraph</w:t>
      </w:r>
      <w:r w:rsidR="0020720F" w:rsidRPr="00324AD7">
        <w:t xml:space="preserve"> </w:t>
      </w:r>
      <w:r w:rsidR="0016671B" w:rsidRPr="00324AD7">
        <w:t xml:space="preserve">9 </w:t>
      </w:r>
      <w:r w:rsidR="00767D18" w:rsidRPr="00324AD7">
        <w:t xml:space="preserve">shall be made public on </w:t>
      </w:r>
      <w:r w:rsidR="004E3E2D" w:rsidRPr="00324AD7">
        <w:t>ICPA</w:t>
      </w:r>
      <w:r w:rsidR="00947AD1" w:rsidRPr="00324AD7">
        <w:t>’s website</w:t>
      </w:r>
      <w:r w:rsidRPr="00324AD7">
        <w:t xml:space="preserve"> (</w:t>
      </w:r>
      <w:hyperlink r:id="rId11" w:tgtFrame="_blank" w:history="1">
        <w:r w:rsidR="0021094B" w:rsidRPr="00324AD7">
          <w:rPr>
            <w:rStyle w:val="Hyperlink"/>
            <w:color w:val="0070C0"/>
          </w:rPr>
          <w:t>www.ides.bg</w:t>
        </w:r>
      </w:hyperlink>
      <w:r w:rsidRPr="00324AD7">
        <w:t>)</w:t>
      </w:r>
      <w:r w:rsidR="00482B78" w:rsidRPr="00324AD7">
        <w:t>.</w:t>
      </w:r>
    </w:p>
    <w:p w:rsidR="000944E3" w:rsidRPr="00324AD7" w:rsidRDefault="000944E3" w:rsidP="00BA55BC">
      <w:pPr>
        <w:pStyle w:val="NormalWeb"/>
        <w:spacing w:before="0" w:beforeAutospacing="0" w:after="0" w:afterAutospacing="0"/>
        <w:ind w:firstLine="709"/>
        <w:jc w:val="both"/>
      </w:pPr>
      <w:r w:rsidRPr="00324AD7">
        <w:lastRenderedPageBreak/>
        <w:t>(</w:t>
      </w:r>
      <w:r w:rsidR="00723E8D" w:rsidRPr="00324AD7">
        <w:t>11</w:t>
      </w:r>
      <w:r w:rsidRPr="00324AD7">
        <w:t xml:space="preserve">) </w:t>
      </w:r>
      <w:r w:rsidR="00947AD1" w:rsidRPr="00324AD7">
        <w:t>Annually,</w:t>
      </w:r>
      <w:r w:rsidR="000403CC" w:rsidRPr="00324AD7">
        <w:t xml:space="preserve"> </w:t>
      </w:r>
      <w:r w:rsidR="004E3E2D" w:rsidRPr="00324AD7">
        <w:t>ICPA</w:t>
      </w:r>
      <w:r w:rsidR="00947AD1" w:rsidRPr="00324AD7">
        <w:t xml:space="preserve">’s website </w:t>
      </w:r>
      <w:r w:rsidRPr="00324AD7">
        <w:t>(</w:t>
      </w:r>
      <w:hyperlink r:id="rId12" w:tgtFrame="_blank" w:history="1">
        <w:r w:rsidR="0021094B" w:rsidRPr="00324AD7">
          <w:rPr>
            <w:rStyle w:val="Hyperlink"/>
            <w:color w:val="0070C0"/>
          </w:rPr>
          <w:t>www.ides.bg</w:t>
        </w:r>
      </w:hyperlink>
      <w:r w:rsidRPr="00324AD7">
        <w:t xml:space="preserve">) </w:t>
      </w:r>
      <w:r w:rsidR="00947AD1" w:rsidRPr="00324AD7">
        <w:t>shall announce information on the time frame for submitting documents</w:t>
      </w:r>
      <w:r w:rsidRPr="00324AD7">
        <w:t xml:space="preserve">, </w:t>
      </w:r>
      <w:r w:rsidR="00947AD1" w:rsidRPr="00324AD7">
        <w:t>the curricula and the schedule for conducting the examinations</w:t>
      </w:r>
      <w:r w:rsidR="00006711" w:rsidRPr="00324AD7">
        <w:t xml:space="preserve"> </w:t>
      </w:r>
      <w:r w:rsidR="00947AD1" w:rsidRPr="00324AD7">
        <w:t>under</w:t>
      </w:r>
      <w:r w:rsidR="00006711" w:rsidRPr="00324AD7">
        <w:t xml:space="preserve"> </w:t>
      </w:r>
      <w:r w:rsidR="004E3E2D" w:rsidRPr="00324AD7">
        <w:t>paragraph</w:t>
      </w:r>
      <w:r w:rsidR="005F3F5F" w:rsidRPr="00324AD7">
        <w:t xml:space="preserve"> </w:t>
      </w:r>
      <w:r w:rsidR="0016671B" w:rsidRPr="00324AD7">
        <w:t>8</w:t>
      </w:r>
      <w:r w:rsidR="000403CC" w:rsidRPr="00324AD7">
        <w:t>.</w:t>
      </w:r>
    </w:p>
    <w:p w:rsidR="00723E8D" w:rsidRPr="00324AD7" w:rsidRDefault="004E3E2D" w:rsidP="00BA55BC">
      <w:pPr>
        <w:pStyle w:val="NormalWeb"/>
        <w:spacing w:before="0" w:beforeAutospacing="0" w:after="0" w:afterAutospacing="0"/>
        <w:ind w:firstLine="709"/>
        <w:jc w:val="both"/>
      </w:pPr>
      <w:r w:rsidRPr="00324AD7">
        <w:rPr>
          <w:b/>
        </w:rPr>
        <w:t>Art.</w:t>
      </w:r>
      <w:r w:rsidR="00FE3C60" w:rsidRPr="00324AD7">
        <w:rPr>
          <w:b/>
        </w:rPr>
        <w:t xml:space="preserve"> </w:t>
      </w:r>
      <w:r w:rsidR="00723E8D" w:rsidRPr="00324AD7">
        <w:rPr>
          <w:b/>
        </w:rPr>
        <w:t>7</w:t>
      </w:r>
      <w:r w:rsidR="00FE3C60" w:rsidRPr="00324AD7">
        <w:t xml:space="preserve"> (1)</w:t>
      </w:r>
      <w:r w:rsidR="00723E8D" w:rsidRPr="00324AD7">
        <w:t xml:space="preserve"> </w:t>
      </w:r>
      <w:r w:rsidR="00947AD1" w:rsidRPr="00324AD7">
        <w:t>The professional experience referred to in</w:t>
      </w:r>
      <w:r w:rsidR="00723E8D" w:rsidRPr="00324AD7">
        <w:t xml:space="preserve"> </w:t>
      </w:r>
      <w:r w:rsidRPr="00324AD7">
        <w:t>Art.</w:t>
      </w:r>
      <w:r w:rsidR="00723E8D" w:rsidRPr="00324AD7">
        <w:t xml:space="preserve"> 13, </w:t>
      </w:r>
      <w:r w:rsidRPr="00324AD7">
        <w:t>paragraph</w:t>
      </w:r>
      <w:r w:rsidR="00723E8D" w:rsidRPr="00324AD7">
        <w:t xml:space="preserve"> 2 </w:t>
      </w:r>
      <w:r w:rsidR="00CD77FC" w:rsidRPr="00324AD7">
        <w:t>of IFAA</w:t>
      </w:r>
      <w:r w:rsidR="00723E8D" w:rsidRPr="00324AD7">
        <w:t xml:space="preserve"> </w:t>
      </w:r>
      <w:r w:rsidR="00947AD1" w:rsidRPr="00324AD7">
        <w:t>and the practical training referred to in</w:t>
      </w:r>
      <w:r w:rsidR="00723E8D" w:rsidRPr="00324AD7">
        <w:t xml:space="preserve"> </w:t>
      </w:r>
      <w:r w:rsidRPr="00324AD7">
        <w:t>Art.</w:t>
      </w:r>
      <w:r w:rsidR="00723E8D" w:rsidRPr="00324AD7">
        <w:t xml:space="preserve"> 16, </w:t>
      </w:r>
      <w:r w:rsidRPr="00324AD7">
        <w:t>paragraph</w:t>
      </w:r>
      <w:r w:rsidR="00723E8D" w:rsidRPr="00324AD7">
        <w:t xml:space="preserve"> 1 </w:t>
      </w:r>
      <w:r w:rsidR="00947AD1" w:rsidRPr="00324AD7">
        <w:t xml:space="preserve">of </w:t>
      </w:r>
      <w:r w:rsidR="00B609DF" w:rsidRPr="00324AD7">
        <w:t>that Act</w:t>
      </w:r>
      <w:r w:rsidR="00947AD1" w:rsidRPr="00324AD7">
        <w:t xml:space="preserve"> shall be evidenced in accordance with </w:t>
      </w:r>
      <w:r w:rsidR="00B609DF" w:rsidRPr="00324AD7">
        <w:t>Annex</w:t>
      </w:r>
      <w:r w:rsidR="00947AD1" w:rsidRPr="00324AD7">
        <w:t xml:space="preserve"> No 2 to these Rules</w:t>
      </w:r>
      <w:r w:rsidR="00723E8D" w:rsidRPr="00324AD7">
        <w:t>.</w:t>
      </w:r>
    </w:p>
    <w:p w:rsidR="00FE3C60" w:rsidRPr="00324AD7" w:rsidRDefault="0027153B" w:rsidP="00BA55BC">
      <w:pPr>
        <w:autoSpaceDE w:val="0"/>
        <w:autoSpaceDN w:val="0"/>
        <w:adjustRightInd w:val="0"/>
        <w:ind w:firstLine="709"/>
        <w:jc w:val="both"/>
        <w:rPr>
          <w:sz w:val="24"/>
          <w:szCs w:val="24"/>
          <w:lang w:val="en-GB"/>
        </w:rPr>
      </w:pPr>
      <w:r w:rsidRPr="00324AD7" w:rsidDel="0027153B">
        <w:rPr>
          <w:i/>
          <w:iCs/>
          <w:sz w:val="24"/>
          <w:szCs w:val="24"/>
          <w:lang w:val="en-GB"/>
        </w:rPr>
        <w:t xml:space="preserve"> </w:t>
      </w:r>
      <w:r w:rsidR="000C5BFD" w:rsidRPr="00324AD7">
        <w:rPr>
          <w:sz w:val="24"/>
          <w:szCs w:val="24"/>
          <w:lang w:val="en-GB"/>
        </w:rPr>
        <w:t>(</w:t>
      </w:r>
      <w:r w:rsidRPr="00324AD7">
        <w:rPr>
          <w:sz w:val="24"/>
          <w:szCs w:val="24"/>
          <w:lang w:val="en-GB"/>
        </w:rPr>
        <w:t>2</w:t>
      </w:r>
      <w:r w:rsidR="000C5BFD" w:rsidRPr="00324AD7">
        <w:rPr>
          <w:sz w:val="24"/>
          <w:szCs w:val="24"/>
          <w:lang w:val="en-GB"/>
        </w:rPr>
        <w:t xml:space="preserve">) </w:t>
      </w:r>
      <w:r w:rsidR="00B609DF" w:rsidRPr="00324AD7">
        <w:rPr>
          <w:sz w:val="24"/>
          <w:szCs w:val="24"/>
          <w:lang w:val="en-GB"/>
        </w:rPr>
        <w:t>The practical training in accordance with the requirements of Art. 16, paragraph 1 of IFAA, shall be recognized as a part of the total professional experience required under Art. 13, paragraph 2 of IFAA</w:t>
      </w:r>
      <w:r w:rsidR="00FE3C60" w:rsidRPr="00324AD7">
        <w:rPr>
          <w:sz w:val="24"/>
          <w:szCs w:val="24"/>
          <w:lang w:val="en-GB"/>
        </w:rPr>
        <w:t xml:space="preserve">. </w:t>
      </w:r>
      <w:r w:rsidR="00B609DF" w:rsidRPr="00324AD7">
        <w:rPr>
          <w:sz w:val="24"/>
          <w:szCs w:val="24"/>
          <w:lang w:val="en-GB"/>
        </w:rPr>
        <w:t>Where the practical training in the area of independent financial audit of annual financial statements or other financial statements is undergone under second employment contract, its duration shall be deemed equivalent to work under primary employment contract in accordance with the rules provided for in Art. 111 and 113 of the Labour Code.</w:t>
      </w:r>
    </w:p>
    <w:p w:rsidR="0072164C"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r w:rsidRPr="00324AD7">
        <w:rPr>
          <w:i w:val="0"/>
          <w:color w:val="auto"/>
          <w:sz w:val="24"/>
          <w:szCs w:val="24"/>
          <w:lang w:val="en-GB"/>
        </w:rPr>
        <w:t>Section</w:t>
      </w:r>
      <w:r w:rsidR="0072164C" w:rsidRPr="00324AD7">
        <w:rPr>
          <w:i w:val="0"/>
          <w:color w:val="auto"/>
          <w:sz w:val="24"/>
          <w:szCs w:val="24"/>
          <w:lang w:val="en-GB"/>
        </w:rPr>
        <w:t xml:space="preserve"> </w:t>
      </w:r>
      <w:r w:rsidR="00BA55BC" w:rsidRPr="00324AD7">
        <w:rPr>
          <w:i w:val="0"/>
          <w:color w:val="auto"/>
          <w:sz w:val="24"/>
          <w:szCs w:val="24"/>
          <w:lang w:val="en-GB"/>
        </w:rPr>
        <w:t>II</w:t>
      </w:r>
    </w:p>
    <w:p w:rsidR="0072164C" w:rsidRPr="00324AD7" w:rsidRDefault="00AD689B" w:rsidP="00BA55BC">
      <w:pPr>
        <w:pStyle w:val="IntenseQuote"/>
        <w:pBdr>
          <w:bottom w:val="none" w:sz="0" w:space="0" w:color="auto"/>
        </w:pBdr>
        <w:spacing w:before="0" w:after="120"/>
        <w:ind w:left="0" w:right="0"/>
        <w:jc w:val="center"/>
        <w:outlineLvl w:val="0"/>
        <w:rPr>
          <w:i w:val="0"/>
          <w:color w:val="auto"/>
          <w:sz w:val="24"/>
          <w:szCs w:val="24"/>
          <w:lang w:val="en-GB"/>
        </w:rPr>
      </w:pPr>
      <w:r w:rsidRPr="00324AD7">
        <w:rPr>
          <w:i w:val="0"/>
          <w:color w:val="auto"/>
          <w:sz w:val="24"/>
          <w:szCs w:val="24"/>
          <w:lang w:val="en-GB"/>
        </w:rPr>
        <w:t>Requirements to apply for starting the procedure to sit the examinations under</w:t>
      </w:r>
      <w:r w:rsidR="0072164C" w:rsidRPr="00324AD7">
        <w:rPr>
          <w:i w:val="0"/>
          <w:color w:val="auto"/>
          <w:sz w:val="24"/>
          <w:szCs w:val="24"/>
          <w:lang w:val="en-GB"/>
        </w:rPr>
        <w:t xml:space="preserve"> </w:t>
      </w:r>
      <w:r w:rsidR="004E3E2D" w:rsidRPr="00324AD7">
        <w:rPr>
          <w:i w:val="0"/>
          <w:color w:val="auto"/>
          <w:sz w:val="24"/>
          <w:szCs w:val="24"/>
          <w:lang w:val="en-GB"/>
        </w:rPr>
        <w:t>Art.</w:t>
      </w:r>
      <w:r w:rsidR="00BA55BC" w:rsidRPr="00324AD7">
        <w:rPr>
          <w:i w:val="0"/>
          <w:color w:val="auto"/>
          <w:sz w:val="24"/>
          <w:szCs w:val="24"/>
          <w:lang w:val="en-GB"/>
        </w:rPr>
        <w:t xml:space="preserve"> </w:t>
      </w:r>
      <w:r w:rsidR="0072164C" w:rsidRPr="00324AD7">
        <w:rPr>
          <w:i w:val="0"/>
          <w:color w:val="auto"/>
          <w:sz w:val="24"/>
          <w:szCs w:val="24"/>
          <w:lang w:val="en-GB"/>
        </w:rPr>
        <w:t xml:space="preserve">15 </w:t>
      </w:r>
      <w:r w:rsidR="00CD77FC" w:rsidRPr="00324AD7">
        <w:rPr>
          <w:i w:val="0"/>
          <w:color w:val="auto"/>
          <w:sz w:val="24"/>
          <w:szCs w:val="24"/>
          <w:lang w:val="en-GB"/>
        </w:rPr>
        <w:t>of IFAA</w:t>
      </w:r>
    </w:p>
    <w:p w:rsidR="00291286" w:rsidRPr="00324AD7" w:rsidRDefault="004E3E2D" w:rsidP="00BA55BC">
      <w:pPr>
        <w:pStyle w:val="NormalWeb"/>
        <w:spacing w:before="0" w:beforeAutospacing="0" w:after="0" w:afterAutospacing="0"/>
        <w:ind w:firstLine="709"/>
        <w:jc w:val="both"/>
      </w:pPr>
      <w:r w:rsidRPr="00324AD7">
        <w:rPr>
          <w:b/>
        </w:rPr>
        <w:t>Art.</w:t>
      </w:r>
      <w:r w:rsidR="00FE3C60" w:rsidRPr="00324AD7">
        <w:rPr>
          <w:b/>
        </w:rPr>
        <w:t xml:space="preserve"> </w:t>
      </w:r>
      <w:r w:rsidR="0016671B" w:rsidRPr="00324AD7">
        <w:rPr>
          <w:b/>
        </w:rPr>
        <w:t>8</w:t>
      </w:r>
      <w:r w:rsidR="00FE3C60" w:rsidRPr="00324AD7">
        <w:rPr>
          <w:b/>
        </w:rPr>
        <w:t>.</w:t>
      </w:r>
      <w:r w:rsidR="00FE3C60" w:rsidRPr="00324AD7">
        <w:t xml:space="preserve"> (1) </w:t>
      </w:r>
      <w:r w:rsidR="00AD689B" w:rsidRPr="00324AD7">
        <w:rPr>
          <w:rFonts w:eastAsia="Times New Roman"/>
        </w:rPr>
        <w:t>To sit the examinations referred to in</w:t>
      </w:r>
      <w:r w:rsidR="00291286" w:rsidRPr="00324AD7">
        <w:rPr>
          <w:rFonts w:eastAsia="Times New Roman"/>
        </w:rPr>
        <w:t xml:space="preserve"> </w:t>
      </w:r>
      <w:r w:rsidRPr="00324AD7">
        <w:rPr>
          <w:rFonts w:eastAsia="Times New Roman"/>
        </w:rPr>
        <w:t>Art.</w:t>
      </w:r>
      <w:r w:rsidR="00291286" w:rsidRPr="00324AD7">
        <w:rPr>
          <w:rFonts w:eastAsia="Times New Roman"/>
        </w:rPr>
        <w:t xml:space="preserve"> 15, </w:t>
      </w:r>
      <w:r w:rsidRPr="00324AD7">
        <w:rPr>
          <w:rFonts w:eastAsia="Times New Roman"/>
        </w:rPr>
        <w:t>paragraph</w:t>
      </w:r>
      <w:r w:rsidR="00291286" w:rsidRPr="00324AD7">
        <w:rPr>
          <w:rFonts w:eastAsia="Times New Roman"/>
        </w:rPr>
        <w:t xml:space="preserve"> 1 </w:t>
      </w:r>
      <w:r w:rsidR="00CD77FC" w:rsidRPr="00324AD7">
        <w:rPr>
          <w:rFonts w:eastAsia="Times New Roman"/>
        </w:rPr>
        <w:t>of IFAA</w:t>
      </w:r>
      <w:r w:rsidR="00291286" w:rsidRPr="00324AD7">
        <w:rPr>
          <w:rFonts w:eastAsia="Times New Roman"/>
        </w:rPr>
        <w:t xml:space="preserve">, </w:t>
      </w:r>
      <w:r w:rsidR="00AD689B" w:rsidRPr="00324AD7">
        <w:rPr>
          <w:rFonts w:eastAsia="Times New Roman"/>
        </w:rPr>
        <w:t>a candidate should have met the requirements under</w:t>
      </w:r>
      <w:r w:rsidR="00291286" w:rsidRPr="00324AD7">
        <w:t xml:space="preserve"> </w:t>
      </w:r>
      <w:r w:rsidRPr="00324AD7">
        <w:t>Art.</w:t>
      </w:r>
      <w:r w:rsidR="00291286" w:rsidRPr="00324AD7">
        <w:t xml:space="preserve"> 13 </w:t>
      </w:r>
      <w:r w:rsidR="00AD689B" w:rsidRPr="00324AD7">
        <w:t>and</w:t>
      </w:r>
      <w:r w:rsidR="00291286" w:rsidRPr="00324AD7">
        <w:t xml:space="preserve"> </w:t>
      </w:r>
      <w:r w:rsidRPr="00324AD7">
        <w:t>Art.</w:t>
      </w:r>
      <w:r w:rsidR="00291286" w:rsidRPr="00324AD7">
        <w:t xml:space="preserve"> 14 </w:t>
      </w:r>
      <w:r w:rsidR="00AD689B" w:rsidRPr="00324AD7">
        <w:t>of that Act and submitted the documents under</w:t>
      </w:r>
      <w:r w:rsidR="0054594B" w:rsidRPr="00324AD7">
        <w:t xml:space="preserve"> </w:t>
      </w:r>
      <w:r w:rsidRPr="00324AD7">
        <w:t>paragraph</w:t>
      </w:r>
      <w:r w:rsidR="00291286" w:rsidRPr="00324AD7">
        <w:t xml:space="preserve"> </w:t>
      </w:r>
      <w:r w:rsidR="00086126" w:rsidRPr="00324AD7">
        <w:t>3</w:t>
      </w:r>
      <w:r w:rsidR="00291286" w:rsidRPr="00324AD7">
        <w:t xml:space="preserve"> </w:t>
      </w:r>
      <w:r w:rsidR="00AD689B" w:rsidRPr="00324AD7">
        <w:t>of these Rules</w:t>
      </w:r>
      <w:r w:rsidR="00291286" w:rsidRPr="00324AD7">
        <w:t>.</w:t>
      </w:r>
    </w:p>
    <w:p w:rsidR="00291286" w:rsidRPr="00324AD7" w:rsidRDefault="00291286" w:rsidP="00BA55BC">
      <w:pPr>
        <w:pStyle w:val="NormalWeb"/>
        <w:spacing w:before="0" w:beforeAutospacing="0" w:after="0" w:afterAutospacing="0"/>
        <w:ind w:firstLine="709"/>
        <w:jc w:val="both"/>
      </w:pPr>
      <w:r w:rsidRPr="00324AD7">
        <w:t xml:space="preserve">(2) </w:t>
      </w:r>
      <w:r w:rsidR="00AD689B" w:rsidRPr="00324AD7">
        <w:t>To start the procedure for sitting the examinations under</w:t>
      </w:r>
      <w:r w:rsidRPr="00324AD7">
        <w:t xml:space="preserve"> </w:t>
      </w:r>
      <w:r w:rsidR="004E3E2D" w:rsidRPr="00324AD7">
        <w:t>Art.</w:t>
      </w:r>
      <w:r w:rsidR="00482B78" w:rsidRPr="00324AD7">
        <w:t xml:space="preserve"> </w:t>
      </w:r>
      <w:r w:rsidRPr="00324AD7">
        <w:t xml:space="preserve">15 </w:t>
      </w:r>
      <w:r w:rsidR="00CD77FC" w:rsidRPr="00324AD7">
        <w:t>of IFAA</w:t>
      </w:r>
      <w:r w:rsidR="00AD689B" w:rsidRPr="00324AD7">
        <w:t>,</w:t>
      </w:r>
      <w:r w:rsidRPr="00324AD7">
        <w:t xml:space="preserve"> </w:t>
      </w:r>
      <w:r w:rsidR="00AD689B" w:rsidRPr="00324AD7">
        <w:t>candidates shall submit</w:t>
      </w:r>
      <w:r w:rsidR="005C4337" w:rsidRPr="00324AD7">
        <w:t xml:space="preserve"> the relevant documents</w:t>
      </w:r>
      <w:r w:rsidR="00AD689B" w:rsidRPr="00324AD7">
        <w:t xml:space="preserve"> within a </w:t>
      </w:r>
      <w:r w:rsidR="005C4337" w:rsidRPr="00324AD7">
        <w:t>time limit announced in advance for each calendar year</w:t>
      </w:r>
      <w:r w:rsidR="00AD689B" w:rsidRPr="00324AD7">
        <w:t xml:space="preserve"> </w:t>
      </w:r>
      <w:r w:rsidR="005C4337" w:rsidRPr="00324AD7">
        <w:t>on</w:t>
      </w:r>
      <w:r w:rsidRPr="00324AD7">
        <w:t xml:space="preserve"> </w:t>
      </w:r>
      <w:r w:rsidR="004E3E2D" w:rsidRPr="00324AD7">
        <w:t>ICPA</w:t>
      </w:r>
      <w:r w:rsidR="005C4337" w:rsidRPr="00324AD7">
        <w:t>’s website</w:t>
      </w:r>
      <w:r w:rsidRPr="00324AD7">
        <w:t xml:space="preserve"> (</w:t>
      </w:r>
      <w:hyperlink r:id="rId13" w:tgtFrame="_blank" w:history="1">
        <w:r w:rsidRPr="00324AD7">
          <w:rPr>
            <w:rStyle w:val="Hyperlink"/>
            <w:color w:val="0070C0"/>
          </w:rPr>
          <w:t>www.ides.bg</w:t>
        </w:r>
      </w:hyperlink>
      <w:r w:rsidRPr="00324AD7">
        <w:t>)</w:t>
      </w:r>
      <w:r w:rsidR="0027153B" w:rsidRPr="00324AD7">
        <w:t>.</w:t>
      </w:r>
      <w:r w:rsidR="00670539" w:rsidRPr="00324AD7">
        <w:t xml:space="preserve"> </w:t>
      </w:r>
      <w:r w:rsidR="005C4337" w:rsidRPr="00324AD7">
        <w:t>This announcement shall be made not later than two months before the date of the first examination of the examination sitting</w:t>
      </w:r>
      <w:r w:rsidR="00482B78" w:rsidRPr="00324AD7">
        <w:t>.</w:t>
      </w:r>
    </w:p>
    <w:p w:rsidR="00FE3C60" w:rsidRPr="00324AD7" w:rsidRDefault="00291286" w:rsidP="00BA55BC">
      <w:pPr>
        <w:pStyle w:val="NormalWeb"/>
        <w:spacing w:before="0" w:beforeAutospacing="0" w:after="0" w:afterAutospacing="0"/>
        <w:ind w:firstLine="709"/>
        <w:jc w:val="both"/>
      </w:pPr>
      <w:r w:rsidRPr="00324AD7">
        <w:t>(3</w:t>
      </w:r>
      <w:r w:rsidR="00FE3C60" w:rsidRPr="00324AD7">
        <w:t xml:space="preserve">) </w:t>
      </w:r>
      <w:r w:rsidR="005C4337" w:rsidRPr="00324AD7">
        <w:t>The documents required to open the procedure for sitting the Certified Public Accountant examinations shall include</w:t>
      </w:r>
      <w:r w:rsidR="00FE3C60" w:rsidRPr="00324AD7">
        <w:t>:</w:t>
      </w:r>
    </w:p>
    <w:p w:rsidR="00FE3C60" w:rsidRPr="00324AD7" w:rsidRDefault="005C4337" w:rsidP="00BA55BC">
      <w:pPr>
        <w:pStyle w:val="NormalWeb"/>
        <w:numPr>
          <w:ilvl w:val="0"/>
          <w:numId w:val="35"/>
        </w:numPr>
        <w:tabs>
          <w:tab w:val="left" w:pos="993"/>
        </w:tabs>
        <w:spacing w:before="0" w:beforeAutospacing="0" w:after="0" w:afterAutospacing="0"/>
        <w:jc w:val="both"/>
      </w:pPr>
      <w:r w:rsidRPr="00324AD7">
        <w:t>Application form as per template</w:t>
      </w:r>
      <w:r w:rsidR="00FE3C60" w:rsidRPr="00324AD7">
        <w:t>;</w:t>
      </w:r>
    </w:p>
    <w:p w:rsidR="00FE3C60" w:rsidRPr="00324AD7" w:rsidRDefault="005C4337" w:rsidP="00BA55BC">
      <w:pPr>
        <w:pStyle w:val="NormalWeb"/>
        <w:numPr>
          <w:ilvl w:val="0"/>
          <w:numId w:val="35"/>
        </w:numPr>
        <w:tabs>
          <w:tab w:val="left" w:pos="993"/>
        </w:tabs>
        <w:spacing w:before="0" w:beforeAutospacing="0" w:after="0" w:afterAutospacing="0"/>
        <w:ind w:left="0" w:firstLine="724"/>
        <w:jc w:val="both"/>
      </w:pPr>
      <w:r w:rsidRPr="00324AD7">
        <w:t xml:space="preserve">Notarized copy of university degree diploma </w:t>
      </w:r>
      <w:r w:rsidR="00FE3C60" w:rsidRPr="00324AD7">
        <w:t>(</w:t>
      </w:r>
      <w:r w:rsidRPr="00324AD7">
        <w:t xml:space="preserve">from the file for the examinations under </w:t>
      </w:r>
      <w:r w:rsidR="004E3E2D" w:rsidRPr="00324AD7">
        <w:t>Art.</w:t>
      </w:r>
      <w:r w:rsidR="00FE3C60" w:rsidRPr="00324AD7">
        <w:t xml:space="preserve"> 14, </w:t>
      </w:r>
      <w:r w:rsidR="004E3E2D" w:rsidRPr="00324AD7">
        <w:t>paragraph</w:t>
      </w:r>
      <w:r w:rsidR="00FE3C60" w:rsidRPr="00324AD7">
        <w:t xml:space="preserve"> 1 </w:t>
      </w:r>
      <w:r w:rsidR="00CD77FC" w:rsidRPr="00324AD7">
        <w:t>of IFAA</w:t>
      </w:r>
      <w:r w:rsidR="00FE3C60" w:rsidRPr="00324AD7">
        <w:t>);</w:t>
      </w:r>
    </w:p>
    <w:p w:rsidR="00FE3C60" w:rsidRPr="00324AD7" w:rsidRDefault="005C4337" w:rsidP="00BA55BC">
      <w:pPr>
        <w:pStyle w:val="NormalWeb"/>
        <w:numPr>
          <w:ilvl w:val="0"/>
          <w:numId w:val="35"/>
        </w:numPr>
        <w:tabs>
          <w:tab w:val="left" w:pos="993"/>
        </w:tabs>
        <w:spacing w:before="0" w:beforeAutospacing="0" w:after="0" w:afterAutospacing="0"/>
        <w:ind w:left="0" w:firstLine="724"/>
        <w:jc w:val="both"/>
      </w:pPr>
      <w:r w:rsidRPr="00324AD7">
        <w:t xml:space="preserve">Extract from the protocols of the examinations under </w:t>
      </w:r>
      <w:r w:rsidR="004E3E2D" w:rsidRPr="00324AD7">
        <w:t>Art.</w:t>
      </w:r>
      <w:r w:rsidR="00FE3C60" w:rsidRPr="00324AD7">
        <w:t xml:space="preserve"> </w:t>
      </w:r>
      <w:r w:rsidR="0016671B" w:rsidRPr="00324AD7">
        <w:t>6</w:t>
      </w:r>
      <w:r w:rsidR="00482B78" w:rsidRPr="00324AD7">
        <w:t>,</w:t>
      </w:r>
      <w:r w:rsidR="0016671B" w:rsidRPr="00324AD7">
        <w:t xml:space="preserve"> </w:t>
      </w:r>
      <w:r w:rsidR="004E3E2D" w:rsidRPr="00324AD7">
        <w:t>paragraph</w:t>
      </w:r>
      <w:r w:rsidR="00FE3C60" w:rsidRPr="00324AD7">
        <w:t xml:space="preserve"> </w:t>
      </w:r>
      <w:r w:rsidR="0016671B" w:rsidRPr="00324AD7">
        <w:t>9</w:t>
      </w:r>
      <w:r w:rsidR="00291286" w:rsidRPr="00324AD7">
        <w:t>,</w:t>
      </w:r>
      <w:r w:rsidR="00FE3C60" w:rsidRPr="00324AD7">
        <w:t xml:space="preserve"> </w:t>
      </w:r>
      <w:r w:rsidRPr="00324AD7">
        <w:t xml:space="preserve">to be filed </w:t>
      </w:r>
      <w:r w:rsidRPr="00324AD7">
        <w:rPr>
          <w:i/>
        </w:rPr>
        <w:t>ex-officio</w:t>
      </w:r>
      <w:r w:rsidRPr="00324AD7">
        <w:t xml:space="preserve"> by ICPA</w:t>
      </w:r>
      <w:r w:rsidR="00FE3C60" w:rsidRPr="00324AD7">
        <w:t>;</w:t>
      </w:r>
    </w:p>
    <w:p w:rsidR="00FE3C60" w:rsidRPr="00324AD7" w:rsidRDefault="005C4337" w:rsidP="00BA55BC">
      <w:pPr>
        <w:pStyle w:val="NormalWeb"/>
        <w:numPr>
          <w:ilvl w:val="0"/>
          <w:numId w:val="35"/>
        </w:numPr>
        <w:tabs>
          <w:tab w:val="left" w:pos="993"/>
        </w:tabs>
        <w:spacing w:before="0" w:beforeAutospacing="0" w:after="0" w:afterAutospacing="0"/>
        <w:ind w:left="0" w:firstLine="724"/>
        <w:jc w:val="both"/>
      </w:pPr>
      <w:r w:rsidRPr="00324AD7">
        <w:t xml:space="preserve">Documents evidencing the professional experience under </w:t>
      </w:r>
      <w:r w:rsidR="004E3E2D" w:rsidRPr="00324AD7">
        <w:t>Art.</w:t>
      </w:r>
      <w:r w:rsidR="00FE3C60" w:rsidRPr="00324AD7">
        <w:t xml:space="preserve"> 13, </w:t>
      </w:r>
      <w:r w:rsidR="004E3E2D" w:rsidRPr="00324AD7">
        <w:t>paragraph</w:t>
      </w:r>
      <w:r w:rsidR="00FE3C60" w:rsidRPr="00324AD7">
        <w:t xml:space="preserve"> 2 </w:t>
      </w:r>
      <w:r w:rsidR="00CD77FC" w:rsidRPr="00324AD7">
        <w:t>of IFAA</w:t>
      </w:r>
      <w:r w:rsidR="00FE3C60" w:rsidRPr="00324AD7">
        <w:t>;</w:t>
      </w:r>
    </w:p>
    <w:p w:rsidR="00FE3C60" w:rsidRPr="00324AD7" w:rsidRDefault="005C4337" w:rsidP="00BA55BC">
      <w:pPr>
        <w:pStyle w:val="NormalWeb"/>
        <w:numPr>
          <w:ilvl w:val="0"/>
          <w:numId w:val="35"/>
        </w:numPr>
        <w:tabs>
          <w:tab w:val="left" w:pos="993"/>
        </w:tabs>
        <w:spacing w:before="0" w:beforeAutospacing="0" w:after="0" w:afterAutospacing="0"/>
        <w:ind w:left="0" w:firstLine="724"/>
        <w:jc w:val="both"/>
      </w:pPr>
      <w:r w:rsidRPr="00324AD7">
        <w:t>Criminal Record Certificate showing date of issue after 1st of January of the year of application</w:t>
      </w:r>
      <w:r w:rsidR="00FE3C60" w:rsidRPr="00324AD7">
        <w:t>;</w:t>
      </w:r>
    </w:p>
    <w:p w:rsidR="00FE3C60" w:rsidRPr="00324AD7" w:rsidRDefault="0002565D" w:rsidP="00BA55BC">
      <w:pPr>
        <w:pStyle w:val="NormalWeb"/>
        <w:numPr>
          <w:ilvl w:val="0"/>
          <w:numId w:val="35"/>
        </w:numPr>
        <w:tabs>
          <w:tab w:val="left" w:pos="993"/>
        </w:tabs>
        <w:spacing w:before="0" w:beforeAutospacing="0" w:after="0" w:afterAutospacing="0"/>
        <w:ind w:left="0" w:firstLine="724"/>
        <w:jc w:val="both"/>
      </w:pPr>
      <w:r w:rsidRPr="00324AD7">
        <w:t>Photocopy of the Identity Card</w:t>
      </w:r>
      <w:r w:rsidR="00FE3C60" w:rsidRPr="00324AD7">
        <w:t>;</w:t>
      </w:r>
    </w:p>
    <w:p w:rsidR="005D62C8" w:rsidRPr="00324AD7" w:rsidRDefault="0002565D" w:rsidP="00BA55BC">
      <w:pPr>
        <w:pStyle w:val="NormalWeb"/>
        <w:numPr>
          <w:ilvl w:val="0"/>
          <w:numId w:val="35"/>
        </w:numPr>
        <w:tabs>
          <w:tab w:val="left" w:pos="993"/>
        </w:tabs>
        <w:spacing w:before="0" w:beforeAutospacing="0" w:after="0" w:afterAutospacing="0"/>
        <w:ind w:left="0" w:firstLine="724"/>
        <w:jc w:val="both"/>
      </w:pPr>
      <w:r w:rsidRPr="00324AD7">
        <w:t>For each examination under</w:t>
      </w:r>
      <w:r w:rsidR="005D62C8" w:rsidRPr="00324AD7">
        <w:t xml:space="preserve"> </w:t>
      </w:r>
      <w:r w:rsidR="004E3E2D" w:rsidRPr="00324AD7">
        <w:t>Art.</w:t>
      </w:r>
      <w:r w:rsidR="004B4D27" w:rsidRPr="00324AD7">
        <w:t xml:space="preserve">15 </w:t>
      </w:r>
      <w:r w:rsidR="00CD77FC" w:rsidRPr="00324AD7">
        <w:t>of IFAA</w:t>
      </w:r>
      <w:r w:rsidR="005D62C8" w:rsidRPr="00324AD7">
        <w:t xml:space="preserve">, </w:t>
      </w:r>
      <w:r w:rsidRPr="00324AD7">
        <w:t>however not later than 5 days before the date of the relevant examination</w:t>
      </w:r>
      <w:r w:rsidR="005D62C8" w:rsidRPr="00324AD7">
        <w:t xml:space="preserve">, </w:t>
      </w:r>
      <w:r w:rsidRPr="00324AD7">
        <w:t>announced as per the schedule on</w:t>
      </w:r>
      <w:r w:rsidR="005D62C8" w:rsidRPr="00324AD7">
        <w:t xml:space="preserve"> </w:t>
      </w:r>
      <w:r w:rsidRPr="00324AD7">
        <w:t>ICPA’s website</w:t>
      </w:r>
      <w:r w:rsidR="005D62C8" w:rsidRPr="00324AD7">
        <w:t xml:space="preserve"> (</w:t>
      </w:r>
      <w:hyperlink r:id="rId14" w:tgtFrame="_blank" w:history="1">
        <w:r w:rsidR="0021094B" w:rsidRPr="00324AD7">
          <w:rPr>
            <w:rStyle w:val="Hyperlink"/>
            <w:color w:val="0070C0"/>
          </w:rPr>
          <w:t>www.ides.bg</w:t>
        </w:r>
      </w:hyperlink>
      <w:r w:rsidR="005D62C8" w:rsidRPr="00324AD7">
        <w:t>)</w:t>
      </w:r>
      <w:r w:rsidRPr="00324AD7">
        <w:t>,</w:t>
      </w:r>
      <w:r w:rsidR="005D62C8" w:rsidRPr="00324AD7">
        <w:t xml:space="preserve"> </w:t>
      </w:r>
      <w:r w:rsidRPr="00324AD7">
        <w:t>an application shall be filed for admission to the relevant examination, accompanied by a document evidencing fee payment</w:t>
      </w:r>
      <w:r w:rsidR="004B4D27" w:rsidRPr="00324AD7">
        <w:t>.</w:t>
      </w:r>
    </w:p>
    <w:p w:rsidR="005D62C8" w:rsidRPr="00324AD7" w:rsidRDefault="005D62C8" w:rsidP="00BA55BC">
      <w:pPr>
        <w:pStyle w:val="NormalWeb"/>
        <w:spacing w:before="0" w:beforeAutospacing="0" w:after="0" w:afterAutospacing="0"/>
        <w:ind w:firstLine="709"/>
        <w:jc w:val="both"/>
      </w:pPr>
      <w:r w:rsidRPr="00324AD7">
        <w:t>(</w:t>
      </w:r>
      <w:r w:rsidR="004B4D27" w:rsidRPr="00324AD7">
        <w:t>4</w:t>
      </w:r>
      <w:r w:rsidRPr="00324AD7">
        <w:t xml:space="preserve">) </w:t>
      </w:r>
      <w:r w:rsidR="0002565D" w:rsidRPr="00324AD7">
        <w:t>Where the deadline provided for in these Rules falls on a holiday or a non-working day, the first working day after the holiday or the non-working day shall be deemed as deadline</w:t>
      </w:r>
      <w:r w:rsidRPr="00324AD7">
        <w:t>.</w:t>
      </w:r>
    </w:p>
    <w:p w:rsidR="005D62C8" w:rsidRPr="00324AD7" w:rsidRDefault="005D62C8" w:rsidP="00BA55BC">
      <w:pPr>
        <w:pStyle w:val="NormalWeb"/>
        <w:spacing w:before="0" w:beforeAutospacing="0" w:after="0" w:afterAutospacing="0"/>
        <w:ind w:firstLine="709"/>
        <w:jc w:val="both"/>
      </w:pPr>
      <w:r w:rsidRPr="00324AD7">
        <w:t>(</w:t>
      </w:r>
      <w:r w:rsidR="004B4D27" w:rsidRPr="00324AD7">
        <w:t>5</w:t>
      </w:r>
      <w:r w:rsidRPr="00324AD7">
        <w:t xml:space="preserve">) </w:t>
      </w:r>
      <w:r w:rsidR="0002565D" w:rsidRPr="00324AD7">
        <w:t>When applying to sit an examination in the next calendar year, a new Criminal Record Certificate shall be filed</w:t>
      </w:r>
      <w:r w:rsidR="00161397" w:rsidRPr="00324AD7">
        <w:t>.</w:t>
      </w:r>
    </w:p>
    <w:p w:rsidR="00FE3C60" w:rsidRPr="00324AD7" w:rsidRDefault="005D62C8" w:rsidP="00BA55BC">
      <w:pPr>
        <w:pStyle w:val="NormalWeb"/>
        <w:spacing w:before="0" w:beforeAutospacing="0" w:after="0" w:afterAutospacing="0"/>
        <w:ind w:firstLine="709"/>
        <w:jc w:val="both"/>
      </w:pPr>
      <w:r w:rsidRPr="00324AD7">
        <w:t>(</w:t>
      </w:r>
      <w:r w:rsidR="004B4D27" w:rsidRPr="00324AD7">
        <w:t>6</w:t>
      </w:r>
      <w:r w:rsidR="00291286" w:rsidRPr="00324AD7">
        <w:t xml:space="preserve">) </w:t>
      </w:r>
      <w:r w:rsidR="0002565D" w:rsidRPr="00324AD7">
        <w:t>The documents referred to in</w:t>
      </w:r>
      <w:r w:rsidR="00291286" w:rsidRPr="00324AD7">
        <w:t xml:space="preserve"> </w:t>
      </w:r>
      <w:r w:rsidR="004E3E2D" w:rsidRPr="00324AD7">
        <w:t>paragraph</w:t>
      </w:r>
      <w:r w:rsidR="00291286" w:rsidRPr="00324AD7">
        <w:t xml:space="preserve"> 3</w:t>
      </w:r>
      <w:r w:rsidR="00FE3C60" w:rsidRPr="00324AD7">
        <w:t xml:space="preserve"> </w:t>
      </w:r>
      <w:r w:rsidR="0002565D" w:rsidRPr="00324AD7">
        <w:t xml:space="preserve">shall be attached to </w:t>
      </w:r>
      <w:r w:rsidR="004079CF">
        <w:t xml:space="preserve">the </w:t>
      </w:r>
      <w:r w:rsidR="0002565D" w:rsidRPr="00324AD7">
        <w:t>candidate’s file</w:t>
      </w:r>
      <w:r w:rsidR="00FE3C60" w:rsidRPr="00324AD7">
        <w:t>.</w:t>
      </w:r>
    </w:p>
    <w:p w:rsidR="00FE3C60"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8" w:name="_Toc535598114"/>
      <w:r w:rsidRPr="00324AD7">
        <w:rPr>
          <w:i w:val="0"/>
          <w:color w:val="auto"/>
          <w:sz w:val="24"/>
          <w:szCs w:val="24"/>
          <w:lang w:val="en-GB"/>
        </w:rPr>
        <w:t xml:space="preserve">Chapter </w:t>
      </w:r>
      <w:bookmarkEnd w:id="8"/>
      <w:r w:rsidRPr="00324AD7">
        <w:rPr>
          <w:i w:val="0"/>
          <w:color w:val="auto"/>
          <w:sz w:val="24"/>
          <w:szCs w:val="24"/>
          <w:lang w:val="en-GB"/>
        </w:rPr>
        <w:t>Four</w:t>
      </w:r>
    </w:p>
    <w:p w:rsidR="00FE3C60" w:rsidRPr="00324AD7" w:rsidRDefault="0002565D" w:rsidP="00BA55BC">
      <w:pPr>
        <w:pStyle w:val="IntenseQuote"/>
        <w:pBdr>
          <w:bottom w:val="none" w:sz="0" w:space="0" w:color="auto"/>
        </w:pBdr>
        <w:spacing w:before="0" w:after="120"/>
        <w:ind w:left="0" w:right="0"/>
        <w:jc w:val="center"/>
        <w:outlineLvl w:val="0"/>
        <w:rPr>
          <w:i w:val="0"/>
          <w:color w:val="auto"/>
          <w:sz w:val="24"/>
          <w:szCs w:val="24"/>
          <w:lang w:val="en-GB"/>
        </w:rPr>
      </w:pPr>
      <w:bookmarkStart w:id="9" w:name="_Toc535598115"/>
      <w:r w:rsidRPr="00324AD7">
        <w:rPr>
          <w:i w:val="0"/>
          <w:color w:val="auto"/>
          <w:sz w:val="24"/>
          <w:szCs w:val="24"/>
          <w:lang w:val="en-GB"/>
        </w:rPr>
        <w:t>CANDIDATES’ TRAINING</w:t>
      </w:r>
      <w:bookmarkEnd w:id="9"/>
    </w:p>
    <w:p w:rsidR="00FE3C60" w:rsidRPr="00324AD7" w:rsidRDefault="004E3E2D" w:rsidP="00BA55BC">
      <w:pPr>
        <w:pStyle w:val="NormalWeb"/>
        <w:spacing w:before="0" w:beforeAutospacing="0" w:after="0" w:afterAutospacing="0"/>
        <w:ind w:firstLine="709"/>
        <w:jc w:val="both"/>
      </w:pPr>
      <w:r w:rsidRPr="00324AD7">
        <w:rPr>
          <w:b/>
        </w:rPr>
        <w:t>Art.</w:t>
      </w:r>
      <w:r w:rsidR="0016671B" w:rsidRPr="00324AD7">
        <w:rPr>
          <w:b/>
        </w:rPr>
        <w:t xml:space="preserve"> 9</w:t>
      </w:r>
      <w:r w:rsidR="00FE3C60" w:rsidRPr="00324AD7">
        <w:rPr>
          <w:b/>
        </w:rPr>
        <w:t>.</w:t>
      </w:r>
      <w:r w:rsidR="00FE3C60" w:rsidRPr="00324AD7">
        <w:t xml:space="preserve"> (1) </w:t>
      </w:r>
      <w:r w:rsidR="00A33EC0" w:rsidRPr="00324AD7">
        <w:t>To assist candidates’ preparation, ICPA shall organize courses for theoretical and practical training in the following pieces of legislation and areas</w:t>
      </w:r>
      <w:r w:rsidR="00FE3C60" w:rsidRPr="00324AD7">
        <w:t>:</w:t>
      </w:r>
    </w:p>
    <w:p w:rsidR="00FE3C60" w:rsidRPr="00324AD7" w:rsidRDefault="00A33EC0" w:rsidP="00BA55BC">
      <w:pPr>
        <w:pStyle w:val="NormalWeb"/>
        <w:numPr>
          <w:ilvl w:val="0"/>
          <w:numId w:val="36"/>
        </w:numPr>
        <w:tabs>
          <w:tab w:val="left" w:pos="993"/>
        </w:tabs>
        <w:spacing w:before="0" w:beforeAutospacing="0" w:after="0" w:afterAutospacing="0"/>
        <w:jc w:val="both"/>
      </w:pPr>
      <w:r w:rsidRPr="00324AD7">
        <w:t>The International Standards on Auditing (ISAs)</w:t>
      </w:r>
      <w:r w:rsidR="00FE3C60" w:rsidRPr="00324AD7">
        <w:t>;</w:t>
      </w:r>
    </w:p>
    <w:p w:rsidR="00FE3C60" w:rsidRPr="00324AD7" w:rsidRDefault="00A33EC0" w:rsidP="00BA55BC">
      <w:pPr>
        <w:pStyle w:val="NormalWeb"/>
        <w:numPr>
          <w:ilvl w:val="0"/>
          <w:numId w:val="36"/>
        </w:numPr>
        <w:tabs>
          <w:tab w:val="left" w:pos="993"/>
        </w:tabs>
        <w:spacing w:before="0" w:beforeAutospacing="0" w:after="0" w:afterAutospacing="0"/>
        <w:jc w:val="both"/>
      </w:pPr>
      <w:r w:rsidRPr="00324AD7">
        <w:t>The Accountancy Act, the National Accounting Standards (NASs)</w:t>
      </w:r>
      <w:r w:rsidR="00FE3C60" w:rsidRPr="00324AD7">
        <w:t>;</w:t>
      </w:r>
    </w:p>
    <w:p w:rsidR="00FE3C60" w:rsidRPr="00324AD7" w:rsidRDefault="00A33EC0" w:rsidP="00BA55BC">
      <w:pPr>
        <w:pStyle w:val="NormalWeb"/>
        <w:numPr>
          <w:ilvl w:val="0"/>
          <w:numId w:val="36"/>
        </w:numPr>
        <w:tabs>
          <w:tab w:val="left" w:pos="993"/>
        </w:tabs>
        <w:spacing w:before="0" w:beforeAutospacing="0" w:after="0" w:afterAutospacing="0"/>
        <w:jc w:val="both"/>
      </w:pPr>
      <w:r w:rsidRPr="00324AD7">
        <w:lastRenderedPageBreak/>
        <w:t>The International Accounting Standards (IASs);</w:t>
      </w:r>
    </w:p>
    <w:p w:rsidR="00FE3C60" w:rsidRPr="00324AD7" w:rsidRDefault="004E3E2D" w:rsidP="00BA55BC">
      <w:pPr>
        <w:pStyle w:val="NormalWeb"/>
        <w:numPr>
          <w:ilvl w:val="0"/>
          <w:numId w:val="36"/>
        </w:numPr>
        <w:tabs>
          <w:tab w:val="left" w:pos="993"/>
        </w:tabs>
        <w:spacing w:before="0" w:beforeAutospacing="0" w:after="0" w:afterAutospacing="0"/>
        <w:jc w:val="both"/>
      </w:pPr>
      <w:r w:rsidRPr="00324AD7">
        <w:t>IFAA</w:t>
      </w:r>
      <w:r w:rsidR="00FE3C60" w:rsidRPr="00324AD7">
        <w:t xml:space="preserve">, </w:t>
      </w:r>
      <w:r w:rsidR="00A33EC0" w:rsidRPr="00324AD7">
        <w:t>Professional ethics and independence</w:t>
      </w:r>
      <w:r w:rsidR="00FE3C60" w:rsidRPr="00324AD7">
        <w:t>;</w:t>
      </w:r>
    </w:p>
    <w:p w:rsidR="00FE3C60" w:rsidRPr="00324AD7" w:rsidRDefault="00A33EC0" w:rsidP="00BA55BC">
      <w:pPr>
        <w:pStyle w:val="NormalWeb"/>
        <w:numPr>
          <w:ilvl w:val="0"/>
          <w:numId w:val="36"/>
        </w:numPr>
        <w:tabs>
          <w:tab w:val="left" w:pos="993"/>
        </w:tabs>
        <w:spacing w:before="0" w:beforeAutospacing="0" w:after="0" w:afterAutospacing="0"/>
        <w:jc w:val="both"/>
      </w:pPr>
      <w:r w:rsidRPr="00324AD7">
        <w:t>Commercial law</w:t>
      </w:r>
      <w:r w:rsidR="00FE3C60" w:rsidRPr="00324AD7">
        <w:t>;</w:t>
      </w:r>
    </w:p>
    <w:p w:rsidR="00FE3C60" w:rsidRPr="00324AD7" w:rsidRDefault="00A33EC0" w:rsidP="00BA55BC">
      <w:pPr>
        <w:pStyle w:val="NormalWeb"/>
        <w:numPr>
          <w:ilvl w:val="0"/>
          <w:numId w:val="36"/>
        </w:numPr>
        <w:tabs>
          <w:tab w:val="left" w:pos="993"/>
        </w:tabs>
        <w:spacing w:before="0" w:beforeAutospacing="0" w:after="0" w:afterAutospacing="0"/>
        <w:jc w:val="both"/>
      </w:pPr>
      <w:r w:rsidRPr="00324AD7">
        <w:t>Tax and social security law</w:t>
      </w:r>
      <w:r w:rsidR="00FE3C60" w:rsidRPr="00324AD7">
        <w:t>.</w:t>
      </w:r>
    </w:p>
    <w:p w:rsidR="00FE3C60" w:rsidRPr="00324AD7" w:rsidRDefault="00FE3C60" w:rsidP="00BA55BC">
      <w:pPr>
        <w:pStyle w:val="NormalWeb"/>
        <w:spacing w:before="0" w:beforeAutospacing="0" w:after="0" w:afterAutospacing="0"/>
        <w:ind w:firstLine="709"/>
        <w:jc w:val="both"/>
      </w:pPr>
      <w:r w:rsidRPr="00324AD7">
        <w:t xml:space="preserve">(2) </w:t>
      </w:r>
      <w:r w:rsidR="00A33EC0" w:rsidRPr="00324AD7">
        <w:t>The practical training referred to in paragraph 1 shall include solving case studies and problems in the relevant areas</w:t>
      </w:r>
      <w:r w:rsidRPr="00324AD7">
        <w:t>.</w:t>
      </w:r>
    </w:p>
    <w:p w:rsidR="00FE3C60" w:rsidRPr="00324AD7" w:rsidRDefault="00E01B66" w:rsidP="00BA55BC">
      <w:pPr>
        <w:pStyle w:val="NormalWeb"/>
        <w:spacing w:before="0" w:beforeAutospacing="0" w:after="0" w:afterAutospacing="0"/>
        <w:ind w:firstLine="709"/>
        <w:jc w:val="both"/>
      </w:pPr>
      <w:r w:rsidRPr="00324AD7">
        <w:t xml:space="preserve">(3) </w:t>
      </w:r>
      <w:r w:rsidR="00A33EC0" w:rsidRPr="00324AD7">
        <w:t>The courses shall be organized by ICPA in accordance with the syllabi approved. The courses shall be conducted by registered auditors or other experts with submitted accreditations for the relevant courses. The accreditation shall include a curriculum, literature references and a CV/biographical information evidencing the experience in the relevant subject.</w:t>
      </w:r>
    </w:p>
    <w:p w:rsidR="00FE3C60" w:rsidRPr="00324AD7" w:rsidRDefault="00FE3C60" w:rsidP="00BA55BC">
      <w:pPr>
        <w:pStyle w:val="NormalWeb"/>
        <w:spacing w:before="0" w:beforeAutospacing="0" w:after="0" w:afterAutospacing="0"/>
        <w:ind w:firstLine="709"/>
        <w:jc w:val="both"/>
      </w:pPr>
      <w:r w:rsidRPr="00324AD7">
        <w:t>(</w:t>
      </w:r>
      <w:r w:rsidR="00E01B66" w:rsidRPr="00324AD7">
        <w:t>4</w:t>
      </w:r>
      <w:r w:rsidRPr="00324AD7">
        <w:t xml:space="preserve">) </w:t>
      </w:r>
      <w:r w:rsidR="00A33EC0" w:rsidRPr="00324AD7">
        <w:t>For each of the courses, a curriculum shall be approved</w:t>
      </w:r>
      <w:r w:rsidR="00E01B66" w:rsidRPr="00324AD7">
        <w:t xml:space="preserve">. </w:t>
      </w:r>
      <w:r w:rsidR="00A33EC0" w:rsidRPr="00324AD7">
        <w:t xml:space="preserve">The curriculum, the date and the venue for each of the courses shall be announced on ICPA’s website </w:t>
      </w:r>
      <w:r w:rsidR="004B4D27" w:rsidRPr="00324AD7">
        <w:t>(</w:t>
      </w:r>
      <w:hyperlink r:id="rId15" w:tgtFrame="_blank" w:history="1">
        <w:r w:rsidR="0021094B" w:rsidRPr="00324AD7">
          <w:rPr>
            <w:rStyle w:val="Hyperlink"/>
            <w:color w:val="0070C0"/>
          </w:rPr>
          <w:t>www.ides.bg</w:t>
        </w:r>
      </w:hyperlink>
      <w:r w:rsidR="004B4D27" w:rsidRPr="00324AD7">
        <w:t>)</w:t>
      </w:r>
      <w:r w:rsidR="00A33EC0" w:rsidRPr="00324AD7">
        <w:t>,</w:t>
      </w:r>
      <w:r w:rsidR="004B4D27" w:rsidRPr="00324AD7">
        <w:t xml:space="preserve"> </w:t>
      </w:r>
      <w:r w:rsidR="00A33EC0" w:rsidRPr="00324AD7">
        <w:t>minimum one month before they commence</w:t>
      </w:r>
      <w:r w:rsidR="004B4D27" w:rsidRPr="00324AD7">
        <w:t>.</w:t>
      </w:r>
    </w:p>
    <w:p w:rsidR="00E01B66" w:rsidRPr="00324AD7" w:rsidRDefault="00FE3C60" w:rsidP="00BA55BC">
      <w:pPr>
        <w:pStyle w:val="NormalWeb"/>
        <w:spacing w:before="0" w:beforeAutospacing="0" w:after="0" w:afterAutospacing="0"/>
        <w:ind w:firstLine="709"/>
        <w:jc w:val="both"/>
      </w:pPr>
      <w:r w:rsidRPr="00324AD7">
        <w:t>(</w:t>
      </w:r>
      <w:r w:rsidR="00E01B66" w:rsidRPr="00324AD7">
        <w:t>5</w:t>
      </w:r>
      <w:r w:rsidRPr="00324AD7">
        <w:t xml:space="preserve">) </w:t>
      </w:r>
      <w:r w:rsidR="00074624" w:rsidRPr="00324AD7">
        <w:t>The curriculum shall include theoretical issues and issues related to the practical application of the theory in the relevant subject, including illustrative examples and solved case studies</w:t>
      </w:r>
      <w:r w:rsidR="00E01B66" w:rsidRPr="00324AD7">
        <w:t>.</w:t>
      </w:r>
    </w:p>
    <w:p w:rsidR="00FE3C60" w:rsidRPr="00324AD7" w:rsidRDefault="00FE3C60" w:rsidP="00BA55BC">
      <w:pPr>
        <w:pStyle w:val="NormalWeb"/>
        <w:spacing w:before="0" w:beforeAutospacing="0" w:after="0" w:afterAutospacing="0"/>
        <w:ind w:firstLine="709"/>
        <w:jc w:val="both"/>
      </w:pPr>
      <w:r w:rsidRPr="00324AD7">
        <w:t>(</w:t>
      </w:r>
      <w:r w:rsidR="00E01B66" w:rsidRPr="00324AD7">
        <w:t>6</w:t>
      </w:r>
      <w:r w:rsidRPr="00324AD7">
        <w:t xml:space="preserve">) </w:t>
      </w:r>
      <w:r w:rsidR="00074624" w:rsidRPr="00324AD7">
        <w:t>The materials for the courses shall be in writing and shall be provided free of charge to participating candidates</w:t>
      </w:r>
      <w:r w:rsidRPr="00324AD7">
        <w:t>.</w:t>
      </w:r>
    </w:p>
    <w:p w:rsidR="001A6F6F" w:rsidRPr="00324AD7" w:rsidRDefault="004E3E2D" w:rsidP="00BA55BC">
      <w:pPr>
        <w:ind w:firstLine="709"/>
        <w:jc w:val="both"/>
        <w:rPr>
          <w:sz w:val="24"/>
          <w:szCs w:val="24"/>
          <w:lang w:val="en-GB"/>
        </w:rPr>
      </w:pPr>
      <w:r w:rsidRPr="00324AD7">
        <w:rPr>
          <w:b/>
          <w:sz w:val="24"/>
          <w:szCs w:val="24"/>
          <w:lang w:val="en-GB"/>
        </w:rPr>
        <w:t>Art.</w:t>
      </w:r>
      <w:r w:rsidR="00FE3C60" w:rsidRPr="00324AD7">
        <w:rPr>
          <w:b/>
          <w:sz w:val="24"/>
          <w:szCs w:val="24"/>
          <w:lang w:val="en-GB"/>
        </w:rPr>
        <w:t xml:space="preserve"> </w:t>
      </w:r>
      <w:r w:rsidR="0016671B" w:rsidRPr="00324AD7">
        <w:rPr>
          <w:b/>
          <w:sz w:val="24"/>
          <w:szCs w:val="24"/>
          <w:lang w:val="en-GB"/>
        </w:rPr>
        <w:t>10</w:t>
      </w:r>
      <w:r w:rsidR="00FE3C60" w:rsidRPr="00324AD7">
        <w:rPr>
          <w:b/>
          <w:sz w:val="24"/>
          <w:szCs w:val="24"/>
          <w:lang w:val="en-GB"/>
        </w:rPr>
        <w:t>.</w:t>
      </w:r>
      <w:r w:rsidR="00FE3C60" w:rsidRPr="00324AD7">
        <w:rPr>
          <w:sz w:val="24"/>
          <w:szCs w:val="24"/>
          <w:lang w:val="en-GB"/>
        </w:rPr>
        <w:t xml:space="preserve"> </w:t>
      </w:r>
      <w:r w:rsidR="00B125F5" w:rsidRPr="00324AD7">
        <w:rPr>
          <w:sz w:val="24"/>
          <w:szCs w:val="24"/>
          <w:lang w:val="en-GB"/>
        </w:rPr>
        <w:t xml:space="preserve">(1) </w:t>
      </w:r>
      <w:r w:rsidR="00074624" w:rsidRPr="00324AD7">
        <w:rPr>
          <w:sz w:val="24"/>
          <w:szCs w:val="24"/>
          <w:lang w:val="en-GB"/>
        </w:rPr>
        <w:t>Certified Public Accountant candidates shall be responsible for their preparation for the purposes of sitting the examinations under</w:t>
      </w:r>
      <w:r w:rsidR="00E01B66" w:rsidRPr="00324AD7">
        <w:rPr>
          <w:sz w:val="24"/>
          <w:szCs w:val="24"/>
          <w:lang w:val="en-GB"/>
        </w:rPr>
        <w:t xml:space="preserve"> </w:t>
      </w:r>
      <w:r w:rsidRPr="00324AD7">
        <w:rPr>
          <w:sz w:val="24"/>
          <w:szCs w:val="24"/>
          <w:lang w:val="en-GB"/>
        </w:rPr>
        <w:t>Art.</w:t>
      </w:r>
      <w:r w:rsidR="00482B78" w:rsidRPr="00324AD7">
        <w:rPr>
          <w:sz w:val="24"/>
          <w:szCs w:val="24"/>
          <w:lang w:val="en-GB"/>
        </w:rPr>
        <w:t xml:space="preserve"> </w:t>
      </w:r>
      <w:r w:rsidR="00E01B66" w:rsidRPr="00324AD7">
        <w:rPr>
          <w:sz w:val="24"/>
          <w:szCs w:val="24"/>
          <w:lang w:val="en-GB"/>
        </w:rPr>
        <w:t xml:space="preserve">15 </w:t>
      </w:r>
      <w:r w:rsidR="00CD77FC" w:rsidRPr="00324AD7">
        <w:rPr>
          <w:sz w:val="24"/>
          <w:szCs w:val="24"/>
          <w:lang w:val="en-GB"/>
        </w:rPr>
        <w:t>of IFAA</w:t>
      </w:r>
      <w:r w:rsidR="00FE3C60" w:rsidRPr="00324AD7">
        <w:rPr>
          <w:sz w:val="24"/>
          <w:szCs w:val="24"/>
          <w:lang w:val="en-GB"/>
        </w:rPr>
        <w:t xml:space="preserve">. </w:t>
      </w:r>
      <w:r w:rsidR="00074624" w:rsidRPr="00324AD7">
        <w:rPr>
          <w:sz w:val="24"/>
          <w:szCs w:val="24"/>
          <w:lang w:val="en-GB"/>
        </w:rPr>
        <w:t>ICPA’s responsibility shall concern the organization of the training aimed at updating and systematizing candidates’ knowledge with regard to the profession</w:t>
      </w:r>
      <w:r w:rsidR="00FE3C60" w:rsidRPr="00324AD7">
        <w:rPr>
          <w:sz w:val="24"/>
          <w:szCs w:val="24"/>
          <w:lang w:val="en-GB"/>
        </w:rPr>
        <w:t>.</w:t>
      </w:r>
    </w:p>
    <w:p w:rsidR="001025DF" w:rsidRPr="00324AD7" w:rsidRDefault="00B125F5" w:rsidP="00BA55BC">
      <w:pPr>
        <w:ind w:firstLine="709"/>
        <w:jc w:val="both"/>
        <w:rPr>
          <w:sz w:val="24"/>
          <w:szCs w:val="24"/>
          <w:lang w:val="en-GB"/>
        </w:rPr>
      </w:pPr>
      <w:r w:rsidRPr="00324AD7">
        <w:rPr>
          <w:sz w:val="24"/>
          <w:szCs w:val="24"/>
          <w:lang w:val="en-GB"/>
        </w:rPr>
        <w:t>(2)</w:t>
      </w:r>
      <w:r w:rsidR="001025DF" w:rsidRPr="00324AD7">
        <w:rPr>
          <w:sz w:val="24"/>
          <w:szCs w:val="24"/>
          <w:lang w:val="en-GB"/>
        </w:rPr>
        <w:t xml:space="preserve"> </w:t>
      </w:r>
      <w:r w:rsidR="00074624" w:rsidRPr="00324AD7">
        <w:rPr>
          <w:sz w:val="24"/>
          <w:szCs w:val="24"/>
          <w:lang w:val="en-GB"/>
        </w:rPr>
        <w:t>To facilitate the preparation process and inform candidates about each examination sitting</w:t>
      </w:r>
      <w:r w:rsidR="00443F32" w:rsidRPr="00324AD7">
        <w:rPr>
          <w:sz w:val="24"/>
          <w:szCs w:val="24"/>
          <w:lang w:val="en-GB"/>
        </w:rPr>
        <w:t xml:space="preserve">, </w:t>
      </w:r>
      <w:r w:rsidR="0002565D" w:rsidRPr="00324AD7">
        <w:rPr>
          <w:sz w:val="24"/>
          <w:szCs w:val="24"/>
          <w:lang w:val="en-GB"/>
        </w:rPr>
        <w:t>ICPA’s website</w:t>
      </w:r>
      <w:r w:rsidR="00443F32" w:rsidRPr="00324AD7">
        <w:rPr>
          <w:sz w:val="24"/>
          <w:szCs w:val="24"/>
          <w:lang w:val="en-GB"/>
        </w:rPr>
        <w:t xml:space="preserve"> </w:t>
      </w:r>
      <w:r w:rsidR="00074624" w:rsidRPr="00324AD7">
        <w:rPr>
          <w:sz w:val="24"/>
          <w:szCs w:val="24"/>
          <w:lang w:val="en-GB"/>
        </w:rPr>
        <w:t>shall publish short</w:t>
      </w:r>
      <w:r w:rsidR="00443F32" w:rsidRPr="00324AD7">
        <w:rPr>
          <w:sz w:val="24"/>
          <w:szCs w:val="24"/>
          <w:lang w:val="en-GB"/>
        </w:rPr>
        <w:t xml:space="preserve"> </w:t>
      </w:r>
      <w:r w:rsidR="00074624" w:rsidRPr="00324AD7">
        <w:rPr>
          <w:sz w:val="24"/>
          <w:szCs w:val="24"/>
          <w:lang w:val="en-GB"/>
        </w:rPr>
        <w:t>guidance to the examinations</w:t>
      </w:r>
      <w:r w:rsidR="00443F32" w:rsidRPr="00324AD7">
        <w:rPr>
          <w:sz w:val="24"/>
          <w:szCs w:val="24"/>
          <w:lang w:val="en-GB"/>
        </w:rPr>
        <w:t xml:space="preserve">, </w:t>
      </w:r>
      <w:r w:rsidR="00074624" w:rsidRPr="00324AD7">
        <w:rPr>
          <w:sz w:val="24"/>
          <w:szCs w:val="24"/>
          <w:lang w:val="en-GB"/>
        </w:rPr>
        <w:t>including an illustrative example for each examination.</w:t>
      </w:r>
    </w:p>
    <w:p w:rsidR="00B8157E"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10" w:name="_Toc535598116"/>
      <w:r w:rsidRPr="00324AD7">
        <w:rPr>
          <w:i w:val="0"/>
          <w:color w:val="auto"/>
          <w:sz w:val="24"/>
          <w:szCs w:val="24"/>
          <w:lang w:val="en-GB"/>
        </w:rPr>
        <w:t>Chapter Five</w:t>
      </w:r>
      <w:bookmarkEnd w:id="10"/>
    </w:p>
    <w:p w:rsidR="00E01B66" w:rsidRPr="00324AD7" w:rsidRDefault="00074624" w:rsidP="00BA55BC">
      <w:pPr>
        <w:pStyle w:val="IntenseQuote"/>
        <w:pBdr>
          <w:bottom w:val="none" w:sz="0" w:space="0" w:color="auto"/>
        </w:pBdr>
        <w:spacing w:before="0" w:after="120"/>
        <w:ind w:left="0" w:right="0"/>
        <w:jc w:val="center"/>
        <w:outlineLvl w:val="0"/>
        <w:rPr>
          <w:i w:val="0"/>
          <w:color w:val="auto"/>
          <w:sz w:val="24"/>
          <w:szCs w:val="24"/>
          <w:lang w:val="en-GB"/>
        </w:rPr>
      </w:pPr>
      <w:bookmarkStart w:id="11" w:name="_Toc535598117"/>
      <w:r w:rsidRPr="00324AD7">
        <w:rPr>
          <w:i w:val="0"/>
          <w:color w:val="auto"/>
          <w:sz w:val="24"/>
          <w:szCs w:val="24"/>
          <w:lang w:val="en-GB"/>
        </w:rPr>
        <w:t>EXAMINATION CONTENT AND CONDUCTING</w:t>
      </w:r>
      <w:bookmarkEnd w:id="11"/>
    </w:p>
    <w:p w:rsidR="006731EA" w:rsidRPr="00324AD7" w:rsidRDefault="004E3E2D" w:rsidP="00BA55BC">
      <w:pPr>
        <w:pStyle w:val="NormalWeb"/>
        <w:spacing w:before="0" w:beforeAutospacing="0" w:after="0" w:afterAutospacing="0"/>
        <w:ind w:firstLine="709"/>
        <w:jc w:val="both"/>
      </w:pPr>
      <w:r w:rsidRPr="00324AD7">
        <w:rPr>
          <w:b/>
        </w:rPr>
        <w:t>Art.</w:t>
      </w:r>
      <w:r w:rsidR="00482B78" w:rsidRPr="00324AD7">
        <w:rPr>
          <w:b/>
        </w:rPr>
        <w:t xml:space="preserve"> </w:t>
      </w:r>
      <w:r w:rsidR="0016671B" w:rsidRPr="00324AD7">
        <w:rPr>
          <w:b/>
        </w:rPr>
        <w:t>11</w:t>
      </w:r>
      <w:r w:rsidR="006731EA" w:rsidRPr="00324AD7">
        <w:rPr>
          <w:b/>
        </w:rPr>
        <w:t>.</w:t>
      </w:r>
      <w:r w:rsidR="006731EA" w:rsidRPr="00324AD7">
        <w:t xml:space="preserve"> (1) </w:t>
      </w:r>
      <w:r w:rsidR="00074624" w:rsidRPr="00324AD7">
        <w:t>Certified Public Accountant examinations in accordance with</w:t>
      </w:r>
      <w:r w:rsidR="006731EA" w:rsidRPr="00324AD7">
        <w:t xml:space="preserve"> </w:t>
      </w:r>
      <w:r w:rsidRPr="00324AD7">
        <w:t>Art.</w:t>
      </w:r>
      <w:r w:rsidR="00482B78" w:rsidRPr="00324AD7">
        <w:t xml:space="preserve"> </w:t>
      </w:r>
      <w:r w:rsidR="005B0378" w:rsidRPr="00324AD7">
        <w:t>15</w:t>
      </w:r>
      <w:r w:rsidR="00482B78" w:rsidRPr="00324AD7">
        <w:t>,</w:t>
      </w:r>
      <w:r w:rsidR="005B0378" w:rsidRPr="00324AD7">
        <w:t xml:space="preserve"> </w:t>
      </w:r>
      <w:r w:rsidRPr="00324AD7">
        <w:t>paragraph</w:t>
      </w:r>
      <w:r w:rsidR="00482B78" w:rsidRPr="00324AD7">
        <w:t xml:space="preserve"> </w:t>
      </w:r>
      <w:r w:rsidR="005B0378" w:rsidRPr="00324AD7">
        <w:t xml:space="preserve">1 </w:t>
      </w:r>
      <w:r w:rsidR="00CD77FC" w:rsidRPr="00324AD7">
        <w:t>of IFAA</w:t>
      </w:r>
      <w:r w:rsidR="006731EA" w:rsidRPr="00324AD7">
        <w:t xml:space="preserve"> </w:t>
      </w:r>
      <w:r w:rsidR="00074624" w:rsidRPr="00324AD7">
        <w:t>shall be held annually</w:t>
      </w:r>
      <w:r w:rsidR="00997580" w:rsidRPr="00324AD7">
        <w:t xml:space="preserve"> in an examination sitting as per the schedule approved</w:t>
      </w:r>
      <w:r w:rsidR="006731EA" w:rsidRPr="00324AD7">
        <w:t xml:space="preserve"> </w:t>
      </w:r>
      <w:r w:rsidR="00997580" w:rsidRPr="00324AD7">
        <w:t xml:space="preserve">by the Management Board </w:t>
      </w:r>
      <w:r w:rsidR="006731EA" w:rsidRPr="00324AD7">
        <w:t>(</w:t>
      </w:r>
      <w:r w:rsidR="00997580" w:rsidRPr="00324AD7">
        <w:t>MB</w:t>
      </w:r>
      <w:r w:rsidR="006731EA" w:rsidRPr="00324AD7">
        <w:t xml:space="preserve">) </w:t>
      </w:r>
      <w:r w:rsidR="00997580" w:rsidRPr="00324AD7">
        <w:t>of</w:t>
      </w:r>
      <w:r w:rsidR="00482B78" w:rsidRPr="00324AD7">
        <w:t xml:space="preserve"> </w:t>
      </w:r>
      <w:r w:rsidRPr="00324AD7">
        <w:t>ICPA</w:t>
      </w:r>
      <w:r w:rsidR="006731EA" w:rsidRPr="00324AD7">
        <w:t>;</w:t>
      </w:r>
    </w:p>
    <w:p w:rsidR="00482B78" w:rsidRPr="00324AD7" w:rsidRDefault="006731EA" w:rsidP="00BA55BC">
      <w:pPr>
        <w:pStyle w:val="NormalWeb"/>
        <w:spacing w:before="0" w:beforeAutospacing="0" w:after="0" w:afterAutospacing="0"/>
        <w:ind w:firstLine="709"/>
        <w:jc w:val="both"/>
      </w:pPr>
      <w:r w:rsidRPr="00324AD7">
        <w:t xml:space="preserve">(2) </w:t>
      </w:r>
      <w:r w:rsidR="00997580" w:rsidRPr="00324AD7">
        <w:t>The examination sitting schedule shall include at least</w:t>
      </w:r>
      <w:r w:rsidR="00670539" w:rsidRPr="00324AD7">
        <w:t xml:space="preserve"> </w:t>
      </w:r>
      <w:r w:rsidR="00997580" w:rsidRPr="00324AD7">
        <w:t>two dates for each examination</w:t>
      </w:r>
      <w:r w:rsidR="00482B78" w:rsidRPr="00324AD7">
        <w:t>.</w:t>
      </w:r>
    </w:p>
    <w:p w:rsidR="006731EA" w:rsidRPr="00324AD7" w:rsidRDefault="00482B78" w:rsidP="00BA55BC">
      <w:pPr>
        <w:pStyle w:val="NormalWeb"/>
        <w:spacing w:before="0" w:beforeAutospacing="0" w:after="0" w:afterAutospacing="0"/>
        <w:ind w:firstLine="709"/>
        <w:jc w:val="both"/>
      </w:pPr>
      <w:r w:rsidRPr="00324AD7">
        <w:t xml:space="preserve">(3) </w:t>
      </w:r>
      <w:r w:rsidR="00997580" w:rsidRPr="00324AD7">
        <w:t>The schedule shall be made public on</w:t>
      </w:r>
      <w:r w:rsidR="006731EA" w:rsidRPr="00324AD7">
        <w:t xml:space="preserve"> </w:t>
      </w:r>
      <w:r w:rsidR="0002565D" w:rsidRPr="00324AD7">
        <w:t>ICPA’s website</w:t>
      </w:r>
      <w:r w:rsidR="006731EA" w:rsidRPr="00324AD7">
        <w:t xml:space="preserve"> (</w:t>
      </w:r>
      <w:hyperlink r:id="rId16" w:tgtFrame="_blank" w:history="1">
        <w:r w:rsidR="006731EA" w:rsidRPr="00324AD7">
          <w:rPr>
            <w:rStyle w:val="Hyperlink"/>
            <w:color w:val="0070C0"/>
          </w:rPr>
          <w:t>www.ides.bg</w:t>
        </w:r>
      </w:hyperlink>
      <w:r w:rsidR="00BA55BC" w:rsidRPr="00324AD7">
        <w:rPr>
          <w:rStyle w:val="Hyperlink"/>
          <w:color w:val="auto"/>
        </w:rPr>
        <w:t>)</w:t>
      </w:r>
      <w:r w:rsidRPr="00324AD7">
        <w:t xml:space="preserve"> </w:t>
      </w:r>
      <w:r w:rsidR="00997580" w:rsidRPr="00324AD7">
        <w:t>not later than two months before the first examination of the examination sitting</w:t>
      </w:r>
      <w:r w:rsidR="0021094B" w:rsidRPr="00324AD7">
        <w:t>.</w:t>
      </w:r>
    </w:p>
    <w:p w:rsidR="006731EA" w:rsidRPr="00324AD7" w:rsidRDefault="006731EA" w:rsidP="00BA55BC">
      <w:pPr>
        <w:pStyle w:val="NormalWeb"/>
        <w:spacing w:before="0" w:beforeAutospacing="0" w:after="0" w:afterAutospacing="0"/>
        <w:ind w:firstLine="709"/>
        <w:jc w:val="both"/>
      </w:pPr>
      <w:r w:rsidRPr="00324AD7">
        <w:t xml:space="preserve">(3) </w:t>
      </w:r>
      <w:r w:rsidR="00997580" w:rsidRPr="00324AD7">
        <w:t>Where necessary,</w:t>
      </w:r>
      <w:r w:rsidRPr="00324AD7">
        <w:t xml:space="preserve"> </w:t>
      </w:r>
      <w:r w:rsidR="00997580" w:rsidRPr="00324AD7">
        <w:t>an additional examination sitting may be held in one calendar year</w:t>
      </w:r>
      <w:r w:rsidRPr="00324AD7">
        <w:t>.</w:t>
      </w:r>
    </w:p>
    <w:p w:rsidR="006731EA" w:rsidRPr="00324AD7" w:rsidRDefault="006731EA" w:rsidP="00BA55BC">
      <w:pPr>
        <w:pStyle w:val="NormalWeb"/>
        <w:spacing w:before="0" w:beforeAutospacing="0" w:after="0" w:afterAutospacing="0"/>
        <w:ind w:firstLine="709"/>
        <w:jc w:val="both"/>
      </w:pPr>
      <w:r w:rsidRPr="00324AD7">
        <w:t xml:space="preserve">(4) </w:t>
      </w:r>
      <w:r w:rsidR="00997580" w:rsidRPr="00324AD7">
        <w:t xml:space="preserve">The examinations shall be held </w:t>
      </w:r>
      <w:r w:rsidR="00D26563" w:rsidRPr="00324AD7">
        <w:t xml:space="preserve">in writing </w:t>
      </w:r>
      <w:r w:rsidR="00997580" w:rsidRPr="00324AD7">
        <w:t>in electronic format</w:t>
      </w:r>
      <w:r w:rsidR="00D26563" w:rsidRPr="00324AD7">
        <w:t>,</w:t>
      </w:r>
      <w:r w:rsidR="00997580" w:rsidRPr="00324AD7">
        <w:t xml:space="preserve"> </w:t>
      </w:r>
      <w:r w:rsidR="00D26563" w:rsidRPr="00324AD7">
        <w:t xml:space="preserve">using the </w:t>
      </w:r>
      <w:r w:rsidR="00D26563" w:rsidRPr="00324AD7">
        <w:rPr>
          <w:i/>
        </w:rPr>
        <w:t>ICPA for Holding Electronic Examinations</w:t>
      </w:r>
      <w:r w:rsidR="00D26563" w:rsidRPr="00324AD7">
        <w:t xml:space="preserve"> information system</w:t>
      </w:r>
      <w:r w:rsidR="006C1095" w:rsidRPr="00324AD7">
        <w:t>,</w:t>
      </w:r>
      <w:r w:rsidR="00952712" w:rsidRPr="00324AD7">
        <w:t xml:space="preserve"> </w:t>
      </w:r>
      <w:r w:rsidR="00D26563" w:rsidRPr="00324AD7">
        <w:t>operating in the IT infrastructure of the Test Centre with the University of National and World Economy (UNWE), through work stations for each candidate</w:t>
      </w:r>
      <w:r w:rsidRPr="00324AD7">
        <w:t>.</w:t>
      </w:r>
    </w:p>
    <w:p w:rsidR="006731EA" w:rsidRPr="00324AD7" w:rsidRDefault="006731EA" w:rsidP="00BA55BC">
      <w:pPr>
        <w:pStyle w:val="NormalWeb"/>
        <w:spacing w:before="0" w:beforeAutospacing="0" w:after="0" w:afterAutospacing="0"/>
        <w:ind w:firstLine="709"/>
        <w:jc w:val="both"/>
      </w:pPr>
      <w:r w:rsidRPr="00324AD7">
        <w:t>(</w:t>
      </w:r>
      <w:r w:rsidR="007F66E3" w:rsidRPr="00324AD7">
        <w:t>5</w:t>
      </w:r>
      <w:r w:rsidRPr="00324AD7">
        <w:t xml:space="preserve">) </w:t>
      </w:r>
      <w:r w:rsidR="00D26563" w:rsidRPr="00324AD7">
        <w:t>The information system referred to in paragraph 4</w:t>
      </w:r>
      <w:r w:rsidR="00D26563" w:rsidRPr="00324AD7" w:rsidDel="00243401">
        <w:t xml:space="preserve"> </w:t>
      </w:r>
      <w:r w:rsidR="00D26563" w:rsidRPr="00324AD7">
        <w:t>shall ensure the security and reliability of generating questions for test versions, the processing and releasing of examination results</w:t>
      </w:r>
      <w:r w:rsidRPr="00324AD7">
        <w:t>.</w:t>
      </w:r>
    </w:p>
    <w:p w:rsidR="006731EA" w:rsidRPr="00324AD7" w:rsidRDefault="004E3E2D" w:rsidP="00BA55BC">
      <w:pPr>
        <w:pStyle w:val="NormalWeb"/>
        <w:spacing w:before="0" w:beforeAutospacing="0" w:after="0" w:afterAutospacing="0"/>
        <w:ind w:firstLine="709"/>
        <w:jc w:val="both"/>
      </w:pPr>
      <w:r w:rsidRPr="00324AD7">
        <w:rPr>
          <w:b/>
        </w:rPr>
        <w:t>Art.</w:t>
      </w:r>
      <w:r w:rsidR="00482B78" w:rsidRPr="00324AD7">
        <w:rPr>
          <w:b/>
        </w:rPr>
        <w:t xml:space="preserve"> </w:t>
      </w:r>
      <w:r w:rsidR="0016671B" w:rsidRPr="00324AD7">
        <w:rPr>
          <w:b/>
        </w:rPr>
        <w:t>12</w:t>
      </w:r>
      <w:r w:rsidR="006731EA" w:rsidRPr="00324AD7">
        <w:rPr>
          <w:b/>
        </w:rPr>
        <w:t>.</w:t>
      </w:r>
      <w:r w:rsidR="006731EA" w:rsidRPr="00324AD7">
        <w:t xml:space="preserve"> (1) </w:t>
      </w:r>
      <w:r w:rsidR="00D26563" w:rsidRPr="00324AD7">
        <w:t>Certified Public Accountant examinations shall be held through tests with structured answers (closed-</w:t>
      </w:r>
      <w:r w:rsidR="00826828" w:rsidRPr="00324AD7">
        <w:t>ended</w:t>
      </w:r>
      <w:r w:rsidR="00D26563" w:rsidRPr="00324AD7">
        <w:t xml:space="preserve"> question tests) and open-ended questions </w:t>
      </w:r>
      <w:r w:rsidR="006A7B4C" w:rsidRPr="00324AD7">
        <w:t>and/</w:t>
      </w:r>
      <w:r w:rsidR="00D26563" w:rsidRPr="00324AD7">
        <w:t>or case studies</w:t>
      </w:r>
      <w:r w:rsidR="006731EA" w:rsidRPr="00324AD7">
        <w:t>.</w:t>
      </w:r>
    </w:p>
    <w:p w:rsidR="006731EA" w:rsidRPr="00324AD7" w:rsidRDefault="006731EA" w:rsidP="00BA55BC">
      <w:pPr>
        <w:pStyle w:val="NormalWeb"/>
        <w:spacing w:before="0" w:beforeAutospacing="0" w:after="0" w:afterAutospacing="0"/>
        <w:ind w:firstLine="709"/>
        <w:jc w:val="both"/>
      </w:pPr>
      <w:r w:rsidRPr="00324AD7">
        <w:t xml:space="preserve">(2) </w:t>
      </w:r>
      <w:r w:rsidR="00826828" w:rsidRPr="00324AD7">
        <w:t>To test analytical skills</w:t>
      </w:r>
      <w:r w:rsidRPr="00324AD7">
        <w:t xml:space="preserve"> </w:t>
      </w:r>
      <w:r w:rsidR="00826828" w:rsidRPr="00324AD7">
        <w:t>and detailed knowledge in accounting and independent financial audit, a second stage of these examinations shall be held</w:t>
      </w:r>
      <w:r w:rsidRPr="00324AD7">
        <w:t xml:space="preserve">, </w:t>
      </w:r>
      <w:r w:rsidR="00826828" w:rsidRPr="00324AD7">
        <w:t>which shall comprise solving open-ended questions and/or case studies</w:t>
      </w:r>
      <w:r w:rsidRPr="00324AD7">
        <w:t>.</w:t>
      </w:r>
    </w:p>
    <w:p w:rsidR="00D93F2A" w:rsidRPr="00324AD7" w:rsidRDefault="00D93F2A" w:rsidP="00BA55BC">
      <w:pPr>
        <w:pStyle w:val="NormalWeb"/>
        <w:spacing w:before="0" w:beforeAutospacing="0" w:after="0" w:afterAutospacing="0"/>
        <w:ind w:firstLine="709"/>
        <w:jc w:val="both"/>
      </w:pPr>
      <w:r w:rsidRPr="00324AD7">
        <w:t xml:space="preserve">(3) </w:t>
      </w:r>
      <w:r w:rsidR="006E24BA" w:rsidRPr="00324AD7">
        <w:t>Each test question shall contain information about</w:t>
      </w:r>
      <w:r w:rsidRPr="00324AD7">
        <w:t>:</w:t>
      </w:r>
    </w:p>
    <w:p w:rsidR="00D93F2A" w:rsidRPr="00324AD7" w:rsidRDefault="006E24BA" w:rsidP="00BA55BC">
      <w:pPr>
        <w:pStyle w:val="NormalWeb"/>
        <w:numPr>
          <w:ilvl w:val="0"/>
          <w:numId w:val="37"/>
        </w:numPr>
        <w:tabs>
          <w:tab w:val="left" w:pos="993"/>
        </w:tabs>
        <w:spacing w:before="0" w:beforeAutospacing="0" w:after="0" w:afterAutospacing="0"/>
        <w:jc w:val="both"/>
      </w:pPr>
      <w:r w:rsidRPr="00324AD7">
        <w:t>Sequence number of the question</w:t>
      </w:r>
      <w:r w:rsidR="00D93F2A" w:rsidRPr="00324AD7">
        <w:t>;</w:t>
      </w:r>
    </w:p>
    <w:p w:rsidR="00D93F2A" w:rsidRPr="00324AD7" w:rsidRDefault="006E24BA" w:rsidP="00BA55BC">
      <w:pPr>
        <w:pStyle w:val="NormalWeb"/>
        <w:numPr>
          <w:ilvl w:val="0"/>
          <w:numId w:val="37"/>
        </w:numPr>
        <w:tabs>
          <w:tab w:val="left" w:pos="993"/>
        </w:tabs>
        <w:spacing w:before="0" w:beforeAutospacing="0" w:after="0" w:afterAutospacing="0"/>
        <w:jc w:val="both"/>
      </w:pPr>
      <w:r w:rsidRPr="00324AD7">
        <w:t>Question weight</w:t>
      </w:r>
      <w:r w:rsidR="00D93F2A" w:rsidRPr="00324AD7">
        <w:t>;</w:t>
      </w:r>
    </w:p>
    <w:p w:rsidR="00D93F2A" w:rsidRPr="00324AD7" w:rsidRDefault="006E24BA" w:rsidP="00BA55BC">
      <w:pPr>
        <w:pStyle w:val="NormalWeb"/>
        <w:numPr>
          <w:ilvl w:val="0"/>
          <w:numId w:val="37"/>
        </w:numPr>
        <w:tabs>
          <w:tab w:val="left" w:pos="993"/>
        </w:tabs>
        <w:spacing w:before="0" w:beforeAutospacing="0" w:after="0" w:afterAutospacing="0"/>
        <w:jc w:val="both"/>
      </w:pPr>
      <w:r w:rsidRPr="00324AD7">
        <w:lastRenderedPageBreak/>
        <w:t>The statement of the problem</w:t>
      </w:r>
      <w:r w:rsidR="00482B78" w:rsidRPr="00324AD7">
        <w:t>.</w:t>
      </w:r>
    </w:p>
    <w:p w:rsidR="00D93F2A" w:rsidRPr="00324AD7" w:rsidRDefault="00D93F2A" w:rsidP="00BA55BC">
      <w:pPr>
        <w:pStyle w:val="NormalWeb"/>
        <w:spacing w:before="0" w:beforeAutospacing="0" w:after="0" w:afterAutospacing="0"/>
        <w:ind w:firstLine="709"/>
        <w:jc w:val="both"/>
      </w:pPr>
      <w:r w:rsidRPr="00324AD7">
        <w:t xml:space="preserve">(4) </w:t>
      </w:r>
      <w:r w:rsidR="006E24BA" w:rsidRPr="00324AD7">
        <w:t>The structured answer questions shall contain the four answers possible</w:t>
      </w:r>
      <w:r w:rsidRPr="00324AD7">
        <w:t xml:space="preserve"> (</w:t>
      </w:r>
      <w:r w:rsidR="006E24BA" w:rsidRPr="00324AD7">
        <w:rPr>
          <w:i/>
        </w:rPr>
        <w:t>A, B, C</w:t>
      </w:r>
      <w:r w:rsidR="006E24BA" w:rsidRPr="00324AD7">
        <w:t xml:space="preserve"> or </w:t>
      </w:r>
      <w:r w:rsidR="006E24BA" w:rsidRPr="00324AD7">
        <w:rPr>
          <w:i/>
        </w:rPr>
        <w:t>D</w:t>
      </w:r>
      <w:r w:rsidRPr="00324AD7">
        <w:t>).</w:t>
      </w:r>
    </w:p>
    <w:p w:rsidR="00D93F2A" w:rsidRPr="00324AD7" w:rsidRDefault="00D93F2A" w:rsidP="00BA55BC">
      <w:pPr>
        <w:pStyle w:val="NormalWeb"/>
        <w:spacing w:before="0" w:beforeAutospacing="0" w:after="0" w:afterAutospacing="0"/>
        <w:ind w:firstLine="709"/>
        <w:jc w:val="both"/>
      </w:pPr>
      <w:r w:rsidRPr="00324AD7">
        <w:t xml:space="preserve">(5) </w:t>
      </w:r>
      <w:r w:rsidR="006E24BA" w:rsidRPr="00324AD7">
        <w:t>The open-ended questions and/or case studies shall be structured into three groups of one question, depending on the relative weight</w:t>
      </w:r>
      <w:r w:rsidRPr="00324AD7">
        <w:t>:</w:t>
      </w:r>
    </w:p>
    <w:p w:rsidR="00D93F2A" w:rsidRPr="00324AD7" w:rsidRDefault="006E24BA" w:rsidP="00BA55BC">
      <w:pPr>
        <w:pStyle w:val="NormalWeb"/>
        <w:numPr>
          <w:ilvl w:val="0"/>
          <w:numId w:val="32"/>
        </w:numPr>
        <w:tabs>
          <w:tab w:val="left" w:pos="993"/>
        </w:tabs>
        <w:spacing w:before="0" w:beforeAutospacing="0" w:after="0" w:afterAutospacing="0"/>
        <w:ind w:left="0" w:firstLine="709"/>
        <w:jc w:val="both"/>
      </w:pPr>
      <w:r w:rsidRPr="00324AD7">
        <w:t>Questions or case studies having a weight of 20 marks</w:t>
      </w:r>
      <w:r w:rsidR="00D93F2A" w:rsidRPr="00324AD7">
        <w:t>;</w:t>
      </w:r>
    </w:p>
    <w:p w:rsidR="00D93F2A" w:rsidRPr="00324AD7" w:rsidRDefault="006E24BA" w:rsidP="00BA55BC">
      <w:pPr>
        <w:pStyle w:val="NormalWeb"/>
        <w:numPr>
          <w:ilvl w:val="0"/>
          <w:numId w:val="32"/>
        </w:numPr>
        <w:tabs>
          <w:tab w:val="left" w:pos="993"/>
        </w:tabs>
        <w:spacing w:before="0" w:beforeAutospacing="0" w:after="0" w:afterAutospacing="0"/>
        <w:ind w:left="0" w:firstLine="709"/>
        <w:jc w:val="both"/>
      </w:pPr>
      <w:r w:rsidRPr="00324AD7">
        <w:t>Questions or case studies having a weight of 30 marks</w:t>
      </w:r>
      <w:r w:rsidR="00D93F2A" w:rsidRPr="00324AD7">
        <w:t>;</w:t>
      </w:r>
    </w:p>
    <w:p w:rsidR="00D93F2A" w:rsidRPr="00324AD7" w:rsidRDefault="006E24BA" w:rsidP="00BA55BC">
      <w:pPr>
        <w:pStyle w:val="NormalWeb"/>
        <w:numPr>
          <w:ilvl w:val="0"/>
          <w:numId w:val="32"/>
        </w:numPr>
        <w:tabs>
          <w:tab w:val="left" w:pos="993"/>
        </w:tabs>
        <w:spacing w:before="0" w:beforeAutospacing="0" w:after="0" w:afterAutospacing="0"/>
        <w:ind w:left="0" w:firstLine="709"/>
        <w:jc w:val="both"/>
      </w:pPr>
      <w:r w:rsidRPr="00324AD7">
        <w:t>Questions or case studies having a weight of 50 marks</w:t>
      </w:r>
      <w:r w:rsidR="00D93F2A" w:rsidRPr="00324AD7">
        <w:t>.</w:t>
      </w:r>
    </w:p>
    <w:p w:rsidR="00E01B66" w:rsidRPr="00324AD7" w:rsidRDefault="004E3E2D" w:rsidP="00BA55BC">
      <w:pPr>
        <w:pStyle w:val="NormalWeb"/>
        <w:spacing w:before="0" w:beforeAutospacing="0" w:after="0" w:afterAutospacing="0"/>
        <w:ind w:firstLine="709"/>
        <w:jc w:val="both"/>
      </w:pPr>
      <w:r w:rsidRPr="00324AD7">
        <w:rPr>
          <w:b/>
        </w:rPr>
        <w:t>Art.</w:t>
      </w:r>
      <w:r w:rsidR="00482B78" w:rsidRPr="00324AD7">
        <w:rPr>
          <w:b/>
        </w:rPr>
        <w:t xml:space="preserve"> </w:t>
      </w:r>
      <w:r w:rsidR="0016671B" w:rsidRPr="00324AD7">
        <w:rPr>
          <w:b/>
        </w:rPr>
        <w:t>13</w:t>
      </w:r>
      <w:r w:rsidR="006731EA" w:rsidRPr="00324AD7">
        <w:rPr>
          <w:b/>
        </w:rPr>
        <w:t>.</w:t>
      </w:r>
      <w:r w:rsidR="006731EA" w:rsidRPr="00324AD7">
        <w:t xml:space="preserve"> (1) </w:t>
      </w:r>
      <w:r w:rsidR="006E24BA" w:rsidRPr="00324AD7">
        <w:t xml:space="preserve">The lists of key topics for conducting the examinations for each examination sitting shall be approved </w:t>
      </w:r>
      <w:r w:rsidR="007E2F1D" w:rsidRPr="00324AD7">
        <w:t>and</w:t>
      </w:r>
      <w:r w:rsidR="00E01B66" w:rsidRPr="00324AD7">
        <w:t xml:space="preserve"> </w:t>
      </w:r>
      <w:r w:rsidR="007E2F1D" w:rsidRPr="00324AD7">
        <w:t>made public on</w:t>
      </w:r>
      <w:r w:rsidR="00E01B66" w:rsidRPr="00324AD7">
        <w:t xml:space="preserve"> </w:t>
      </w:r>
      <w:r w:rsidR="0002565D" w:rsidRPr="00324AD7">
        <w:t>ICPA’s website</w:t>
      </w:r>
      <w:r w:rsidR="00086126" w:rsidRPr="00324AD7">
        <w:t xml:space="preserve"> </w:t>
      </w:r>
      <w:r w:rsidR="006731EA" w:rsidRPr="00324AD7">
        <w:t>(</w:t>
      </w:r>
      <w:hyperlink r:id="rId17" w:tgtFrame="_blank" w:history="1">
        <w:r w:rsidR="0021094B" w:rsidRPr="00324AD7">
          <w:rPr>
            <w:rStyle w:val="Hyperlink"/>
            <w:color w:val="0070C0"/>
          </w:rPr>
          <w:t>www.ides.bg</w:t>
        </w:r>
      </w:hyperlink>
      <w:r w:rsidR="006731EA" w:rsidRPr="00324AD7">
        <w:t>).</w:t>
      </w:r>
    </w:p>
    <w:p w:rsidR="00E01B66" w:rsidRPr="00324AD7" w:rsidRDefault="00E01B66" w:rsidP="00BA55BC">
      <w:pPr>
        <w:ind w:firstLine="709"/>
        <w:jc w:val="both"/>
        <w:rPr>
          <w:sz w:val="24"/>
          <w:szCs w:val="24"/>
          <w:lang w:val="en-GB"/>
        </w:rPr>
      </w:pPr>
      <w:r w:rsidRPr="00324AD7">
        <w:rPr>
          <w:sz w:val="24"/>
          <w:szCs w:val="24"/>
          <w:lang w:val="en-GB"/>
        </w:rPr>
        <w:t>(</w:t>
      </w:r>
      <w:r w:rsidR="006731EA" w:rsidRPr="00324AD7">
        <w:rPr>
          <w:sz w:val="24"/>
          <w:szCs w:val="24"/>
          <w:lang w:val="en-GB"/>
        </w:rPr>
        <w:t>2</w:t>
      </w:r>
      <w:r w:rsidRPr="00324AD7">
        <w:rPr>
          <w:sz w:val="24"/>
          <w:szCs w:val="24"/>
          <w:lang w:val="en-GB"/>
        </w:rPr>
        <w:t xml:space="preserve">) </w:t>
      </w:r>
      <w:r w:rsidR="007E2F1D" w:rsidRPr="00324AD7">
        <w:rPr>
          <w:sz w:val="24"/>
          <w:szCs w:val="24"/>
          <w:lang w:val="en-GB"/>
        </w:rPr>
        <w:t>The tests under</w:t>
      </w:r>
      <w:r w:rsidR="006731EA" w:rsidRPr="00324AD7">
        <w:rPr>
          <w:sz w:val="24"/>
          <w:szCs w:val="24"/>
          <w:lang w:val="en-GB"/>
        </w:rPr>
        <w:t xml:space="preserve"> </w:t>
      </w:r>
      <w:r w:rsidR="004E3E2D" w:rsidRPr="00324AD7">
        <w:rPr>
          <w:sz w:val="24"/>
          <w:szCs w:val="24"/>
          <w:lang w:val="en-GB"/>
        </w:rPr>
        <w:t>Art.</w:t>
      </w:r>
      <w:r w:rsidR="00482B78" w:rsidRPr="00324AD7">
        <w:rPr>
          <w:sz w:val="24"/>
          <w:szCs w:val="24"/>
          <w:lang w:val="en-GB"/>
        </w:rPr>
        <w:t xml:space="preserve"> </w:t>
      </w:r>
      <w:r w:rsidR="0054594B" w:rsidRPr="00324AD7">
        <w:rPr>
          <w:sz w:val="24"/>
          <w:szCs w:val="24"/>
          <w:lang w:val="en-GB"/>
        </w:rPr>
        <w:t>12</w:t>
      </w:r>
      <w:r w:rsidR="00086126" w:rsidRPr="00324AD7">
        <w:rPr>
          <w:sz w:val="24"/>
          <w:szCs w:val="24"/>
          <w:lang w:val="en-GB"/>
        </w:rPr>
        <w:t xml:space="preserve"> </w:t>
      </w:r>
      <w:r w:rsidR="00AD689B" w:rsidRPr="00324AD7">
        <w:rPr>
          <w:sz w:val="24"/>
          <w:szCs w:val="24"/>
          <w:lang w:val="en-GB"/>
        </w:rPr>
        <w:t>of these Rules</w:t>
      </w:r>
      <w:r w:rsidR="006731EA" w:rsidRPr="00324AD7">
        <w:rPr>
          <w:sz w:val="24"/>
          <w:szCs w:val="24"/>
          <w:lang w:val="en-GB"/>
        </w:rPr>
        <w:t xml:space="preserve"> </w:t>
      </w:r>
      <w:r w:rsidR="007E2F1D" w:rsidRPr="00324AD7">
        <w:rPr>
          <w:sz w:val="24"/>
          <w:szCs w:val="24"/>
          <w:lang w:val="en-GB"/>
        </w:rPr>
        <w:t>for each of the examinations referred to in</w:t>
      </w:r>
      <w:r w:rsidRPr="00324AD7">
        <w:rPr>
          <w:sz w:val="24"/>
          <w:szCs w:val="24"/>
          <w:lang w:val="en-GB"/>
        </w:rPr>
        <w:t xml:space="preserve"> </w:t>
      </w:r>
      <w:r w:rsidR="004E3E2D" w:rsidRPr="00324AD7">
        <w:rPr>
          <w:sz w:val="24"/>
          <w:szCs w:val="24"/>
          <w:lang w:val="en-GB"/>
        </w:rPr>
        <w:t>Art.</w:t>
      </w:r>
      <w:r w:rsidRPr="00324AD7">
        <w:rPr>
          <w:sz w:val="24"/>
          <w:szCs w:val="24"/>
          <w:lang w:val="en-GB"/>
        </w:rPr>
        <w:t xml:space="preserve"> 15, </w:t>
      </w:r>
      <w:r w:rsidR="004E3E2D" w:rsidRPr="00324AD7">
        <w:rPr>
          <w:sz w:val="24"/>
          <w:szCs w:val="24"/>
          <w:lang w:val="en-GB"/>
        </w:rPr>
        <w:t>paragraph</w:t>
      </w:r>
      <w:r w:rsidRPr="00324AD7">
        <w:rPr>
          <w:sz w:val="24"/>
          <w:szCs w:val="24"/>
          <w:lang w:val="en-GB"/>
        </w:rPr>
        <w:t xml:space="preserve"> 1 </w:t>
      </w:r>
      <w:r w:rsidR="00CD77FC" w:rsidRPr="00324AD7">
        <w:rPr>
          <w:sz w:val="24"/>
          <w:szCs w:val="24"/>
          <w:lang w:val="en-GB"/>
        </w:rPr>
        <w:t>of IFAA</w:t>
      </w:r>
      <w:r w:rsidRPr="00324AD7">
        <w:rPr>
          <w:sz w:val="24"/>
          <w:szCs w:val="24"/>
          <w:lang w:val="en-GB"/>
        </w:rPr>
        <w:t xml:space="preserve"> </w:t>
      </w:r>
      <w:r w:rsidR="007E2F1D" w:rsidRPr="00324AD7">
        <w:rPr>
          <w:sz w:val="24"/>
          <w:szCs w:val="24"/>
          <w:lang w:val="en-GB"/>
        </w:rPr>
        <w:t>shall correspond, in terms of content and scope, to the lists of key topics announced</w:t>
      </w:r>
      <w:r w:rsidRPr="00324AD7">
        <w:rPr>
          <w:sz w:val="24"/>
          <w:szCs w:val="24"/>
          <w:lang w:val="en-GB"/>
        </w:rPr>
        <w:t>.</w:t>
      </w:r>
    </w:p>
    <w:p w:rsidR="00E01B66" w:rsidRPr="00324AD7" w:rsidRDefault="00E01B66" w:rsidP="00BA55BC">
      <w:pPr>
        <w:ind w:firstLine="709"/>
        <w:jc w:val="both"/>
        <w:rPr>
          <w:sz w:val="24"/>
          <w:szCs w:val="24"/>
          <w:lang w:val="en-GB"/>
        </w:rPr>
      </w:pPr>
      <w:r w:rsidRPr="00324AD7">
        <w:rPr>
          <w:sz w:val="24"/>
          <w:szCs w:val="24"/>
          <w:lang w:val="en-GB"/>
        </w:rPr>
        <w:t>(</w:t>
      </w:r>
      <w:r w:rsidR="006731EA" w:rsidRPr="00324AD7">
        <w:rPr>
          <w:sz w:val="24"/>
          <w:szCs w:val="24"/>
          <w:lang w:val="en-GB"/>
        </w:rPr>
        <w:t>3</w:t>
      </w:r>
      <w:r w:rsidRPr="00324AD7">
        <w:rPr>
          <w:sz w:val="24"/>
          <w:szCs w:val="24"/>
          <w:lang w:val="en-GB"/>
        </w:rPr>
        <w:t xml:space="preserve">) </w:t>
      </w:r>
      <w:r w:rsidR="007E2F1D" w:rsidRPr="00324AD7">
        <w:rPr>
          <w:sz w:val="24"/>
          <w:szCs w:val="24"/>
          <w:lang w:val="en-GB"/>
        </w:rPr>
        <w:t>The tests for the examinations in the relevant areas under</w:t>
      </w:r>
      <w:r w:rsidRPr="00324AD7">
        <w:rPr>
          <w:sz w:val="24"/>
          <w:szCs w:val="24"/>
          <w:lang w:val="en-GB"/>
        </w:rPr>
        <w:t xml:space="preserve"> </w:t>
      </w:r>
      <w:r w:rsidR="004E3E2D" w:rsidRPr="00324AD7">
        <w:rPr>
          <w:sz w:val="24"/>
          <w:szCs w:val="24"/>
          <w:lang w:val="en-GB"/>
        </w:rPr>
        <w:t>Art.</w:t>
      </w:r>
      <w:r w:rsidR="00482B78" w:rsidRPr="00324AD7">
        <w:rPr>
          <w:sz w:val="24"/>
          <w:szCs w:val="24"/>
          <w:lang w:val="en-GB"/>
        </w:rPr>
        <w:t xml:space="preserve"> </w:t>
      </w:r>
      <w:r w:rsidR="007F66E3" w:rsidRPr="00324AD7">
        <w:rPr>
          <w:sz w:val="24"/>
          <w:szCs w:val="24"/>
          <w:lang w:val="en-GB"/>
        </w:rPr>
        <w:t>15</w:t>
      </w:r>
      <w:r w:rsidR="0016671B" w:rsidRPr="00324AD7">
        <w:rPr>
          <w:sz w:val="24"/>
          <w:szCs w:val="24"/>
          <w:lang w:val="en-GB"/>
        </w:rPr>
        <w:t xml:space="preserve"> </w:t>
      </w:r>
      <w:r w:rsidR="00CD77FC" w:rsidRPr="00324AD7">
        <w:rPr>
          <w:sz w:val="24"/>
          <w:szCs w:val="24"/>
          <w:lang w:val="en-GB"/>
        </w:rPr>
        <w:t>of IFAA</w:t>
      </w:r>
      <w:r w:rsidR="007F66E3" w:rsidRPr="00324AD7">
        <w:rPr>
          <w:sz w:val="24"/>
          <w:szCs w:val="24"/>
          <w:lang w:val="en-GB"/>
        </w:rPr>
        <w:t xml:space="preserve"> </w:t>
      </w:r>
      <w:r w:rsidR="007E2F1D" w:rsidRPr="00324AD7">
        <w:rPr>
          <w:sz w:val="24"/>
          <w:szCs w:val="24"/>
          <w:lang w:val="en-GB"/>
        </w:rPr>
        <w:t>shall be designed on the basis of the legislation and regulations effective as at 1 January of the relevant year</w:t>
      </w:r>
      <w:r w:rsidRPr="00324AD7">
        <w:rPr>
          <w:sz w:val="24"/>
          <w:szCs w:val="24"/>
          <w:lang w:val="en-GB"/>
        </w:rPr>
        <w:t>.</w:t>
      </w:r>
    </w:p>
    <w:p w:rsidR="00C01602" w:rsidRPr="00324AD7" w:rsidRDefault="004E3E2D" w:rsidP="00BA55BC">
      <w:pPr>
        <w:pStyle w:val="NormalWeb"/>
        <w:spacing w:before="0" w:beforeAutospacing="0" w:after="0" w:afterAutospacing="0"/>
        <w:ind w:firstLine="709"/>
        <w:jc w:val="both"/>
      </w:pPr>
      <w:r w:rsidRPr="00324AD7">
        <w:rPr>
          <w:b/>
        </w:rPr>
        <w:t>Art.</w:t>
      </w:r>
      <w:r w:rsidR="00482B78" w:rsidRPr="00324AD7">
        <w:rPr>
          <w:b/>
        </w:rPr>
        <w:t xml:space="preserve"> </w:t>
      </w:r>
      <w:r w:rsidR="000F7F7D" w:rsidRPr="00324AD7">
        <w:rPr>
          <w:b/>
        </w:rPr>
        <w:t>14</w:t>
      </w:r>
      <w:r w:rsidR="00E01B66" w:rsidRPr="00324AD7">
        <w:rPr>
          <w:b/>
        </w:rPr>
        <w:t>.</w:t>
      </w:r>
      <w:r w:rsidR="00E01B66" w:rsidRPr="00324AD7">
        <w:t xml:space="preserve"> </w:t>
      </w:r>
      <w:r w:rsidR="00086126" w:rsidRPr="00324AD7">
        <w:t xml:space="preserve">(1) </w:t>
      </w:r>
      <w:r w:rsidR="007E2F1D" w:rsidRPr="00324AD7">
        <w:t>Each of the examinations under</w:t>
      </w:r>
      <w:r w:rsidR="00086126" w:rsidRPr="00324AD7">
        <w:t xml:space="preserve"> </w:t>
      </w:r>
      <w:r w:rsidRPr="00324AD7">
        <w:t>Art.</w:t>
      </w:r>
      <w:r w:rsidR="00482B78" w:rsidRPr="00324AD7">
        <w:t xml:space="preserve"> </w:t>
      </w:r>
      <w:r w:rsidR="00086126" w:rsidRPr="00324AD7">
        <w:t xml:space="preserve">15 </w:t>
      </w:r>
      <w:r w:rsidRPr="00324AD7">
        <w:t>paragraph</w:t>
      </w:r>
      <w:r w:rsidR="0029590D" w:rsidRPr="00324AD7">
        <w:t xml:space="preserve"> </w:t>
      </w:r>
      <w:r w:rsidR="00086126" w:rsidRPr="00324AD7">
        <w:t xml:space="preserve">1 </w:t>
      </w:r>
      <w:r w:rsidR="00CD77FC" w:rsidRPr="00324AD7">
        <w:t>of IFAA</w:t>
      </w:r>
      <w:r w:rsidR="00086126" w:rsidRPr="00324AD7">
        <w:t xml:space="preserve"> </w:t>
      </w:r>
      <w:r w:rsidR="007E2F1D" w:rsidRPr="00324AD7">
        <w:t>shall be held in writing</w:t>
      </w:r>
      <w:r w:rsidR="00C01602" w:rsidRPr="00324AD7">
        <w:t xml:space="preserve">, </w:t>
      </w:r>
      <w:r w:rsidR="007E2F1D" w:rsidRPr="00324AD7">
        <w:t>as provided for in</w:t>
      </w:r>
      <w:r w:rsidR="00C01602" w:rsidRPr="00324AD7">
        <w:t xml:space="preserve"> </w:t>
      </w:r>
      <w:r w:rsidRPr="00324AD7">
        <w:t>Art.</w:t>
      </w:r>
      <w:r w:rsidR="00482B78" w:rsidRPr="00324AD7">
        <w:t xml:space="preserve"> </w:t>
      </w:r>
      <w:r w:rsidR="00C01602" w:rsidRPr="00324AD7">
        <w:t xml:space="preserve">11 </w:t>
      </w:r>
      <w:r w:rsidR="007E2F1D" w:rsidRPr="00324AD7">
        <w:t>and</w:t>
      </w:r>
      <w:r w:rsidR="00C01602" w:rsidRPr="00324AD7">
        <w:t xml:space="preserve"> </w:t>
      </w:r>
      <w:r w:rsidRPr="00324AD7">
        <w:t>Art.</w:t>
      </w:r>
      <w:r w:rsidR="00482B78" w:rsidRPr="00324AD7">
        <w:t xml:space="preserve"> </w:t>
      </w:r>
      <w:r w:rsidR="000F7F7D" w:rsidRPr="00324AD7">
        <w:t xml:space="preserve">12 </w:t>
      </w:r>
      <w:r w:rsidR="00AD689B" w:rsidRPr="00324AD7">
        <w:t>of these Rules</w:t>
      </w:r>
      <w:r w:rsidR="007F66E3" w:rsidRPr="00324AD7">
        <w:t>.</w:t>
      </w:r>
    </w:p>
    <w:p w:rsidR="00C01602" w:rsidRPr="00324AD7" w:rsidRDefault="00C01602" w:rsidP="00BA55BC">
      <w:pPr>
        <w:pStyle w:val="NormalWeb"/>
        <w:spacing w:before="0" w:beforeAutospacing="0" w:after="0" w:afterAutospacing="0"/>
        <w:ind w:firstLine="709"/>
        <w:jc w:val="both"/>
      </w:pPr>
      <w:r w:rsidRPr="00324AD7">
        <w:t>(2)</w:t>
      </w:r>
      <w:r w:rsidR="00086126" w:rsidRPr="00324AD7">
        <w:t xml:space="preserve"> </w:t>
      </w:r>
      <w:r w:rsidR="007E2F1D" w:rsidRPr="00324AD7">
        <w:t>The accountancy examination shall be conducted in two stages</w:t>
      </w:r>
      <w:r w:rsidR="00E01B66" w:rsidRPr="00324AD7">
        <w:t>:</w:t>
      </w:r>
    </w:p>
    <w:p w:rsidR="00E01B66" w:rsidRPr="00324AD7" w:rsidRDefault="007E2F1D" w:rsidP="00BA55BC">
      <w:pPr>
        <w:pStyle w:val="NormalWeb"/>
        <w:numPr>
          <w:ilvl w:val="0"/>
          <w:numId w:val="39"/>
        </w:numPr>
        <w:tabs>
          <w:tab w:val="left" w:pos="993"/>
        </w:tabs>
        <w:spacing w:before="0" w:beforeAutospacing="0" w:after="0" w:afterAutospacing="0"/>
        <w:ind w:left="0" w:firstLine="709"/>
        <w:jc w:val="both"/>
        <w:rPr>
          <w:bCs/>
        </w:rPr>
      </w:pPr>
      <w:r w:rsidRPr="00324AD7">
        <w:t>First stage – a test comprising 60 closed-ended questions with four possible answers, of which only one answer is correct. The questions shall be split into two modules, with each module having two sets of questions evenly distributed depending on their relative weight</w:t>
      </w:r>
      <w:r w:rsidR="00E01B66" w:rsidRPr="00324AD7">
        <w:t>:</w:t>
      </w:r>
    </w:p>
    <w:p w:rsidR="00E01B66" w:rsidRPr="00324AD7" w:rsidRDefault="007E2F1D" w:rsidP="00BA55BC">
      <w:pPr>
        <w:pStyle w:val="NormalWeb"/>
        <w:spacing w:before="0" w:beforeAutospacing="0" w:after="0" w:afterAutospacing="0"/>
        <w:ind w:firstLine="709"/>
        <w:jc w:val="both"/>
      </w:pPr>
      <w:r w:rsidRPr="00324AD7">
        <w:t>a</w:t>
      </w:r>
      <w:r w:rsidR="00E01B66" w:rsidRPr="00324AD7">
        <w:t xml:space="preserve">) </w:t>
      </w:r>
      <w:r w:rsidRPr="00324AD7">
        <w:t>Module 1 containing questions on the Accountancy Act and the National Accounting Standards representing 50 per cent of the total number of questions</w:t>
      </w:r>
      <w:r w:rsidR="00E01B66" w:rsidRPr="00324AD7">
        <w:t>;</w:t>
      </w:r>
    </w:p>
    <w:p w:rsidR="00C01602" w:rsidRPr="00324AD7" w:rsidRDefault="007E2F1D" w:rsidP="00BA55BC">
      <w:pPr>
        <w:pStyle w:val="NormalWeb"/>
        <w:spacing w:before="0" w:beforeAutospacing="0" w:after="0" w:afterAutospacing="0"/>
        <w:ind w:firstLine="709"/>
        <w:jc w:val="both"/>
      </w:pPr>
      <w:r w:rsidRPr="00324AD7">
        <w:t>b</w:t>
      </w:r>
      <w:r w:rsidR="00E01B66" w:rsidRPr="00324AD7">
        <w:t xml:space="preserve">) </w:t>
      </w:r>
      <w:r w:rsidRPr="00324AD7">
        <w:t>Module 2 containing questions on the International Accounting Standards representing 50 per cent of the total number of questions</w:t>
      </w:r>
      <w:r w:rsidR="00E01B66" w:rsidRPr="00324AD7">
        <w:t>.</w:t>
      </w:r>
    </w:p>
    <w:p w:rsidR="00E01B66" w:rsidRPr="00324AD7" w:rsidRDefault="007E2F1D" w:rsidP="00BA55BC">
      <w:pPr>
        <w:pStyle w:val="NormalWeb"/>
        <w:numPr>
          <w:ilvl w:val="0"/>
          <w:numId w:val="39"/>
        </w:numPr>
        <w:tabs>
          <w:tab w:val="left" w:pos="993"/>
        </w:tabs>
        <w:spacing w:before="0" w:beforeAutospacing="0" w:after="0" w:afterAutospacing="0"/>
        <w:ind w:left="0" w:firstLine="709"/>
        <w:jc w:val="both"/>
      </w:pPr>
      <w:r w:rsidRPr="00324AD7">
        <w:t>Second stage – solving three open-ended questions and/or case studies.</w:t>
      </w:r>
    </w:p>
    <w:p w:rsidR="00E01B66" w:rsidRPr="00324AD7" w:rsidRDefault="00C01602" w:rsidP="00BA55BC">
      <w:pPr>
        <w:ind w:firstLine="709"/>
        <w:jc w:val="both"/>
        <w:rPr>
          <w:sz w:val="24"/>
          <w:szCs w:val="24"/>
          <w:lang w:val="en-GB"/>
        </w:rPr>
      </w:pPr>
      <w:r w:rsidRPr="00324AD7">
        <w:rPr>
          <w:sz w:val="24"/>
          <w:szCs w:val="24"/>
          <w:lang w:val="en-GB"/>
        </w:rPr>
        <w:t xml:space="preserve">(3) </w:t>
      </w:r>
      <w:r w:rsidR="00793A4E" w:rsidRPr="00324AD7">
        <w:rPr>
          <w:sz w:val="24"/>
          <w:szCs w:val="24"/>
          <w:lang w:val="en-GB"/>
        </w:rPr>
        <w:t>The independent financial audit examination shall be conducted in two stages</w:t>
      </w:r>
      <w:r w:rsidR="00E01B66" w:rsidRPr="00324AD7">
        <w:rPr>
          <w:sz w:val="24"/>
          <w:szCs w:val="24"/>
          <w:lang w:val="en-GB"/>
        </w:rPr>
        <w:t>:</w:t>
      </w:r>
    </w:p>
    <w:p w:rsidR="00E01B66" w:rsidRPr="00324AD7" w:rsidRDefault="00793A4E" w:rsidP="00BA55BC">
      <w:pPr>
        <w:pStyle w:val="NormalWeb"/>
        <w:numPr>
          <w:ilvl w:val="0"/>
          <w:numId w:val="41"/>
        </w:numPr>
        <w:tabs>
          <w:tab w:val="left" w:pos="993"/>
        </w:tabs>
        <w:spacing w:before="0" w:beforeAutospacing="0" w:after="0" w:afterAutospacing="0"/>
        <w:ind w:left="0" w:firstLine="709"/>
        <w:jc w:val="both"/>
      </w:pPr>
      <w:r w:rsidRPr="00324AD7">
        <w:t>First stage – a test comprising 60 closed-ended questions with four possible answers, of which only one answer is correct. The questions shall be split into two modules, with each module having two sets of questions evenly distributed depending on their relative weight</w:t>
      </w:r>
      <w:r w:rsidR="00E01B66" w:rsidRPr="00324AD7">
        <w:t>:</w:t>
      </w:r>
    </w:p>
    <w:p w:rsidR="00E01B66" w:rsidRPr="00324AD7" w:rsidRDefault="00793A4E" w:rsidP="00BA55BC">
      <w:pPr>
        <w:pStyle w:val="NormalWeb"/>
        <w:spacing w:before="0" w:beforeAutospacing="0" w:after="0" w:afterAutospacing="0"/>
        <w:ind w:firstLine="709"/>
        <w:jc w:val="both"/>
      </w:pPr>
      <w:r w:rsidRPr="00324AD7">
        <w:t>a</w:t>
      </w:r>
      <w:r w:rsidR="00E01B66" w:rsidRPr="00324AD7">
        <w:t xml:space="preserve">) </w:t>
      </w:r>
      <w:r w:rsidR="00CC1A90" w:rsidRPr="00324AD7">
        <w:t>Module 1 containing questions on the Independent Financial Audit Act and the Code of Ethics for Professional Accountants, issued by the International Federation of Accountants (IFAC) through the International Ethics Standards Board for Accountants (IESBA), representing 30 per cent of the total number of questions</w:t>
      </w:r>
      <w:r w:rsidR="00E01B66" w:rsidRPr="00324AD7">
        <w:t>;</w:t>
      </w:r>
    </w:p>
    <w:p w:rsidR="00E01B66" w:rsidRPr="00324AD7" w:rsidRDefault="00793A4E" w:rsidP="00BA55BC">
      <w:pPr>
        <w:pStyle w:val="NormalWeb"/>
        <w:spacing w:before="0" w:beforeAutospacing="0" w:after="0" w:afterAutospacing="0"/>
        <w:ind w:firstLine="709"/>
        <w:jc w:val="both"/>
      </w:pPr>
      <w:r w:rsidRPr="00324AD7">
        <w:t>b</w:t>
      </w:r>
      <w:r w:rsidR="00E01B66" w:rsidRPr="00324AD7">
        <w:t xml:space="preserve">) </w:t>
      </w:r>
      <w:r w:rsidR="00CC1A90" w:rsidRPr="00324AD7">
        <w:t>Module 2 containing questions on the International Standards on Quality Control, Auditing, Review, Other Assurance and Related Services, representing 70 per cent of the total number of questions</w:t>
      </w:r>
      <w:r w:rsidR="00E01B66" w:rsidRPr="00324AD7">
        <w:t>.</w:t>
      </w:r>
    </w:p>
    <w:p w:rsidR="00E01B66" w:rsidRPr="00324AD7" w:rsidRDefault="00CC1A90" w:rsidP="00BA55BC">
      <w:pPr>
        <w:pStyle w:val="NormalWeb"/>
        <w:numPr>
          <w:ilvl w:val="0"/>
          <w:numId w:val="41"/>
        </w:numPr>
        <w:tabs>
          <w:tab w:val="left" w:pos="993"/>
        </w:tabs>
        <w:spacing w:before="0" w:beforeAutospacing="0" w:after="0" w:afterAutospacing="0"/>
        <w:ind w:left="0" w:firstLine="709"/>
        <w:jc w:val="both"/>
      </w:pPr>
      <w:r w:rsidRPr="00324AD7">
        <w:t>Second stage – solving three open-ended questions and/or case studies</w:t>
      </w:r>
      <w:r w:rsidR="00E01B66" w:rsidRPr="00324AD7">
        <w:t>.</w:t>
      </w:r>
    </w:p>
    <w:p w:rsidR="00E01B66" w:rsidRPr="00324AD7" w:rsidRDefault="00C01602" w:rsidP="00BA55BC">
      <w:pPr>
        <w:pStyle w:val="NormalWeb"/>
        <w:spacing w:before="0" w:beforeAutospacing="0" w:after="0" w:afterAutospacing="0"/>
        <w:ind w:firstLine="709"/>
        <w:jc w:val="both"/>
      </w:pPr>
      <w:r w:rsidRPr="00324AD7">
        <w:t xml:space="preserve">(4) </w:t>
      </w:r>
      <w:r w:rsidR="007E174C" w:rsidRPr="00324AD7">
        <w:t>The commercial law examination shall be conducted by solving a test containing 100 closed-ended questions with four possible answers, of which only one answer is correct. The questions shall be split into 5 modules, with each module having two sets of questions evenly distributed depending on their relative weight</w:t>
      </w:r>
      <w:r w:rsidR="00E01B66" w:rsidRPr="00324AD7">
        <w:t>:</w:t>
      </w:r>
    </w:p>
    <w:p w:rsidR="00E01B66" w:rsidRPr="00324AD7" w:rsidRDefault="007E174C" w:rsidP="00BA55BC">
      <w:pPr>
        <w:pStyle w:val="NormalWeb"/>
        <w:spacing w:before="0" w:beforeAutospacing="0" w:after="0" w:afterAutospacing="0"/>
        <w:ind w:firstLine="709"/>
        <w:jc w:val="both"/>
      </w:pPr>
      <w:r w:rsidRPr="00324AD7">
        <w:t>a</w:t>
      </w:r>
      <w:r w:rsidR="00E01B66" w:rsidRPr="00324AD7">
        <w:t xml:space="preserve">) </w:t>
      </w:r>
      <w:r w:rsidRPr="00324AD7">
        <w:t xml:space="preserve">Module 1 containing questions on the </w:t>
      </w:r>
      <w:r w:rsidRPr="00324AD7">
        <w:rPr>
          <w:i/>
        </w:rPr>
        <w:t>General Part</w:t>
      </w:r>
      <w:r w:rsidRPr="00324AD7">
        <w:t xml:space="preserve"> and </w:t>
      </w:r>
      <w:r w:rsidRPr="00324AD7">
        <w:rPr>
          <w:i/>
        </w:rPr>
        <w:t>Types of Merchants</w:t>
      </w:r>
      <w:r w:rsidRPr="00324AD7">
        <w:t xml:space="preserve"> Part of the Commerce Act, representing 36 per cent of the total number of questions</w:t>
      </w:r>
      <w:r w:rsidR="00E01B66" w:rsidRPr="00324AD7">
        <w:t>;</w:t>
      </w:r>
    </w:p>
    <w:p w:rsidR="00E01B66" w:rsidRPr="00324AD7" w:rsidRDefault="007E174C" w:rsidP="00BA55BC">
      <w:pPr>
        <w:pStyle w:val="NormalWeb"/>
        <w:spacing w:before="0" w:beforeAutospacing="0" w:after="0" w:afterAutospacing="0"/>
        <w:ind w:firstLine="709"/>
        <w:jc w:val="both"/>
      </w:pPr>
      <w:r w:rsidRPr="00324AD7">
        <w:t>b</w:t>
      </w:r>
      <w:r w:rsidR="00E01B66" w:rsidRPr="00324AD7">
        <w:t xml:space="preserve">) </w:t>
      </w:r>
      <w:r w:rsidRPr="00324AD7">
        <w:t xml:space="preserve">Module 2 containing questions from the area on transformation of commercial companies from Part Two </w:t>
      </w:r>
      <w:r w:rsidRPr="00324AD7">
        <w:rPr>
          <w:i/>
        </w:rPr>
        <w:t>Types of Merchants</w:t>
      </w:r>
      <w:r w:rsidRPr="00324AD7">
        <w:t xml:space="preserve"> of the Commerce Act, representing 10 per cent of the total number of questions</w:t>
      </w:r>
      <w:r w:rsidR="00E01B66" w:rsidRPr="00324AD7">
        <w:t>;</w:t>
      </w:r>
    </w:p>
    <w:p w:rsidR="00E01B66" w:rsidRPr="00324AD7" w:rsidRDefault="007E174C" w:rsidP="00BA55BC">
      <w:pPr>
        <w:pStyle w:val="NormalWeb"/>
        <w:spacing w:before="0" w:beforeAutospacing="0" w:after="0" w:afterAutospacing="0"/>
        <w:ind w:firstLine="709"/>
        <w:jc w:val="both"/>
      </w:pPr>
      <w:r w:rsidRPr="00324AD7">
        <w:t>c</w:t>
      </w:r>
      <w:r w:rsidR="00E01B66" w:rsidRPr="00324AD7">
        <w:t xml:space="preserve">) </w:t>
      </w:r>
      <w:r w:rsidRPr="00324AD7">
        <w:t xml:space="preserve">Module 3 containing questions on Part Three </w:t>
      </w:r>
      <w:r w:rsidRPr="00324AD7">
        <w:rPr>
          <w:i/>
        </w:rPr>
        <w:t>Commercial Transactions</w:t>
      </w:r>
      <w:r w:rsidRPr="00324AD7">
        <w:t xml:space="preserve"> of the Commerce Act, representing 36 per cent of the total number of questions</w:t>
      </w:r>
      <w:r w:rsidR="00E01B66" w:rsidRPr="00324AD7">
        <w:t>;</w:t>
      </w:r>
    </w:p>
    <w:p w:rsidR="00E01B66" w:rsidRPr="00324AD7" w:rsidRDefault="007E174C" w:rsidP="00BA55BC">
      <w:pPr>
        <w:pStyle w:val="NormalWeb"/>
        <w:spacing w:before="0" w:beforeAutospacing="0" w:after="0" w:afterAutospacing="0"/>
        <w:ind w:firstLine="709"/>
        <w:jc w:val="both"/>
      </w:pPr>
      <w:r w:rsidRPr="00324AD7">
        <w:t>d</w:t>
      </w:r>
      <w:r w:rsidR="00E01B66" w:rsidRPr="00324AD7">
        <w:t xml:space="preserve">) </w:t>
      </w:r>
      <w:r w:rsidRPr="00324AD7">
        <w:t xml:space="preserve">Module 4 containing questions on the </w:t>
      </w:r>
      <w:r w:rsidRPr="00324AD7">
        <w:rPr>
          <w:i/>
        </w:rPr>
        <w:t>Bankruptcy</w:t>
      </w:r>
      <w:r w:rsidRPr="00324AD7">
        <w:t xml:space="preserve"> and </w:t>
      </w:r>
      <w:r w:rsidRPr="00324AD7">
        <w:rPr>
          <w:i/>
        </w:rPr>
        <w:t>Reconstruction Proceedings</w:t>
      </w:r>
      <w:r w:rsidRPr="00324AD7">
        <w:t xml:space="preserve"> of the Commerce Act, representing 14 per cent of the total number of questions</w:t>
      </w:r>
      <w:r w:rsidR="00E01B66" w:rsidRPr="00324AD7">
        <w:t>;</w:t>
      </w:r>
    </w:p>
    <w:p w:rsidR="00E01B66" w:rsidRPr="00324AD7" w:rsidRDefault="007E174C" w:rsidP="00BA55BC">
      <w:pPr>
        <w:pStyle w:val="NormalWeb"/>
        <w:spacing w:before="0" w:beforeAutospacing="0" w:after="0" w:afterAutospacing="0"/>
        <w:ind w:firstLine="709"/>
        <w:jc w:val="both"/>
      </w:pPr>
      <w:r w:rsidRPr="00324AD7">
        <w:lastRenderedPageBreak/>
        <w:t>e</w:t>
      </w:r>
      <w:r w:rsidR="00E01B66" w:rsidRPr="00324AD7">
        <w:t xml:space="preserve">) </w:t>
      </w:r>
      <w:r w:rsidRPr="00324AD7">
        <w:t>Module 5 containing questions from the area on specific commercial law, representing 4 per cent of the total number of questions</w:t>
      </w:r>
      <w:r w:rsidR="00E01B66" w:rsidRPr="00324AD7">
        <w:t>.</w:t>
      </w:r>
    </w:p>
    <w:p w:rsidR="00E01B66" w:rsidRPr="00324AD7" w:rsidRDefault="00C01602" w:rsidP="00BA55BC">
      <w:pPr>
        <w:pStyle w:val="NormalWeb"/>
        <w:spacing w:before="0" w:beforeAutospacing="0" w:after="0" w:afterAutospacing="0"/>
        <w:ind w:firstLine="709"/>
        <w:jc w:val="both"/>
      </w:pPr>
      <w:r w:rsidRPr="00324AD7">
        <w:t xml:space="preserve">(5) </w:t>
      </w:r>
      <w:r w:rsidR="00B0342F" w:rsidRPr="00324AD7">
        <w:t>The tax and social security law examination shall be conducted by solving a test containing 80 closed-ended questions with four possible answers, of which only one answer is correct. The questions shall be split into 6 modules, with each module having two sets of questions evenly distributed depending on their relative weight</w:t>
      </w:r>
      <w:r w:rsidR="00E01B66" w:rsidRPr="00324AD7">
        <w:t>:</w:t>
      </w:r>
    </w:p>
    <w:p w:rsidR="00E01B66" w:rsidRPr="00324AD7" w:rsidRDefault="00BB58F3" w:rsidP="00BA55BC">
      <w:pPr>
        <w:pStyle w:val="NormalWeb"/>
        <w:spacing w:before="0" w:beforeAutospacing="0" w:after="0" w:afterAutospacing="0"/>
        <w:ind w:firstLine="709"/>
        <w:jc w:val="both"/>
      </w:pPr>
      <w:r w:rsidRPr="00324AD7">
        <w:t>a</w:t>
      </w:r>
      <w:r w:rsidR="00E01B66" w:rsidRPr="00324AD7">
        <w:t xml:space="preserve">) </w:t>
      </w:r>
      <w:r w:rsidRPr="00324AD7">
        <w:t>Module 1 containing questions on the Tax and Social Security Proceedings Code, representing 7 per cent of the total number of questions</w:t>
      </w:r>
      <w:r w:rsidR="00E01B66" w:rsidRPr="00324AD7">
        <w:t>;</w:t>
      </w:r>
    </w:p>
    <w:p w:rsidR="00E01B66" w:rsidRPr="00324AD7" w:rsidRDefault="00BB58F3" w:rsidP="00BA55BC">
      <w:pPr>
        <w:pStyle w:val="NormalWeb"/>
        <w:spacing w:before="0" w:beforeAutospacing="0" w:after="0" w:afterAutospacing="0"/>
        <w:ind w:firstLine="709"/>
        <w:jc w:val="both"/>
      </w:pPr>
      <w:r w:rsidRPr="00324AD7">
        <w:t>b</w:t>
      </w:r>
      <w:r w:rsidR="00E01B66" w:rsidRPr="00324AD7">
        <w:t xml:space="preserve">) </w:t>
      </w:r>
      <w:r w:rsidRPr="00324AD7">
        <w:t>Module 2 containing questions from the area on corporate income tax, representing 38 per cent of the total number of questions</w:t>
      </w:r>
      <w:r w:rsidR="00E01B66" w:rsidRPr="00324AD7">
        <w:t>;</w:t>
      </w:r>
    </w:p>
    <w:p w:rsidR="00E01B66" w:rsidRPr="00324AD7" w:rsidRDefault="00BB58F3" w:rsidP="00BA55BC">
      <w:pPr>
        <w:pStyle w:val="NormalWeb"/>
        <w:spacing w:before="0" w:beforeAutospacing="0" w:after="0" w:afterAutospacing="0"/>
        <w:ind w:firstLine="709"/>
        <w:jc w:val="both"/>
      </w:pPr>
      <w:r w:rsidRPr="00324AD7">
        <w:t>c</w:t>
      </w:r>
      <w:r w:rsidR="00E01B66" w:rsidRPr="00324AD7">
        <w:t xml:space="preserve">) </w:t>
      </w:r>
      <w:r w:rsidRPr="00324AD7">
        <w:t>Module 3 containing questions from the area on value added tax, representing 30 per cent of the total number of questions</w:t>
      </w:r>
      <w:r w:rsidR="00E01B66" w:rsidRPr="00324AD7">
        <w:t>;</w:t>
      </w:r>
    </w:p>
    <w:p w:rsidR="00E01B66" w:rsidRPr="00324AD7" w:rsidRDefault="00BB58F3" w:rsidP="00BA55BC">
      <w:pPr>
        <w:pStyle w:val="NormalWeb"/>
        <w:spacing w:before="0" w:beforeAutospacing="0" w:after="0" w:afterAutospacing="0"/>
        <w:ind w:firstLine="709"/>
        <w:jc w:val="both"/>
      </w:pPr>
      <w:r w:rsidRPr="00324AD7">
        <w:t>d</w:t>
      </w:r>
      <w:r w:rsidR="00E01B66" w:rsidRPr="00324AD7">
        <w:t xml:space="preserve">) </w:t>
      </w:r>
      <w:r w:rsidRPr="00324AD7">
        <w:t>Module 4 containing questions from the area on natural person income tax, representing 13 per cent of the total number of questions</w:t>
      </w:r>
      <w:r w:rsidR="00E01B66" w:rsidRPr="00324AD7">
        <w:t>;</w:t>
      </w:r>
    </w:p>
    <w:p w:rsidR="00E01B66" w:rsidRPr="00324AD7" w:rsidRDefault="00BB58F3" w:rsidP="00BA55BC">
      <w:pPr>
        <w:pStyle w:val="NormalWeb"/>
        <w:spacing w:before="0" w:beforeAutospacing="0" w:after="0" w:afterAutospacing="0"/>
        <w:ind w:firstLine="709"/>
        <w:jc w:val="both"/>
      </w:pPr>
      <w:r w:rsidRPr="00324AD7">
        <w:t>e</w:t>
      </w:r>
      <w:r w:rsidR="00E01B66" w:rsidRPr="00324AD7">
        <w:t xml:space="preserve">) </w:t>
      </w:r>
      <w:r w:rsidRPr="00324AD7">
        <w:t>Module 5 containing questions from the area on local tax, representing 5 per cent of the total number of questions</w:t>
      </w:r>
      <w:r w:rsidR="00E01B66" w:rsidRPr="00324AD7">
        <w:t>;</w:t>
      </w:r>
    </w:p>
    <w:p w:rsidR="00E01B66" w:rsidRPr="00324AD7" w:rsidRDefault="00BB58F3" w:rsidP="00BA55BC">
      <w:pPr>
        <w:pStyle w:val="NormalWeb"/>
        <w:spacing w:before="0" w:beforeAutospacing="0" w:after="0" w:afterAutospacing="0"/>
        <w:ind w:firstLine="709"/>
        <w:jc w:val="both"/>
      </w:pPr>
      <w:r w:rsidRPr="00324AD7">
        <w:t>f</w:t>
      </w:r>
      <w:r w:rsidR="00E01B66" w:rsidRPr="00324AD7">
        <w:t xml:space="preserve">) </w:t>
      </w:r>
      <w:r w:rsidRPr="00324AD7">
        <w:t>Module 6 containing questions from the area on social security, representing 7 per cent of the total number of questions</w:t>
      </w:r>
      <w:r w:rsidR="00E01B66" w:rsidRPr="00324AD7">
        <w:t>.</w:t>
      </w:r>
    </w:p>
    <w:p w:rsidR="00E01B66" w:rsidRPr="00324AD7" w:rsidRDefault="004E3E2D" w:rsidP="00BA55BC">
      <w:pPr>
        <w:ind w:firstLine="709"/>
        <w:jc w:val="both"/>
        <w:rPr>
          <w:sz w:val="24"/>
          <w:szCs w:val="24"/>
          <w:lang w:val="en-GB"/>
        </w:rPr>
      </w:pPr>
      <w:r w:rsidRPr="00324AD7">
        <w:rPr>
          <w:rFonts w:eastAsia="Calibri"/>
          <w:b/>
          <w:sz w:val="24"/>
          <w:szCs w:val="24"/>
          <w:lang w:val="en-GB" w:eastAsia="en-US"/>
        </w:rPr>
        <w:t>Art.</w:t>
      </w:r>
      <w:r w:rsidR="00E01B66" w:rsidRPr="00324AD7">
        <w:rPr>
          <w:rFonts w:eastAsia="Calibri"/>
          <w:b/>
          <w:sz w:val="24"/>
          <w:szCs w:val="24"/>
          <w:lang w:val="en-GB" w:eastAsia="en-US"/>
        </w:rPr>
        <w:t xml:space="preserve"> </w:t>
      </w:r>
      <w:r w:rsidR="000F7F7D" w:rsidRPr="00324AD7">
        <w:rPr>
          <w:rFonts w:eastAsia="Calibri"/>
          <w:b/>
          <w:sz w:val="24"/>
          <w:szCs w:val="24"/>
          <w:lang w:val="en-GB" w:eastAsia="en-US"/>
        </w:rPr>
        <w:t>15</w:t>
      </w:r>
      <w:r w:rsidR="00E01B66" w:rsidRPr="00324AD7">
        <w:rPr>
          <w:rFonts w:eastAsia="Calibri"/>
          <w:b/>
          <w:sz w:val="24"/>
          <w:szCs w:val="24"/>
          <w:lang w:val="en-GB" w:eastAsia="en-US"/>
        </w:rPr>
        <w:t>.</w:t>
      </w:r>
      <w:r w:rsidR="00E01B66" w:rsidRPr="00324AD7">
        <w:rPr>
          <w:sz w:val="24"/>
          <w:szCs w:val="24"/>
          <w:lang w:val="en-GB"/>
        </w:rPr>
        <w:t xml:space="preserve"> (1) </w:t>
      </w:r>
      <w:r w:rsidR="00F52B98" w:rsidRPr="00324AD7">
        <w:rPr>
          <w:sz w:val="24"/>
          <w:szCs w:val="24"/>
          <w:lang w:val="en-GB"/>
        </w:rPr>
        <w:t>For each examination, save for the second stages of the examinations in accountancy and independent financial audit, the information system shall generate, on a random basis, from the data base, an individual version of a test containing questions for each candidate</w:t>
      </w:r>
      <w:r w:rsidR="00312978" w:rsidRPr="00324AD7">
        <w:rPr>
          <w:sz w:val="24"/>
          <w:szCs w:val="24"/>
          <w:lang w:val="en-GB"/>
        </w:rPr>
        <w:t>.</w:t>
      </w:r>
    </w:p>
    <w:p w:rsidR="00E01B66" w:rsidRPr="00324AD7" w:rsidRDefault="00E01B66" w:rsidP="00BA55BC">
      <w:pPr>
        <w:pStyle w:val="NormalWeb"/>
        <w:spacing w:before="0" w:beforeAutospacing="0" w:after="0" w:afterAutospacing="0"/>
        <w:ind w:firstLine="709"/>
        <w:jc w:val="both"/>
      </w:pPr>
      <w:r w:rsidRPr="00324AD7" w:rsidDel="00E52B04">
        <w:t xml:space="preserve"> </w:t>
      </w:r>
      <w:r w:rsidRPr="00324AD7">
        <w:t xml:space="preserve">(2) </w:t>
      </w:r>
      <w:r w:rsidR="00F52B98" w:rsidRPr="00324AD7">
        <w:t xml:space="preserve">The marks which measure the </w:t>
      </w:r>
      <w:r w:rsidR="00533BCA" w:rsidRPr="00324AD7">
        <w:t xml:space="preserve">complexity and </w:t>
      </w:r>
      <w:r w:rsidR="00F52B98" w:rsidRPr="00324AD7">
        <w:t>difficulty of the questions</w:t>
      </w:r>
      <w:r w:rsidR="00533BCA" w:rsidRPr="00324AD7">
        <w:t>/case studies</w:t>
      </w:r>
      <w:r w:rsidR="00F52B98" w:rsidRPr="00324AD7">
        <w:t xml:space="preserve"> shall be announced in the relevant test</w:t>
      </w:r>
      <w:r w:rsidRPr="00324AD7">
        <w:t xml:space="preserve">, </w:t>
      </w:r>
      <w:r w:rsidR="00533BCA" w:rsidRPr="00324AD7">
        <w:t>with each individual version meeting the requirements specified in</w:t>
      </w:r>
      <w:r w:rsidR="00DC575A" w:rsidRPr="00324AD7">
        <w:t xml:space="preserve"> </w:t>
      </w:r>
      <w:r w:rsidR="004E3E2D" w:rsidRPr="00324AD7">
        <w:t>Art.</w:t>
      </w:r>
      <w:r w:rsidR="00DC575A" w:rsidRPr="00324AD7">
        <w:t xml:space="preserve"> </w:t>
      </w:r>
      <w:r w:rsidR="000F7F7D" w:rsidRPr="00324AD7">
        <w:t>14</w:t>
      </w:r>
      <w:r w:rsidR="00134867" w:rsidRPr="00324AD7">
        <w:t xml:space="preserve"> </w:t>
      </w:r>
      <w:r w:rsidR="00533BCA" w:rsidRPr="00324AD7">
        <w:t>for the relevant examination</w:t>
      </w:r>
      <w:r w:rsidR="00210C57" w:rsidRPr="00324AD7">
        <w:t>.</w:t>
      </w:r>
    </w:p>
    <w:p w:rsidR="00E01B66" w:rsidRPr="00324AD7" w:rsidRDefault="004E3E2D" w:rsidP="00BA55BC">
      <w:pPr>
        <w:pStyle w:val="NormalWeb"/>
        <w:spacing w:before="0" w:beforeAutospacing="0" w:after="0" w:afterAutospacing="0"/>
        <w:ind w:firstLine="709"/>
        <w:jc w:val="both"/>
      </w:pPr>
      <w:r w:rsidRPr="00324AD7">
        <w:rPr>
          <w:b/>
        </w:rPr>
        <w:t>Art.</w:t>
      </w:r>
      <w:r w:rsidR="00E01B66" w:rsidRPr="00324AD7">
        <w:rPr>
          <w:b/>
        </w:rPr>
        <w:t xml:space="preserve"> </w:t>
      </w:r>
      <w:r w:rsidR="000F7F7D" w:rsidRPr="00324AD7">
        <w:rPr>
          <w:b/>
        </w:rPr>
        <w:t>16</w:t>
      </w:r>
      <w:r w:rsidR="00E01B66" w:rsidRPr="00324AD7">
        <w:rPr>
          <w:b/>
        </w:rPr>
        <w:t>.</w:t>
      </w:r>
      <w:r w:rsidR="00E01B66" w:rsidRPr="00324AD7">
        <w:t xml:space="preserve"> </w:t>
      </w:r>
      <w:r w:rsidR="00533BCA" w:rsidRPr="00324AD7">
        <w:t>The duration of the examinations shall be as follows</w:t>
      </w:r>
      <w:r w:rsidR="00E01B66" w:rsidRPr="00324AD7">
        <w:t>:</w:t>
      </w:r>
    </w:p>
    <w:p w:rsidR="00E01B66" w:rsidRPr="00324AD7" w:rsidRDefault="00533BCA" w:rsidP="00BA55BC">
      <w:pPr>
        <w:numPr>
          <w:ilvl w:val="0"/>
          <w:numId w:val="9"/>
        </w:numPr>
        <w:tabs>
          <w:tab w:val="left" w:pos="993"/>
        </w:tabs>
        <w:ind w:left="0" w:firstLine="709"/>
        <w:jc w:val="both"/>
        <w:rPr>
          <w:sz w:val="24"/>
          <w:szCs w:val="24"/>
          <w:lang w:val="en-GB"/>
        </w:rPr>
      </w:pPr>
      <w:r w:rsidRPr="00324AD7">
        <w:rPr>
          <w:sz w:val="24"/>
          <w:szCs w:val="24"/>
          <w:lang w:val="en-GB"/>
        </w:rPr>
        <w:t>First stage of the accountancy examination (closed-ended question test) – 4 hours</w:t>
      </w:r>
      <w:r w:rsidR="00E01B66" w:rsidRPr="00324AD7">
        <w:rPr>
          <w:sz w:val="24"/>
          <w:szCs w:val="24"/>
          <w:lang w:val="en-GB"/>
        </w:rPr>
        <w:t>;</w:t>
      </w:r>
    </w:p>
    <w:p w:rsidR="00E01B66" w:rsidRPr="00324AD7" w:rsidRDefault="00533BCA" w:rsidP="00BA55BC">
      <w:pPr>
        <w:numPr>
          <w:ilvl w:val="0"/>
          <w:numId w:val="9"/>
        </w:numPr>
        <w:tabs>
          <w:tab w:val="left" w:pos="993"/>
        </w:tabs>
        <w:ind w:left="0" w:firstLine="709"/>
        <w:jc w:val="both"/>
        <w:rPr>
          <w:sz w:val="24"/>
          <w:szCs w:val="24"/>
          <w:lang w:val="en-GB"/>
        </w:rPr>
      </w:pPr>
      <w:r w:rsidRPr="00324AD7">
        <w:rPr>
          <w:sz w:val="24"/>
          <w:szCs w:val="24"/>
          <w:lang w:val="en-GB"/>
        </w:rPr>
        <w:t>Second stage of the accountancy examination (open-ended questions or case studies)</w:t>
      </w:r>
      <w:r w:rsidR="00E01B66" w:rsidRPr="00324AD7">
        <w:rPr>
          <w:sz w:val="24"/>
          <w:szCs w:val="24"/>
          <w:lang w:val="en-GB"/>
        </w:rPr>
        <w:t xml:space="preserve"> – </w:t>
      </w:r>
      <w:r w:rsidR="007142A0" w:rsidRPr="00324AD7">
        <w:rPr>
          <w:sz w:val="24"/>
          <w:szCs w:val="24"/>
          <w:lang w:val="en-GB"/>
        </w:rPr>
        <w:t xml:space="preserve">4 </w:t>
      </w:r>
      <w:r w:rsidRPr="00324AD7">
        <w:rPr>
          <w:sz w:val="24"/>
          <w:szCs w:val="24"/>
          <w:lang w:val="en-GB"/>
        </w:rPr>
        <w:t>hours</w:t>
      </w:r>
      <w:r w:rsidR="00E01B66" w:rsidRPr="00324AD7">
        <w:rPr>
          <w:sz w:val="24"/>
          <w:szCs w:val="24"/>
          <w:lang w:val="en-GB"/>
        </w:rPr>
        <w:t>;</w:t>
      </w:r>
    </w:p>
    <w:p w:rsidR="00E01B66" w:rsidRPr="00324AD7" w:rsidRDefault="00533BCA" w:rsidP="00BA55BC">
      <w:pPr>
        <w:numPr>
          <w:ilvl w:val="0"/>
          <w:numId w:val="9"/>
        </w:numPr>
        <w:tabs>
          <w:tab w:val="left" w:pos="993"/>
        </w:tabs>
        <w:ind w:left="0" w:firstLine="709"/>
        <w:jc w:val="both"/>
        <w:rPr>
          <w:sz w:val="24"/>
          <w:szCs w:val="24"/>
          <w:lang w:val="en-GB"/>
        </w:rPr>
      </w:pPr>
      <w:r w:rsidRPr="00324AD7">
        <w:rPr>
          <w:sz w:val="24"/>
          <w:szCs w:val="24"/>
          <w:lang w:val="en-GB"/>
        </w:rPr>
        <w:t>First stage of the independent financial audit examination (closed-ended question test) – 4 hours</w:t>
      </w:r>
      <w:r w:rsidR="00E01B66" w:rsidRPr="00324AD7">
        <w:rPr>
          <w:sz w:val="24"/>
          <w:szCs w:val="24"/>
          <w:lang w:val="en-GB"/>
        </w:rPr>
        <w:t>;</w:t>
      </w:r>
    </w:p>
    <w:p w:rsidR="007142A0" w:rsidRPr="00324AD7" w:rsidRDefault="00533BCA" w:rsidP="00BA55BC">
      <w:pPr>
        <w:numPr>
          <w:ilvl w:val="0"/>
          <w:numId w:val="9"/>
        </w:numPr>
        <w:tabs>
          <w:tab w:val="left" w:pos="993"/>
        </w:tabs>
        <w:ind w:left="0" w:firstLine="709"/>
        <w:jc w:val="both"/>
        <w:rPr>
          <w:sz w:val="24"/>
          <w:szCs w:val="24"/>
          <w:lang w:val="en-GB"/>
        </w:rPr>
      </w:pPr>
      <w:r w:rsidRPr="00324AD7">
        <w:rPr>
          <w:sz w:val="24"/>
          <w:szCs w:val="24"/>
          <w:lang w:val="en-GB"/>
        </w:rPr>
        <w:t>Second stage of the independent financial audit examination (open-ended questions or case studies) –</w:t>
      </w:r>
      <w:r w:rsidR="00E01B66" w:rsidRPr="00324AD7">
        <w:rPr>
          <w:sz w:val="24"/>
          <w:szCs w:val="24"/>
          <w:lang w:val="en-GB"/>
        </w:rPr>
        <w:t xml:space="preserve"> </w:t>
      </w:r>
      <w:r w:rsidR="007142A0" w:rsidRPr="00324AD7">
        <w:rPr>
          <w:sz w:val="24"/>
          <w:szCs w:val="24"/>
          <w:lang w:val="en-GB"/>
        </w:rPr>
        <w:t xml:space="preserve">4 </w:t>
      </w:r>
      <w:r w:rsidRPr="00324AD7">
        <w:rPr>
          <w:sz w:val="24"/>
          <w:szCs w:val="24"/>
          <w:lang w:val="en-GB"/>
        </w:rPr>
        <w:t>hours</w:t>
      </w:r>
      <w:r w:rsidR="007142A0" w:rsidRPr="00324AD7">
        <w:rPr>
          <w:sz w:val="24"/>
          <w:szCs w:val="24"/>
          <w:lang w:val="en-GB"/>
        </w:rPr>
        <w:t>;</w:t>
      </w:r>
    </w:p>
    <w:p w:rsidR="00E01B66" w:rsidRPr="00324AD7" w:rsidRDefault="00533BCA" w:rsidP="00BA55BC">
      <w:pPr>
        <w:numPr>
          <w:ilvl w:val="0"/>
          <w:numId w:val="9"/>
        </w:numPr>
        <w:tabs>
          <w:tab w:val="left" w:pos="993"/>
        </w:tabs>
        <w:ind w:left="0" w:firstLine="709"/>
        <w:jc w:val="both"/>
        <w:rPr>
          <w:sz w:val="24"/>
          <w:szCs w:val="24"/>
          <w:lang w:val="en-GB"/>
        </w:rPr>
      </w:pPr>
      <w:r w:rsidRPr="00324AD7">
        <w:rPr>
          <w:sz w:val="24"/>
          <w:szCs w:val="24"/>
          <w:lang w:val="en-GB"/>
        </w:rPr>
        <w:t>Commercial law examination (closed-ended question test) –</w:t>
      </w:r>
      <w:r w:rsidR="00E01B66" w:rsidRPr="00324AD7">
        <w:rPr>
          <w:sz w:val="24"/>
          <w:szCs w:val="24"/>
          <w:lang w:val="en-GB"/>
        </w:rPr>
        <w:t xml:space="preserve"> </w:t>
      </w:r>
      <w:r w:rsidRPr="00324AD7">
        <w:rPr>
          <w:sz w:val="24"/>
          <w:szCs w:val="24"/>
          <w:lang w:val="en-GB"/>
        </w:rPr>
        <w:t>three hours</w:t>
      </w:r>
      <w:r w:rsidR="00E01B66" w:rsidRPr="00324AD7">
        <w:rPr>
          <w:sz w:val="24"/>
          <w:szCs w:val="24"/>
          <w:lang w:val="en-GB"/>
        </w:rPr>
        <w:t>;</w:t>
      </w:r>
    </w:p>
    <w:p w:rsidR="00E01B66" w:rsidRPr="00324AD7" w:rsidRDefault="00533BCA" w:rsidP="00BA55BC">
      <w:pPr>
        <w:numPr>
          <w:ilvl w:val="0"/>
          <w:numId w:val="9"/>
        </w:numPr>
        <w:tabs>
          <w:tab w:val="left" w:pos="993"/>
        </w:tabs>
        <w:ind w:left="0" w:firstLine="709"/>
        <w:jc w:val="both"/>
        <w:rPr>
          <w:sz w:val="24"/>
          <w:szCs w:val="24"/>
          <w:lang w:val="en-GB"/>
        </w:rPr>
      </w:pPr>
      <w:r w:rsidRPr="00324AD7">
        <w:rPr>
          <w:sz w:val="24"/>
          <w:szCs w:val="24"/>
          <w:lang w:val="en-GB"/>
        </w:rPr>
        <w:t xml:space="preserve">Tax and social security law examination (closed-ended question test) </w:t>
      </w:r>
      <w:r w:rsidR="00E01B66" w:rsidRPr="00324AD7">
        <w:rPr>
          <w:sz w:val="24"/>
          <w:szCs w:val="24"/>
          <w:lang w:val="en-GB"/>
        </w:rPr>
        <w:t xml:space="preserve">– 5 </w:t>
      </w:r>
      <w:r w:rsidRPr="00324AD7">
        <w:rPr>
          <w:sz w:val="24"/>
          <w:szCs w:val="24"/>
          <w:lang w:val="en-GB"/>
        </w:rPr>
        <w:t>hours</w:t>
      </w:r>
      <w:r w:rsidR="00E01B66" w:rsidRPr="00324AD7">
        <w:rPr>
          <w:sz w:val="24"/>
          <w:szCs w:val="24"/>
          <w:lang w:val="en-GB"/>
        </w:rPr>
        <w:t>.</w:t>
      </w:r>
    </w:p>
    <w:p w:rsidR="00E01B66" w:rsidRPr="00324AD7" w:rsidRDefault="004E3E2D" w:rsidP="00BA55BC">
      <w:pPr>
        <w:ind w:firstLine="709"/>
        <w:jc w:val="both"/>
        <w:rPr>
          <w:strike/>
          <w:sz w:val="24"/>
          <w:szCs w:val="24"/>
          <w:lang w:val="en-GB"/>
        </w:rPr>
      </w:pPr>
      <w:r w:rsidRPr="00324AD7">
        <w:rPr>
          <w:b/>
          <w:sz w:val="24"/>
          <w:szCs w:val="24"/>
          <w:lang w:val="en-GB"/>
        </w:rPr>
        <w:t>Art.</w:t>
      </w:r>
      <w:r w:rsidR="00E01B66" w:rsidRPr="00324AD7">
        <w:rPr>
          <w:b/>
          <w:sz w:val="24"/>
          <w:szCs w:val="24"/>
          <w:lang w:val="en-GB"/>
        </w:rPr>
        <w:t xml:space="preserve"> </w:t>
      </w:r>
      <w:r w:rsidR="000F7F7D" w:rsidRPr="00324AD7">
        <w:rPr>
          <w:b/>
          <w:sz w:val="24"/>
          <w:szCs w:val="24"/>
          <w:lang w:val="en-GB"/>
        </w:rPr>
        <w:t>17</w:t>
      </w:r>
      <w:r w:rsidR="00E01B66" w:rsidRPr="00324AD7">
        <w:rPr>
          <w:b/>
          <w:sz w:val="24"/>
          <w:szCs w:val="24"/>
          <w:lang w:val="en-GB"/>
        </w:rPr>
        <w:t>.</w:t>
      </w:r>
      <w:r w:rsidR="00E01B66" w:rsidRPr="00324AD7">
        <w:rPr>
          <w:sz w:val="24"/>
          <w:szCs w:val="24"/>
          <w:lang w:val="en-GB"/>
        </w:rPr>
        <w:t xml:space="preserve"> </w:t>
      </w:r>
      <w:r w:rsidR="00E6021E" w:rsidRPr="00324AD7">
        <w:rPr>
          <w:sz w:val="24"/>
          <w:szCs w:val="24"/>
          <w:lang w:val="en-GB"/>
        </w:rPr>
        <w:t>When sitting the second stage of the examinations in accountancy and independent financial audit, candidates may use the relevant specialized literature, i.e. NASs, IASs, ISAs and the Code of Ethics for Professional Accountants and</w:t>
      </w:r>
      <w:r w:rsidR="00E01B66" w:rsidRPr="00324AD7">
        <w:rPr>
          <w:sz w:val="24"/>
          <w:szCs w:val="24"/>
          <w:lang w:val="en-GB"/>
        </w:rPr>
        <w:t xml:space="preserve"> </w:t>
      </w:r>
      <w:r w:rsidRPr="00324AD7">
        <w:rPr>
          <w:sz w:val="24"/>
          <w:szCs w:val="24"/>
          <w:lang w:val="en-GB"/>
        </w:rPr>
        <w:t>IFAA</w:t>
      </w:r>
      <w:r w:rsidR="00B8157E" w:rsidRPr="00324AD7">
        <w:rPr>
          <w:sz w:val="24"/>
          <w:szCs w:val="24"/>
          <w:lang w:val="en-GB"/>
        </w:rPr>
        <w:t xml:space="preserve">, </w:t>
      </w:r>
      <w:r w:rsidR="00E6021E" w:rsidRPr="00324AD7">
        <w:rPr>
          <w:sz w:val="24"/>
          <w:szCs w:val="24"/>
          <w:lang w:val="en-GB"/>
        </w:rPr>
        <w:t>to be made available by</w:t>
      </w:r>
      <w:r w:rsidR="00E01B66" w:rsidRPr="00324AD7">
        <w:rPr>
          <w:sz w:val="24"/>
          <w:szCs w:val="24"/>
          <w:lang w:val="en-GB"/>
        </w:rPr>
        <w:t xml:space="preserve"> </w:t>
      </w:r>
      <w:r w:rsidRPr="00324AD7">
        <w:rPr>
          <w:sz w:val="24"/>
          <w:szCs w:val="24"/>
          <w:lang w:val="en-GB"/>
        </w:rPr>
        <w:t>ICPA</w:t>
      </w:r>
      <w:r w:rsidR="007142A0" w:rsidRPr="00324AD7">
        <w:rPr>
          <w:sz w:val="24"/>
          <w:szCs w:val="24"/>
          <w:lang w:val="en-GB"/>
        </w:rPr>
        <w:t>.</w:t>
      </w:r>
    </w:p>
    <w:p w:rsidR="00443F32" w:rsidRPr="00324AD7" w:rsidRDefault="004E3E2D" w:rsidP="00BA55BC">
      <w:pPr>
        <w:pStyle w:val="NormalWeb"/>
        <w:spacing w:before="0" w:beforeAutospacing="0" w:after="0" w:afterAutospacing="0"/>
        <w:ind w:firstLine="709"/>
        <w:jc w:val="both"/>
      </w:pPr>
      <w:r w:rsidRPr="00324AD7">
        <w:rPr>
          <w:rFonts w:eastAsia="Times New Roman"/>
          <w:b/>
          <w:lang w:eastAsia="bg-BG"/>
        </w:rPr>
        <w:t>Art.</w:t>
      </w:r>
      <w:r w:rsidR="00E01B66" w:rsidRPr="00324AD7">
        <w:rPr>
          <w:rFonts w:eastAsia="Times New Roman"/>
          <w:b/>
          <w:lang w:eastAsia="bg-BG"/>
        </w:rPr>
        <w:t xml:space="preserve"> </w:t>
      </w:r>
      <w:r w:rsidR="00734C96" w:rsidRPr="00324AD7">
        <w:rPr>
          <w:rFonts w:eastAsia="Times New Roman"/>
          <w:b/>
          <w:lang w:eastAsia="bg-BG"/>
        </w:rPr>
        <w:t>18</w:t>
      </w:r>
      <w:r w:rsidR="00E01B66" w:rsidRPr="00324AD7">
        <w:rPr>
          <w:rFonts w:eastAsia="Times New Roman"/>
          <w:b/>
          <w:lang w:eastAsia="bg-BG"/>
        </w:rPr>
        <w:t>.</w:t>
      </w:r>
      <w:r w:rsidR="001025DF" w:rsidRPr="00324AD7">
        <w:rPr>
          <w:rFonts w:eastAsia="Times New Roman"/>
          <w:b/>
          <w:lang w:eastAsia="bg-BG"/>
        </w:rPr>
        <w:t xml:space="preserve"> </w:t>
      </w:r>
      <w:r w:rsidR="00443F32" w:rsidRPr="00324AD7">
        <w:rPr>
          <w:rFonts w:eastAsia="Times New Roman"/>
          <w:lang w:eastAsia="bg-BG"/>
        </w:rPr>
        <w:t>(1)</w:t>
      </w:r>
      <w:r w:rsidR="00443F32" w:rsidRPr="00324AD7">
        <w:rPr>
          <w:rFonts w:eastAsia="Times New Roman"/>
          <w:b/>
          <w:lang w:eastAsia="bg-BG"/>
        </w:rPr>
        <w:t xml:space="preserve"> </w:t>
      </w:r>
      <w:r w:rsidR="00E6021E" w:rsidRPr="00324AD7">
        <w:rPr>
          <w:rFonts w:eastAsia="Times New Roman"/>
          <w:lang w:eastAsia="bg-BG"/>
        </w:rPr>
        <w:t xml:space="preserve">Each candidate shall choose the sequence of sitting the Certified Public Accountant examinations as per the schedule </w:t>
      </w:r>
      <w:r w:rsidR="00E7438C" w:rsidRPr="00324AD7">
        <w:rPr>
          <w:rFonts w:eastAsia="Times New Roman"/>
          <w:lang w:eastAsia="bg-BG"/>
        </w:rPr>
        <w:t xml:space="preserve">announced </w:t>
      </w:r>
      <w:r w:rsidR="00E6021E" w:rsidRPr="00324AD7">
        <w:rPr>
          <w:rFonts w:eastAsia="Times New Roman"/>
          <w:lang w:eastAsia="bg-BG"/>
        </w:rPr>
        <w:t>for the relevant examination sitting</w:t>
      </w:r>
      <w:r w:rsidR="00443F32" w:rsidRPr="00324AD7">
        <w:t>.</w:t>
      </w:r>
    </w:p>
    <w:p w:rsidR="001025DF" w:rsidRPr="00324AD7" w:rsidRDefault="00443F32" w:rsidP="00BA55BC">
      <w:pPr>
        <w:pStyle w:val="NormalWeb"/>
        <w:spacing w:before="0" w:beforeAutospacing="0" w:after="0" w:afterAutospacing="0"/>
        <w:ind w:firstLine="709"/>
        <w:jc w:val="both"/>
      </w:pPr>
      <w:r w:rsidRPr="00324AD7">
        <w:t xml:space="preserve">(2) </w:t>
      </w:r>
      <w:r w:rsidR="00E6021E" w:rsidRPr="00324AD7">
        <w:t xml:space="preserve">Each candidate shall have the right </w:t>
      </w:r>
      <w:r w:rsidR="00E7438C" w:rsidRPr="00324AD7">
        <w:t>of choice in respect of sitting any of the examinations under</w:t>
      </w:r>
      <w:r w:rsidRPr="00324AD7">
        <w:t xml:space="preserve"> </w:t>
      </w:r>
      <w:r w:rsidR="004E3E2D" w:rsidRPr="00324AD7">
        <w:t>Art.</w:t>
      </w:r>
      <w:r w:rsidR="00482B78" w:rsidRPr="00324AD7">
        <w:t xml:space="preserve"> </w:t>
      </w:r>
      <w:r w:rsidR="00B96E85" w:rsidRPr="00324AD7">
        <w:t xml:space="preserve">15 </w:t>
      </w:r>
      <w:r w:rsidR="00CD77FC" w:rsidRPr="00324AD7">
        <w:t>of IFAA</w:t>
      </w:r>
      <w:r w:rsidR="00A65A6F" w:rsidRPr="00324AD7">
        <w:t>,</w:t>
      </w:r>
      <w:r w:rsidRPr="00324AD7">
        <w:t xml:space="preserve"> </w:t>
      </w:r>
      <w:r w:rsidR="00E7438C" w:rsidRPr="00324AD7">
        <w:t>in accordance with</w:t>
      </w:r>
      <w:r w:rsidRPr="00324AD7">
        <w:t xml:space="preserve"> </w:t>
      </w:r>
      <w:r w:rsidR="00E7438C" w:rsidRPr="00324AD7">
        <w:t>the schedule announced for the relevant examination sitting</w:t>
      </w:r>
      <w:r w:rsidR="00734C96" w:rsidRPr="00324AD7">
        <w:t>.</w:t>
      </w:r>
    </w:p>
    <w:p w:rsidR="00443F32" w:rsidRPr="00324AD7" w:rsidRDefault="00443F32" w:rsidP="00BA55BC">
      <w:pPr>
        <w:pStyle w:val="NormalWeb"/>
        <w:spacing w:before="0" w:beforeAutospacing="0" w:after="0" w:afterAutospacing="0"/>
        <w:ind w:firstLine="709"/>
        <w:jc w:val="both"/>
      </w:pPr>
      <w:r w:rsidRPr="00324AD7">
        <w:t xml:space="preserve">(3) </w:t>
      </w:r>
      <w:r w:rsidR="00E7438C" w:rsidRPr="00324AD7">
        <w:t>To sit the second stage of the examinations in accountancy and independent financial audit,</w:t>
      </w:r>
      <w:r w:rsidR="00482B78" w:rsidRPr="00324AD7">
        <w:t xml:space="preserve"> </w:t>
      </w:r>
      <w:r w:rsidR="00E7438C" w:rsidRPr="00324AD7">
        <w:t>each candidate shall have the right of choice</w:t>
      </w:r>
      <w:r w:rsidR="00482B78" w:rsidRPr="00324AD7">
        <w:t xml:space="preserve"> </w:t>
      </w:r>
      <w:r w:rsidR="00E7438C" w:rsidRPr="00324AD7">
        <w:t>within the examination sitting</w:t>
      </w:r>
      <w:r w:rsidR="00B96E85" w:rsidRPr="00324AD7">
        <w:t xml:space="preserve">, </w:t>
      </w:r>
      <w:r w:rsidR="00E7438C" w:rsidRPr="00324AD7">
        <w:t>complying with the requirements of</w:t>
      </w:r>
      <w:r w:rsidR="00B96E85" w:rsidRPr="00324AD7">
        <w:t xml:space="preserve"> </w:t>
      </w:r>
      <w:r w:rsidR="004E3E2D" w:rsidRPr="00324AD7">
        <w:t>Art.</w:t>
      </w:r>
      <w:r w:rsidR="00482B78" w:rsidRPr="00324AD7">
        <w:t xml:space="preserve"> </w:t>
      </w:r>
      <w:r w:rsidR="00C0281E" w:rsidRPr="00324AD7">
        <w:t>26</w:t>
      </w:r>
      <w:r w:rsidR="00A65A6F" w:rsidRPr="00324AD7">
        <w:t xml:space="preserve"> </w:t>
      </w:r>
      <w:r w:rsidR="00AD689B" w:rsidRPr="00324AD7">
        <w:t>of these Rules</w:t>
      </w:r>
      <w:r w:rsidR="00B96E85" w:rsidRPr="00324AD7">
        <w:t>.</w:t>
      </w:r>
    </w:p>
    <w:p w:rsidR="00482B78" w:rsidRPr="00324AD7" w:rsidRDefault="00BD78C4" w:rsidP="00BA55BC">
      <w:pPr>
        <w:pStyle w:val="NormalWeb"/>
        <w:spacing w:before="0" w:beforeAutospacing="0" w:after="0" w:afterAutospacing="0"/>
        <w:ind w:firstLine="709"/>
        <w:jc w:val="both"/>
      </w:pPr>
      <w:r w:rsidRPr="00324AD7">
        <w:t xml:space="preserve">(4) </w:t>
      </w:r>
      <w:r w:rsidR="00E7438C" w:rsidRPr="00324AD7">
        <w:t>Candidates shall have the right to sit the examinations under</w:t>
      </w:r>
      <w:r w:rsidR="00CD3635" w:rsidRPr="00324AD7">
        <w:t xml:space="preserve"> </w:t>
      </w:r>
      <w:r w:rsidR="004E3E2D" w:rsidRPr="00324AD7">
        <w:t>Art.</w:t>
      </w:r>
      <w:r w:rsidR="00CD3635" w:rsidRPr="00324AD7">
        <w:t xml:space="preserve"> 15 </w:t>
      </w:r>
      <w:r w:rsidR="00CD77FC" w:rsidRPr="00324AD7">
        <w:t>of IFAA</w:t>
      </w:r>
      <w:r w:rsidR="003F3232" w:rsidRPr="00324AD7">
        <w:t>,</w:t>
      </w:r>
      <w:r w:rsidR="00CD3635" w:rsidRPr="00324AD7">
        <w:t xml:space="preserve"> </w:t>
      </w:r>
      <w:r w:rsidR="00E7438C" w:rsidRPr="00324AD7">
        <w:t>until successfully passing them</w:t>
      </w:r>
      <w:r w:rsidR="003F3232" w:rsidRPr="00324AD7">
        <w:t>,</w:t>
      </w:r>
      <w:r w:rsidR="00E7438C" w:rsidRPr="00324AD7">
        <w:t xml:space="preserve"> within 5 consecutive examination sittings</w:t>
      </w:r>
      <w:r w:rsidR="00873F49" w:rsidRPr="00324AD7">
        <w:t xml:space="preserve"> </w:t>
      </w:r>
      <w:r w:rsidR="00E7438C" w:rsidRPr="00324AD7">
        <w:t>after starting the procedure referred to in</w:t>
      </w:r>
      <w:r w:rsidR="006C1095" w:rsidRPr="00324AD7">
        <w:t xml:space="preserve"> </w:t>
      </w:r>
      <w:r w:rsidR="004E3E2D" w:rsidRPr="00324AD7">
        <w:t>Art.</w:t>
      </w:r>
      <w:r w:rsidR="006C1095" w:rsidRPr="00324AD7">
        <w:t xml:space="preserve"> 8</w:t>
      </w:r>
      <w:r w:rsidR="00920DCF" w:rsidRPr="00324AD7">
        <w:t xml:space="preserve">. </w:t>
      </w:r>
      <w:r w:rsidR="00E7438C" w:rsidRPr="00324AD7">
        <w:t>If, subject to the previous sentence, a candidate has not</w:t>
      </w:r>
      <w:r w:rsidR="003F3232" w:rsidRPr="00324AD7">
        <w:rPr>
          <w:rFonts w:eastAsia="Times New Roman"/>
          <w:sz w:val="20"/>
          <w:szCs w:val="20"/>
          <w:lang w:eastAsia="bg-BG"/>
        </w:rPr>
        <w:t xml:space="preserve"> </w:t>
      </w:r>
      <w:r w:rsidR="003F3232" w:rsidRPr="00324AD7">
        <w:t>successfully</w:t>
      </w:r>
      <w:r w:rsidR="00E7438C" w:rsidRPr="00324AD7">
        <w:t xml:space="preserve"> passed all </w:t>
      </w:r>
      <w:r w:rsidR="003F3232" w:rsidRPr="00324AD7">
        <w:t xml:space="preserve">the </w:t>
      </w:r>
      <w:r w:rsidR="00E7438C" w:rsidRPr="00324AD7">
        <w:t>examinations,</w:t>
      </w:r>
      <w:r w:rsidR="003F3232" w:rsidRPr="00324AD7">
        <w:t xml:space="preserve"> this candidate shall have the right to open a new procedure</w:t>
      </w:r>
      <w:r w:rsidR="00041D02" w:rsidRPr="00324AD7">
        <w:t>.</w:t>
      </w:r>
    </w:p>
    <w:p w:rsidR="00F6565F" w:rsidRPr="00324AD7" w:rsidRDefault="004E3E2D" w:rsidP="00BA55BC">
      <w:pPr>
        <w:pStyle w:val="NormalWeb"/>
        <w:spacing w:before="0" w:beforeAutospacing="0" w:after="0" w:afterAutospacing="0"/>
        <w:ind w:firstLine="709"/>
        <w:jc w:val="both"/>
        <w:rPr>
          <w:strike/>
        </w:rPr>
      </w:pPr>
      <w:r w:rsidRPr="00324AD7">
        <w:rPr>
          <w:rFonts w:eastAsia="Times New Roman"/>
          <w:b/>
          <w:lang w:eastAsia="bg-BG"/>
        </w:rPr>
        <w:lastRenderedPageBreak/>
        <w:t>Art.</w:t>
      </w:r>
      <w:r w:rsidR="00D93F2A" w:rsidRPr="00324AD7">
        <w:rPr>
          <w:rFonts w:eastAsia="Times New Roman"/>
          <w:b/>
          <w:lang w:eastAsia="bg-BG"/>
        </w:rPr>
        <w:t xml:space="preserve"> </w:t>
      </w:r>
      <w:r w:rsidR="00734C96" w:rsidRPr="00324AD7">
        <w:rPr>
          <w:rFonts w:eastAsia="Times New Roman"/>
          <w:b/>
          <w:lang w:eastAsia="bg-BG"/>
        </w:rPr>
        <w:t>19</w:t>
      </w:r>
      <w:r w:rsidR="00D93F2A" w:rsidRPr="00324AD7">
        <w:rPr>
          <w:rFonts w:eastAsia="Times New Roman"/>
          <w:b/>
          <w:lang w:eastAsia="bg-BG"/>
        </w:rPr>
        <w:t xml:space="preserve">. </w:t>
      </w:r>
      <w:r w:rsidRPr="00324AD7">
        <w:t>ICPA</w:t>
      </w:r>
      <w:r w:rsidR="00F6565F" w:rsidRPr="00324AD7">
        <w:t xml:space="preserve"> </w:t>
      </w:r>
      <w:r w:rsidR="00CE715E" w:rsidRPr="00324AD7">
        <w:t>shall adopt and publish on its website Guidelines on Conducting Certified Public Accountant Examinations</w:t>
      </w:r>
      <w:r w:rsidR="00F6565F" w:rsidRPr="00324AD7">
        <w:t xml:space="preserve"> </w:t>
      </w:r>
      <w:r w:rsidR="00CE715E" w:rsidRPr="00324AD7">
        <w:t>which shall contain detailed information and requirements for conducting the examinations</w:t>
      </w:r>
      <w:r w:rsidR="00F6565F" w:rsidRPr="00324AD7">
        <w:t>.</w:t>
      </w:r>
    </w:p>
    <w:p w:rsidR="00E01B66" w:rsidRPr="00324AD7" w:rsidRDefault="004E3E2D" w:rsidP="00BA55BC">
      <w:pPr>
        <w:ind w:firstLine="709"/>
        <w:jc w:val="both"/>
        <w:rPr>
          <w:sz w:val="24"/>
          <w:szCs w:val="24"/>
          <w:lang w:val="en-GB"/>
        </w:rPr>
      </w:pPr>
      <w:r w:rsidRPr="00324AD7">
        <w:rPr>
          <w:b/>
          <w:sz w:val="24"/>
          <w:szCs w:val="24"/>
          <w:lang w:val="en-GB"/>
        </w:rPr>
        <w:t>Art.</w:t>
      </w:r>
      <w:r w:rsidR="00E01B66" w:rsidRPr="00324AD7">
        <w:rPr>
          <w:b/>
          <w:sz w:val="24"/>
          <w:szCs w:val="24"/>
          <w:lang w:val="en-GB"/>
        </w:rPr>
        <w:t xml:space="preserve"> </w:t>
      </w:r>
      <w:r w:rsidR="00734C96" w:rsidRPr="00324AD7">
        <w:rPr>
          <w:b/>
          <w:sz w:val="24"/>
          <w:szCs w:val="24"/>
          <w:lang w:val="en-GB"/>
        </w:rPr>
        <w:t>20</w:t>
      </w:r>
      <w:r w:rsidR="00E01B66" w:rsidRPr="00324AD7">
        <w:rPr>
          <w:b/>
          <w:sz w:val="24"/>
          <w:szCs w:val="24"/>
          <w:lang w:val="en-GB"/>
        </w:rPr>
        <w:t>.</w:t>
      </w:r>
      <w:r w:rsidR="00E01B66" w:rsidRPr="00324AD7">
        <w:rPr>
          <w:sz w:val="24"/>
          <w:szCs w:val="24"/>
          <w:lang w:val="en-GB"/>
        </w:rPr>
        <w:t xml:space="preserve"> </w:t>
      </w:r>
      <w:r w:rsidR="00CE715E" w:rsidRPr="00324AD7">
        <w:rPr>
          <w:sz w:val="24"/>
          <w:szCs w:val="24"/>
          <w:lang w:val="en-GB"/>
        </w:rPr>
        <w:t xml:space="preserve">The registration of candidates in the </w:t>
      </w:r>
      <w:r w:rsidR="00CE715E" w:rsidRPr="00324AD7">
        <w:rPr>
          <w:i/>
          <w:sz w:val="24"/>
          <w:szCs w:val="24"/>
          <w:lang w:val="en-GB"/>
        </w:rPr>
        <w:t>ICPA for Holding Electronic Examinations</w:t>
      </w:r>
      <w:r w:rsidR="00CE715E" w:rsidRPr="00324AD7">
        <w:rPr>
          <w:sz w:val="24"/>
          <w:szCs w:val="24"/>
          <w:lang w:val="en-GB"/>
        </w:rPr>
        <w:t xml:space="preserve"> information system </w:t>
      </w:r>
      <w:r w:rsidR="00BB6D5E" w:rsidRPr="00324AD7">
        <w:rPr>
          <w:sz w:val="24"/>
          <w:szCs w:val="24"/>
          <w:lang w:val="en-GB"/>
        </w:rPr>
        <w:t>shall be made after each candidate enters in the information system the following data:</w:t>
      </w:r>
    </w:p>
    <w:p w:rsidR="00E01B66" w:rsidRPr="00324AD7" w:rsidRDefault="00BB6D5E" w:rsidP="00BA55BC">
      <w:pPr>
        <w:numPr>
          <w:ilvl w:val="0"/>
          <w:numId w:val="11"/>
        </w:numPr>
        <w:tabs>
          <w:tab w:val="left" w:pos="993"/>
        </w:tabs>
        <w:ind w:left="0" w:firstLine="709"/>
        <w:jc w:val="both"/>
        <w:rPr>
          <w:sz w:val="24"/>
          <w:szCs w:val="24"/>
          <w:lang w:val="en-GB"/>
        </w:rPr>
      </w:pPr>
      <w:r w:rsidRPr="00324AD7">
        <w:rPr>
          <w:sz w:val="24"/>
          <w:szCs w:val="24"/>
          <w:lang w:val="en-GB"/>
        </w:rPr>
        <w:t>Examination title</w:t>
      </w:r>
      <w:r w:rsidR="00E01B66" w:rsidRPr="00324AD7">
        <w:rPr>
          <w:sz w:val="24"/>
          <w:szCs w:val="24"/>
          <w:lang w:val="en-GB"/>
        </w:rPr>
        <w:t>;</w:t>
      </w:r>
    </w:p>
    <w:p w:rsidR="00E01B66" w:rsidRPr="00324AD7" w:rsidRDefault="00BB6D5E" w:rsidP="00BA55BC">
      <w:pPr>
        <w:numPr>
          <w:ilvl w:val="0"/>
          <w:numId w:val="11"/>
        </w:numPr>
        <w:tabs>
          <w:tab w:val="left" w:pos="993"/>
        </w:tabs>
        <w:ind w:left="0" w:firstLine="709"/>
        <w:jc w:val="both"/>
        <w:rPr>
          <w:sz w:val="24"/>
          <w:szCs w:val="24"/>
          <w:lang w:val="en-GB"/>
        </w:rPr>
      </w:pPr>
      <w:r w:rsidRPr="00324AD7">
        <w:rPr>
          <w:sz w:val="24"/>
          <w:szCs w:val="24"/>
          <w:lang w:val="en-GB"/>
        </w:rPr>
        <w:t>Unified Identity Code (EGN);</w:t>
      </w:r>
    </w:p>
    <w:p w:rsidR="00E01B66" w:rsidRPr="00324AD7" w:rsidRDefault="00BB6D5E" w:rsidP="00BA55BC">
      <w:pPr>
        <w:numPr>
          <w:ilvl w:val="0"/>
          <w:numId w:val="11"/>
        </w:numPr>
        <w:tabs>
          <w:tab w:val="left" w:pos="993"/>
        </w:tabs>
        <w:ind w:left="0" w:firstLine="709"/>
        <w:jc w:val="both"/>
        <w:rPr>
          <w:sz w:val="24"/>
          <w:szCs w:val="24"/>
          <w:lang w:val="en-GB"/>
        </w:rPr>
      </w:pPr>
      <w:r w:rsidRPr="00324AD7">
        <w:rPr>
          <w:sz w:val="24"/>
          <w:szCs w:val="24"/>
          <w:lang w:val="en-GB"/>
        </w:rPr>
        <w:t xml:space="preserve">Registration number at </w:t>
      </w:r>
      <w:r w:rsidR="004E3E2D" w:rsidRPr="00324AD7">
        <w:rPr>
          <w:sz w:val="24"/>
          <w:szCs w:val="24"/>
          <w:lang w:val="en-GB"/>
        </w:rPr>
        <w:t>ICPA</w:t>
      </w:r>
      <w:r w:rsidR="00E01B66" w:rsidRPr="00324AD7">
        <w:rPr>
          <w:sz w:val="24"/>
          <w:szCs w:val="24"/>
          <w:lang w:val="en-GB"/>
        </w:rPr>
        <w:t>.</w:t>
      </w:r>
    </w:p>
    <w:p w:rsidR="00E01B66" w:rsidRPr="00324AD7" w:rsidRDefault="004E3E2D" w:rsidP="00BA55BC">
      <w:pPr>
        <w:pStyle w:val="NormalWeb"/>
        <w:spacing w:before="0" w:beforeAutospacing="0" w:after="0" w:afterAutospacing="0"/>
        <w:ind w:firstLine="709"/>
        <w:jc w:val="both"/>
      </w:pPr>
      <w:r w:rsidRPr="00324AD7">
        <w:rPr>
          <w:b/>
        </w:rPr>
        <w:t>Art.</w:t>
      </w:r>
      <w:r w:rsidR="00013B20" w:rsidRPr="00324AD7">
        <w:rPr>
          <w:b/>
        </w:rPr>
        <w:t xml:space="preserve"> </w:t>
      </w:r>
      <w:r w:rsidR="00734C96" w:rsidRPr="00324AD7">
        <w:rPr>
          <w:b/>
        </w:rPr>
        <w:t>21</w:t>
      </w:r>
      <w:r w:rsidR="00013B20" w:rsidRPr="00324AD7">
        <w:rPr>
          <w:b/>
        </w:rPr>
        <w:t>.</w:t>
      </w:r>
      <w:r w:rsidR="00013B20" w:rsidRPr="00324AD7">
        <w:t xml:space="preserve"> </w:t>
      </w:r>
      <w:r w:rsidR="00FE2506" w:rsidRPr="00324AD7">
        <w:t>Before the start of each examination,</w:t>
      </w:r>
      <w:r w:rsidR="00E01B66" w:rsidRPr="00324AD7">
        <w:t xml:space="preserve"> </w:t>
      </w:r>
      <w:r w:rsidR="00FE2506" w:rsidRPr="00324AD7">
        <w:t>all candidates shall be given short oral</w:t>
      </w:r>
      <w:r w:rsidR="00013B20" w:rsidRPr="00324AD7">
        <w:t xml:space="preserve"> </w:t>
      </w:r>
      <w:r w:rsidR="00FE2506" w:rsidRPr="00324AD7">
        <w:t>guidelines</w:t>
      </w:r>
      <w:r w:rsidR="00E01B66" w:rsidRPr="00324AD7">
        <w:t>/</w:t>
      </w:r>
      <w:r w:rsidR="00FE2506" w:rsidRPr="00324AD7">
        <w:t>notes and instructions</w:t>
      </w:r>
      <w:r w:rsidR="00013B20" w:rsidRPr="00324AD7">
        <w:t xml:space="preserve"> </w:t>
      </w:r>
      <w:r w:rsidR="00FE2506" w:rsidRPr="00324AD7">
        <w:t>on holding the relevant examination, as well as instructions on the work with the information system</w:t>
      </w:r>
      <w:r w:rsidR="00E01B66" w:rsidRPr="00324AD7">
        <w:t>.</w:t>
      </w:r>
    </w:p>
    <w:p w:rsidR="00B8157E" w:rsidRPr="00324AD7" w:rsidRDefault="004E3E2D" w:rsidP="00BA55BC">
      <w:pPr>
        <w:pStyle w:val="NormalWeb"/>
        <w:spacing w:before="0" w:beforeAutospacing="0" w:after="0" w:afterAutospacing="0"/>
        <w:ind w:firstLine="709"/>
        <w:jc w:val="both"/>
      </w:pPr>
      <w:r w:rsidRPr="00324AD7">
        <w:rPr>
          <w:b/>
        </w:rPr>
        <w:t>Art.</w:t>
      </w:r>
      <w:r w:rsidR="00E01B66" w:rsidRPr="00324AD7">
        <w:t xml:space="preserve"> </w:t>
      </w:r>
      <w:r w:rsidR="00734C96" w:rsidRPr="00324AD7">
        <w:rPr>
          <w:b/>
        </w:rPr>
        <w:t>22</w:t>
      </w:r>
      <w:r w:rsidR="005A3D33" w:rsidRPr="00324AD7">
        <w:rPr>
          <w:b/>
        </w:rPr>
        <w:t>.</w:t>
      </w:r>
      <w:r w:rsidR="00E01B66" w:rsidRPr="00324AD7">
        <w:t xml:space="preserve"> </w:t>
      </w:r>
      <w:r w:rsidR="00B8157E" w:rsidRPr="00324AD7">
        <w:t xml:space="preserve">(1) </w:t>
      </w:r>
      <w:r w:rsidR="00DD507B" w:rsidRPr="00324AD7">
        <w:t>Conducting the examination shall start after the registration of all candidates in the information system</w:t>
      </w:r>
      <w:r w:rsidR="00B8157E" w:rsidRPr="00324AD7">
        <w:t>.</w:t>
      </w:r>
      <w:r w:rsidR="005A3D33" w:rsidRPr="00324AD7">
        <w:t xml:space="preserve"> </w:t>
      </w:r>
      <w:r w:rsidR="00DD507B" w:rsidRPr="00324AD7">
        <w:t>After registration in the information system, an anonymous number shall be generated automatically for each candidate and it shall be different from the candidate’s individual number for the examination. The anonymous number shall be encrypted and shall not be visualized</w:t>
      </w:r>
      <w:r w:rsidR="005A3D33" w:rsidRPr="00324AD7">
        <w:rPr>
          <w:rFonts w:eastAsia="Times New Roman"/>
        </w:rPr>
        <w:t>.</w:t>
      </w:r>
    </w:p>
    <w:p w:rsidR="00B8157E" w:rsidRPr="00324AD7" w:rsidRDefault="00B8157E" w:rsidP="00BA55BC">
      <w:pPr>
        <w:ind w:firstLine="709"/>
        <w:jc w:val="both"/>
        <w:rPr>
          <w:sz w:val="24"/>
          <w:szCs w:val="24"/>
          <w:lang w:val="en-GB"/>
        </w:rPr>
      </w:pPr>
      <w:r w:rsidRPr="00324AD7">
        <w:rPr>
          <w:sz w:val="24"/>
          <w:szCs w:val="24"/>
          <w:lang w:val="en-GB"/>
        </w:rPr>
        <w:t xml:space="preserve">(2) </w:t>
      </w:r>
      <w:r w:rsidR="00DD507B" w:rsidRPr="00324AD7">
        <w:rPr>
          <w:sz w:val="24"/>
          <w:szCs w:val="24"/>
          <w:lang w:val="en-GB"/>
        </w:rPr>
        <w:t>After the commencement of the examination, the information system shall generate a protocol containing the names of the candidates sitting the examination and their individual numbers for the examination</w:t>
      </w:r>
      <w:r w:rsidRPr="00324AD7">
        <w:rPr>
          <w:sz w:val="24"/>
          <w:szCs w:val="24"/>
          <w:lang w:val="en-GB"/>
        </w:rPr>
        <w:t>.</w:t>
      </w:r>
    </w:p>
    <w:p w:rsidR="00B8157E" w:rsidRPr="00324AD7" w:rsidRDefault="00E01B66" w:rsidP="00BA55BC">
      <w:pPr>
        <w:pStyle w:val="NormalWeb"/>
        <w:spacing w:before="0" w:beforeAutospacing="0" w:after="0" w:afterAutospacing="0"/>
        <w:ind w:firstLine="709"/>
        <w:jc w:val="both"/>
      </w:pPr>
      <w:r w:rsidRPr="00324AD7">
        <w:t>(</w:t>
      </w:r>
      <w:r w:rsidR="00B8157E" w:rsidRPr="00324AD7">
        <w:t>3</w:t>
      </w:r>
      <w:r w:rsidRPr="00324AD7">
        <w:t xml:space="preserve">) </w:t>
      </w:r>
      <w:r w:rsidR="00DD507B" w:rsidRPr="00324AD7">
        <w:t>After expiry of the</w:t>
      </w:r>
      <w:r w:rsidRPr="00324AD7">
        <w:t xml:space="preserve"> </w:t>
      </w:r>
      <w:r w:rsidR="00DD507B" w:rsidRPr="00324AD7">
        <w:t xml:space="preserve">time fixed for each examination in accordance with </w:t>
      </w:r>
      <w:r w:rsidR="004E3E2D" w:rsidRPr="00324AD7">
        <w:t>Art.</w:t>
      </w:r>
      <w:r w:rsidRPr="00324AD7">
        <w:t xml:space="preserve"> </w:t>
      </w:r>
      <w:r w:rsidR="000B2BD0" w:rsidRPr="00324AD7">
        <w:t>16</w:t>
      </w:r>
      <w:r w:rsidR="00134867" w:rsidRPr="00324AD7">
        <w:t xml:space="preserve"> </w:t>
      </w:r>
      <w:r w:rsidR="00AD689B" w:rsidRPr="00324AD7">
        <w:t>of these Rules</w:t>
      </w:r>
      <w:r w:rsidR="00DD507B" w:rsidRPr="00324AD7">
        <w:t>, end of the examination and</w:t>
      </w:r>
      <w:r w:rsidR="00B8157E" w:rsidRPr="00324AD7">
        <w:t xml:space="preserve"> </w:t>
      </w:r>
      <w:r w:rsidR="00DD507B" w:rsidRPr="00324AD7">
        <w:t>termination of work by candidates shall be announced</w:t>
      </w:r>
      <w:r w:rsidRPr="00324AD7">
        <w:t>.</w:t>
      </w:r>
    </w:p>
    <w:p w:rsidR="00482B78" w:rsidRPr="00324AD7" w:rsidRDefault="00E01B66" w:rsidP="00BA55BC">
      <w:pPr>
        <w:pStyle w:val="NormalWeb"/>
        <w:spacing w:before="0" w:beforeAutospacing="0" w:after="0" w:afterAutospacing="0"/>
        <w:ind w:firstLine="709"/>
        <w:jc w:val="both"/>
      </w:pPr>
      <w:r w:rsidRPr="00324AD7">
        <w:t>(</w:t>
      </w:r>
      <w:r w:rsidR="00B8157E" w:rsidRPr="00324AD7">
        <w:t>4</w:t>
      </w:r>
      <w:r w:rsidRPr="00324AD7">
        <w:t xml:space="preserve">) </w:t>
      </w:r>
      <w:r w:rsidR="00DD507B" w:rsidRPr="00324AD7">
        <w:t>After the end of the examination is announced, a candidate</w:t>
      </w:r>
      <w:r w:rsidRPr="00324AD7">
        <w:t xml:space="preserve"> </w:t>
      </w:r>
      <w:r w:rsidR="00DD507B" w:rsidRPr="00324AD7">
        <w:t>shall terminate his or her work</w:t>
      </w:r>
      <w:r w:rsidRPr="00324AD7">
        <w:t xml:space="preserve">, </w:t>
      </w:r>
      <w:r w:rsidR="00DD507B" w:rsidRPr="00324AD7">
        <w:t>submit working papers</w:t>
      </w:r>
      <w:r w:rsidR="00B8157E" w:rsidRPr="00324AD7">
        <w:t xml:space="preserve">, </w:t>
      </w:r>
      <w:r w:rsidR="00DD507B" w:rsidRPr="00324AD7">
        <w:t>in accordance with the instructions,</w:t>
      </w:r>
      <w:r w:rsidR="00B8157E" w:rsidRPr="00324AD7">
        <w:t xml:space="preserve"> </w:t>
      </w:r>
      <w:r w:rsidR="00DD507B" w:rsidRPr="00324AD7">
        <w:t>and put his or her signature in the examination protocol under</w:t>
      </w:r>
      <w:r w:rsidR="00F6565F" w:rsidRPr="00324AD7">
        <w:t xml:space="preserve"> </w:t>
      </w:r>
      <w:r w:rsidR="004E3E2D" w:rsidRPr="00324AD7">
        <w:t>paragraph</w:t>
      </w:r>
      <w:r w:rsidR="00482B78" w:rsidRPr="00324AD7">
        <w:t xml:space="preserve"> </w:t>
      </w:r>
      <w:r w:rsidR="00F6565F" w:rsidRPr="00324AD7">
        <w:t>2</w:t>
      </w:r>
      <w:r w:rsidR="00C30B29">
        <w:t>.</w:t>
      </w:r>
    </w:p>
    <w:p w:rsidR="00E01B66" w:rsidRPr="00324AD7" w:rsidRDefault="00482B78" w:rsidP="00BA55BC">
      <w:pPr>
        <w:pStyle w:val="NormalWeb"/>
        <w:spacing w:before="0" w:beforeAutospacing="0" w:after="0" w:afterAutospacing="0"/>
        <w:ind w:firstLine="709"/>
        <w:jc w:val="both"/>
      </w:pPr>
      <w:r w:rsidRPr="00324AD7">
        <w:t xml:space="preserve">(5) </w:t>
      </w:r>
      <w:r w:rsidR="001207B4" w:rsidRPr="00324AD7">
        <w:t>In relation to the relevant examination, the information system</w:t>
      </w:r>
      <w:r w:rsidR="00312978" w:rsidRPr="00324AD7">
        <w:t xml:space="preserve"> </w:t>
      </w:r>
      <w:r w:rsidR="001207B4" w:rsidRPr="00324AD7">
        <w:t>shall store for each candidate protected information about the answers provided by the candidate to each question or case study</w:t>
      </w:r>
      <w:r w:rsidR="00E01B66" w:rsidRPr="00324AD7">
        <w:t>.</w:t>
      </w:r>
      <w:r w:rsidR="00B96E85" w:rsidRPr="00324AD7">
        <w:t xml:space="preserve"> </w:t>
      </w:r>
      <w:r w:rsidR="001207B4" w:rsidRPr="00324AD7">
        <w:t>For the second stage of the relevant examination, the information referred to in the previous sentence shall also be on paper</w:t>
      </w:r>
      <w:r w:rsidR="00B96E85" w:rsidRPr="00324AD7">
        <w:t>.</w:t>
      </w:r>
    </w:p>
    <w:p w:rsidR="005A3D33"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12" w:name="_Toc535598118"/>
      <w:r w:rsidRPr="00324AD7">
        <w:rPr>
          <w:i w:val="0"/>
          <w:color w:val="auto"/>
          <w:sz w:val="24"/>
          <w:szCs w:val="24"/>
          <w:lang w:val="en-GB"/>
        </w:rPr>
        <w:t xml:space="preserve">Chapter </w:t>
      </w:r>
      <w:bookmarkEnd w:id="12"/>
      <w:r w:rsidRPr="00324AD7">
        <w:rPr>
          <w:i w:val="0"/>
          <w:color w:val="auto"/>
          <w:sz w:val="24"/>
          <w:szCs w:val="24"/>
          <w:lang w:val="en-GB"/>
        </w:rPr>
        <w:t>Six</w:t>
      </w:r>
    </w:p>
    <w:p w:rsidR="005A3D33" w:rsidRPr="00324AD7" w:rsidRDefault="00C86528" w:rsidP="00BA55BC">
      <w:pPr>
        <w:pStyle w:val="IntenseQuote"/>
        <w:pBdr>
          <w:bottom w:val="none" w:sz="0" w:space="0" w:color="auto"/>
        </w:pBdr>
        <w:spacing w:before="0" w:after="120"/>
        <w:ind w:left="0" w:right="0"/>
        <w:jc w:val="center"/>
        <w:outlineLvl w:val="0"/>
        <w:rPr>
          <w:i w:val="0"/>
          <w:color w:val="auto"/>
          <w:sz w:val="24"/>
          <w:szCs w:val="24"/>
          <w:lang w:val="en-GB"/>
        </w:rPr>
      </w:pPr>
      <w:bookmarkStart w:id="13" w:name="_Toc535598119"/>
      <w:r w:rsidRPr="00324AD7">
        <w:rPr>
          <w:i w:val="0"/>
          <w:color w:val="auto"/>
          <w:sz w:val="24"/>
          <w:szCs w:val="24"/>
          <w:lang w:val="en-GB"/>
        </w:rPr>
        <w:t>ASSESSMENT AND ANNOUNCEMENT OF EXAMINATION RESULTS</w:t>
      </w:r>
      <w:bookmarkEnd w:id="13"/>
    </w:p>
    <w:p w:rsidR="00AA605E" w:rsidRPr="00324AD7" w:rsidRDefault="004E3E2D" w:rsidP="00BA55BC">
      <w:pPr>
        <w:pStyle w:val="NormalWeb"/>
        <w:spacing w:before="0" w:beforeAutospacing="0" w:after="0" w:afterAutospacing="0"/>
        <w:ind w:firstLine="709"/>
        <w:jc w:val="both"/>
      </w:pPr>
      <w:r w:rsidRPr="00324AD7">
        <w:rPr>
          <w:b/>
        </w:rPr>
        <w:t>Art.</w:t>
      </w:r>
      <w:r w:rsidR="00E01B66" w:rsidRPr="00324AD7">
        <w:rPr>
          <w:b/>
        </w:rPr>
        <w:t xml:space="preserve"> </w:t>
      </w:r>
      <w:r w:rsidR="00734C96" w:rsidRPr="00324AD7">
        <w:rPr>
          <w:b/>
        </w:rPr>
        <w:t>23</w:t>
      </w:r>
      <w:r w:rsidR="00E01B66" w:rsidRPr="00324AD7">
        <w:rPr>
          <w:b/>
        </w:rPr>
        <w:t>.</w:t>
      </w:r>
      <w:r w:rsidR="00E01B66" w:rsidRPr="00324AD7">
        <w:t xml:space="preserve"> (1) </w:t>
      </w:r>
      <w:r w:rsidR="00C86528" w:rsidRPr="00324AD7">
        <w:t>Candidates’ examination results from the closed-ended question tests shall be assessed by the information system referred to in</w:t>
      </w:r>
      <w:r w:rsidR="0020720F" w:rsidRPr="00324AD7">
        <w:t xml:space="preserve"> </w:t>
      </w:r>
      <w:r w:rsidRPr="00324AD7">
        <w:t>Art.</w:t>
      </w:r>
      <w:r w:rsidR="00482B78" w:rsidRPr="00324AD7">
        <w:t xml:space="preserve"> </w:t>
      </w:r>
      <w:r w:rsidR="0020720F" w:rsidRPr="00324AD7">
        <w:t>11</w:t>
      </w:r>
      <w:r w:rsidR="00482B78" w:rsidRPr="00324AD7">
        <w:t>,</w:t>
      </w:r>
      <w:r w:rsidR="0020720F" w:rsidRPr="00324AD7">
        <w:t xml:space="preserve"> </w:t>
      </w:r>
      <w:r w:rsidRPr="00324AD7">
        <w:t>paragraph</w:t>
      </w:r>
      <w:r w:rsidR="00F9745B" w:rsidRPr="00324AD7">
        <w:t xml:space="preserve"> </w:t>
      </w:r>
      <w:r w:rsidR="0020720F" w:rsidRPr="00324AD7">
        <w:t>4</w:t>
      </w:r>
      <w:r w:rsidR="00873F49" w:rsidRPr="00324AD7">
        <w:t>.</w:t>
      </w:r>
    </w:p>
    <w:p w:rsidR="00AA605E" w:rsidRPr="00324AD7" w:rsidRDefault="00E01B66" w:rsidP="00BA55BC">
      <w:pPr>
        <w:pStyle w:val="NormalWeb"/>
        <w:spacing w:before="0" w:beforeAutospacing="0" w:after="0" w:afterAutospacing="0"/>
        <w:ind w:firstLine="709"/>
        <w:jc w:val="both"/>
      </w:pPr>
      <w:r w:rsidRPr="00324AD7">
        <w:t xml:space="preserve">(2) </w:t>
      </w:r>
      <w:r w:rsidR="00C86528" w:rsidRPr="00324AD7">
        <w:t>For each correct answer provided at the closed-ended question examinations, candidates shall be awarded the respective number of marks depending on the relative weight of the question, as follows</w:t>
      </w:r>
      <w:r w:rsidR="00AA605E" w:rsidRPr="00324AD7">
        <w:t>:</w:t>
      </w:r>
    </w:p>
    <w:p w:rsidR="00AA605E" w:rsidRPr="00324AD7" w:rsidRDefault="00C86528" w:rsidP="00BA55BC">
      <w:pPr>
        <w:pStyle w:val="NormalWeb"/>
        <w:numPr>
          <w:ilvl w:val="0"/>
          <w:numId w:val="22"/>
        </w:numPr>
        <w:tabs>
          <w:tab w:val="left" w:pos="993"/>
        </w:tabs>
        <w:spacing w:before="0" w:beforeAutospacing="0" w:after="0" w:afterAutospacing="0"/>
        <w:ind w:left="0" w:firstLine="709"/>
        <w:jc w:val="both"/>
      </w:pPr>
      <w:r w:rsidRPr="00324AD7">
        <w:t xml:space="preserve">For a correct answer to a low-level of difficulty question </w:t>
      </w:r>
      <w:r w:rsidR="00AA605E" w:rsidRPr="00324AD7">
        <w:t xml:space="preserve">–  5 </w:t>
      </w:r>
      <w:r w:rsidRPr="00324AD7">
        <w:t>marks</w:t>
      </w:r>
      <w:r w:rsidR="00AA605E" w:rsidRPr="00324AD7">
        <w:t>;</w:t>
      </w:r>
    </w:p>
    <w:p w:rsidR="00AA605E" w:rsidRPr="00324AD7" w:rsidRDefault="00C86528" w:rsidP="00BA55BC">
      <w:pPr>
        <w:pStyle w:val="NormalWeb"/>
        <w:numPr>
          <w:ilvl w:val="0"/>
          <w:numId w:val="22"/>
        </w:numPr>
        <w:tabs>
          <w:tab w:val="left" w:pos="993"/>
        </w:tabs>
        <w:spacing w:before="0" w:beforeAutospacing="0" w:after="0" w:afterAutospacing="0"/>
        <w:ind w:left="0" w:firstLine="709"/>
        <w:jc w:val="both"/>
      </w:pPr>
      <w:r w:rsidRPr="00324AD7">
        <w:t xml:space="preserve">For a correct answer to a high-level of difficulty question </w:t>
      </w:r>
      <w:r w:rsidR="00AA605E" w:rsidRPr="00324AD7">
        <w:t xml:space="preserve">– 10 </w:t>
      </w:r>
      <w:r w:rsidRPr="00324AD7">
        <w:t>marks</w:t>
      </w:r>
      <w:r w:rsidR="00AA605E" w:rsidRPr="00324AD7">
        <w:t>;</w:t>
      </w:r>
    </w:p>
    <w:p w:rsidR="00AA605E" w:rsidRPr="00324AD7" w:rsidRDefault="00C86528" w:rsidP="00BA55BC">
      <w:pPr>
        <w:pStyle w:val="NormalWeb"/>
        <w:numPr>
          <w:ilvl w:val="0"/>
          <w:numId w:val="22"/>
        </w:numPr>
        <w:tabs>
          <w:tab w:val="left" w:pos="993"/>
        </w:tabs>
        <w:spacing w:before="0" w:beforeAutospacing="0" w:after="0" w:afterAutospacing="0"/>
        <w:ind w:left="0" w:firstLine="709"/>
        <w:jc w:val="both"/>
      </w:pPr>
      <w:r w:rsidRPr="00324AD7">
        <w:t>For an incorrect answer or where no answer has been provided – zero marks</w:t>
      </w:r>
      <w:r w:rsidR="00AA605E" w:rsidRPr="00324AD7">
        <w:t>.</w:t>
      </w:r>
    </w:p>
    <w:p w:rsidR="00E01B66" w:rsidRPr="00324AD7" w:rsidRDefault="004E3E2D" w:rsidP="00BA55BC">
      <w:pPr>
        <w:pStyle w:val="NormalWeb"/>
        <w:spacing w:before="0" w:beforeAutospacing="0" w:after="0" w:afterAutospacing="0"/>
        <w:ind w:firstLine="709"/>
        <w:jc w:val="both"/>
      </w:pPr>
      <w:r w:rsidRPr="00324AD7">
        <w:rPr>
          <w:b/>
        </w:rPr>
        <w:t>Art.</w:t>
      </w:r>
      <w:r w:rsidR="00AA605E" w:rsidRPr="00324AD7">
        <w:rPr>
          <w:b/>
        </w:rPr>
        <w:t xml:space="preserve"> </w:t>
      </w:r>
      <w:r w:rsidR="00734C96" w:rsidRPr="00324AD7">
        <w:rPr>
          <w:b/>
        </w:rPr>
        <w:t>24</w:t>
      </w:r>
      <w:r w:rsidR="00AA605E" w:rsidRPr="00324AD7">
        <w:rPr>
          <w:b/>
        </w:rPr>
        <w:t xml:space="preserve">. </w:t>
      </w:r>
      <w:r w:rsidR="00734C96" w:rsidRPr="00324AD7">
        <w:t>(1)</w:t>
      </w:r>
      <w:r w:rsidR="00734C96" w:rsidRPr="00324AD7">
        <w:rPr>
          <w:b/>
        </w:rPr>
        <w:t xml:space="preserve"> </w:t>
      </w:r>
      <w:r w:rsidR="00C86528" w:rsidRPr="00324AD7">
        <w:t>Candidates’ examination results from the open-ended question and/or case study tests shall be assessed by the commission for the preparation and conducting of the relevant examinations</w:t>
      </w:r>
      <w:r w:rsidR="00E01B66" w:rsidRPr="00324AD7">
        <w:t>.</w:t>
      </w:r>
    </w:p>
    <w:p w:rsidR="00F6565F" w:rsidRPr="00324AD7" w:rsidRDefault="00F6565F" w:rsidP="00BA55BC">
      <w:pPr>
        <w:pStyle w:val="NormalWeb"/>
        <w:spacing w:before="0" w:beforeAutospacing="0" w:after="0" w:afterAutospacing="0"/>
        <w:ind w:firstLine="709"/>
        <w:jc w:val="both"/>
      </w:pPr>
      <w:r w:rsidRPr="00324AD7">
        <w:t xml:space="preserve">(2) </w:t>
      </w:r>
      <w:r w:rsidR="00C86528" w:rsidRPr="00324AD7">
        <w:t xml:space="preserve">When reviewing candidates’ answers, the examination papers under paragraph 1 shall be identified by the anonymous number referred to in </w:t>
      </w:r>
      <w:r w:rsidR="004E3E2D" w:rsidRPr="00324AD7">
        <w:t>Art.</w:t>
      </w:r>
      <w:r w:rsidRPr="00324AD7">
        <w:t xml:space="preserve"> </w:t>
      </w:r>
      <w:r w:rsidR="00134867" w:rsidRPr="00324AD7">
        <w:t>22</w:t>
      </w:r>
      <w:r w:rsidRPr="00324AD7">
        <w:t xml:space="preserve">, </w:t>
      </w:r>
      <w:r w:rsidR="004E3E2D" w:rsidRPr="00324AD7">
        <w:t>paragraph</w:t>
      </w:r>
      <w:r w:rsidRPr="00324AD7">
        <w:t xml:space="preserve"> 1</w:t>
      </w:r>
      <w:r w:rsidR="00134867" w:rsidRPr="00324AD7">
        <w:t xml:space="preserve"> </w:t>
      </w:r>
      <w:r w:rsidR="00C86528" w:rsidRPr="00324AD7">
        <w:t>of these Rules</w:t>
      </w:r>
      <w:r w:rsidRPr="00324AD7">
        <w:t>.</w:t>
      </w:r>
    </w:p>
    <w:p w:rsidR="00F6565F" w:rsidRPr="00324AD7" w:rsidRDefault="00F6565F" w:rsidP="00BA55BC">
      <w:pPr>
        <w:pStyle w:val="NormalWeb"/>
        <w:spacing w:before="0" w:beforeAutospacing="0" w:after="0" w:afterAutospacing="0"/>
        <w:ind w:firstLine="709"/>
        <w:jc w:val="both"/>
      </w:pPr>
      <w:r w:rsidRPr="00324AD7">
        <w:t xml:space="preserve">(3) </w:t>
      </w:r>
      <w:r w:rsidR="00C86528" w:rsidRPr="00324AD7">
        <w:t xml:space="preserve">The review of the examination papers under paragraph 2 shall be carried out on the basis of a printout on paper of each candidate’s answers, with each page containing the decrypted anonymous number referred to in </w:t>
      </w:r>
      <w:r w:rsidR="004E3E2D" w:rsidRPr="00324AD7">
        <w:t>Art.</w:t>
      </w:r>
      <w:r w:rsidRPr="00324AD7">
        <w:t xml:space="preserve"> </w:t>
      </w:r>
      <w:r w:rsidR="000F7058" w:rsidRPr="00324AD7">
        <w:t>2</w:t>
      </w:r>
      <w:r w:rsidR="00134867" w:rsidRPr="00324AD7">
        <w:t>2</w:t>
      </w:r>
      <w:r w:rsidRPr="00324AD7">
        <w:t xml:space="preserve"> </w:t>
      </w:r>
      <w:r w:rsidR="004E3E2D" w:rsidRPr="00324AD7">
        <w:t>paragraph</w:t>
      </w:r>
      <w:r w:rsidRPr="00324AD7">
        <w:t xml:space="preserve"> 1</w:t>
      </w:r>
      <w:r w:rsidR="000F7058" w:rsidRPr="00324AD7">
        <w:t xml:space="preserve"> </w:t>
      </w:r>
      <w:r w:rsidR="00C86528" w:rsidRPr="00324AD7">
        <w:t>of these Rules</w:t>
      </w:r>
      <w:r w:rsidR="000F7058" w:rsidRPr="00324AD7">
        <w:t xml:space="preserve">. </w:t>
      </w:r>
      <w:r w:rsidR="00C86528" w:rsidRPr="00324AD7">
        <w:t xml:space="preserve">The printouts </w:t>
      </w:r>
      <w:r w:rsidR="004C1595" w:rsidRPr="00324AD7">
        <w:t>shall be printed by the information system administrators on the date of holding the relevant examination</w:t>
      </w:r>
      <w:r w:rsidR="000B2BD0" w:rsidRPr="00324AD7">
        <w:t xml:space="preserve">, </w:t>
      </w:r>
      <w:r w:rsidR="004C1595" w:rsidRPr="00324AD7">
        <w:t>after the end of the examination has been announced</w:t>
      </w:r>
      <w:r w:rsidR="000B2BD0" w:rsidRPr="00324AD7">
        <w:t>.</w:t>
      </w:r>
    </w:p>
    <w:p w:rsidR="000F7058" w:rsidRPr="00324AD7" w:rsidRDefault="004E3E2D" w:rsidP="00BA55BC">
      <w:pPr>
        <w:pStyle w:val="NormalWeb"/>
        <w:spacing w:before="0" w:beforeAutospacing="0" w:after="0" w:afterAutospacing="0"/>
        <w:ind w:firstLine="709"/>
        <w:jc w:val="both"/>
      </w:pPr>
      <w:r w:rsidRPr="00324AD7">
        <w:rPr>
          <w:b/>
        </w:rPr>
        <w:lastRenderedPageBreak/>
        <w:t>Art.</w:t>
      </w:r>
      <w:r w:rsidR="000F7058" w:rsidRPr="00324AD7">
        <w:rPr>
          <w:b/>
        </w:rPr>
        <w:t xml:space="preserve"> </w:t>
      </w:r>
      <w:r w:rsidR="00734C96" w:rsidRPr="00324AD7">
        <w:rPr>
          <w:b/>
        </w:rPr>
        <w:t>25</w:t>
      </w:r>
      <w:r w:rsidR="000F7058" w:rsidRPr="00324AD7">
        <w:rPr>
          <w:b/>
        </w:rPr>
        <w:t>.</w:t>
      </w:r>
      <w:r w:rsidR="000F7058" w:rsidRPr="00324AD7">
        <w:t xml:space="preserve"> (1) </w:t>
      </w:r>
      <w:r w:rsidR="004900BF" w:rsidRPr="00324AD7">
        <w:t>For assessing candidates’ results from the open-ended question and/or case study tests,</w:t>
      </w:r>
      <w:r w:rsidR="000F7058" w:rsidRPr="00324AD7">
        <w:t xml:space="preserve"> </w:t>
      </w:r>
      <w:r w:rsidR="004900BF" w:rsidRPr="00324AD7">
        <w:t>the criteria and the approved allocation of marks to the individual parts of solving each open-ended question or case study shall apply, as proposed by the preparers and reviewed by the relevant commissions for the preparation and holding of examinations and the reviewers</w:t>
      </w:r>
      <w:r w:rsidR="000F7058" w:rsidRPr="00324AD7">
        <w:t>.</w:t>
      </w:r>
    </w:p>
    <w:p w:rsidR="000F7058" w:rsidRPr="00324AD7" w:rsidRDefault="000F7058" w:rsidP="00BA55BC">
      <w:pPr>
        <w:pStyle w:val="NormalWeb"/>
        <w:spacing w:before="0" w:beforeAutospacing="0" w:after="0" w:afterAutospacing="0"/>
        <w:ind w:firstLine="709"/>
        <w:jc w:val="both"/>
      </w:pPr>
      <w:r w:rsidRPr="00324AD7">
        <w:t xml:space="preserve">(2) </w:t>
      </w:r>
      <w:r w:rsidR="004900BF" w:rsidRPr="00324AD7">
        <w:t>The answers provided by each candidate to the open-ended questions and/or case studies shall be reviewed by two examiners, autonomously and independently from one another</w:t>
      </w:r>
      <w:r w:rsidRPr="00324AD7">
        <w:t>.</w:t>
      </w:r>
    </w:p>
    <w:p w:rsidR="008D4BB5" w:rsidRPr="00324AD7" w:rsidRDefault="008D4BB5" w:rsidP="00BA55BC">
      <w:pPr>
        <w:pStyle w:val="NormalWeb"/>
        <w:spacing w:before="0" w:beforeAutospacing="0" w:after="0" w:afterAutospacing="0"/>
        <w:ind w:firstLine="709"/>
        <w:jc w:val="both"/>
      </w:pPr>
      <w:r w:rsidRPr="00324AD7">
        <w:t xml:space="preserve">(3) </w:t>
      </w:r>
      <w:r w:rsidR="00347883" w:rsidRPr="00324AD7">
        <w:t>Where the assessments of the examiners differ by less than 10 marks, the higher assessment shall be accepted as a final one</w:t>
      </w:r>
      <w:r w:rsidR="00D43762" w:rsidRPr="00324AD7">
        <w:t>.</w:t>
      </w:r>
    </w:p>
    <w:p w:rsidR="000F7058" w:rsidRPr="00324AD7" w:rsidRDefault="000F7058" w:rsidP="00BA55BC">
      <w:pPr>
        <w:pStyle w:val="NormalWeb"/>
        <w:spacing w:before="0" w:beforeAutospacing="0" w:after="0" w:afterAutospacing="0"/>
        <w:ind w:firstLine="709"/>
        <w:jc w:val="both"/>
      </w:pPr>
      <w:r w:rsidRPr="00324AD7">
        <w:t>(</w:t>
      </w:r>
      <w:r w:rsidR="0020720F" w:rsidRPr="00324AD7">
        <w:t>4</w:t>
      </w:r>
      <w:r w:rsidRPr="00324AD7">
        <w:t xml:space="preserve">) </w:t>
      </w:r>
      <w:r w:rsidR="00347883" w:rsidRPr="00324AD7">
        <w:t>Where the assessments of the examiners differ by 10 marks or more, the answers of that candidate shall be reviewed by a third arbitrator examiner</w:t>
      </w:r>
      <w:r w:rsidRPr="00324AD7">
        <w:t xml:space="preserve">. </w:t>
      </w:r>
      <w:r w:rsidR="00347883" w:rsidRPr="00324AD7">
        <w:t>The result of the arbitrator’s review shall be accepted as a final one</w:t>
      </w:r>
      <w:r w:rsidR="006D190F" w:rsidRPr="00324AD7">
        <w:t>.</w:t>
      </w:r>
    </w:p>
    <w:p w:rsidR="00F6565F" w:rsidRPr="00324AD7" w:rsidRDefault="004E3E2D" w:rsidP="00BA55BC">
      <w:pPr>
        <w:pStyle w:val="NormalWeb"/>
        <w:spacing w:before="0" w:beforeAutospacing="0" w:after="0" w:afterAutospacing="0"/>
        <w:ind w:firstLine="709"/>
        <w:jc w:val="both"/>
      </w:pPr>
      <w:r w:rsidRPr="00324AD7">
        <w:rPr>
          <w:b/>
        </w:rPr>
        <w:t>Art.</w:t>
      </w:r>
      <w:r w:rsidR="00E01B66" w:rsidRPr="00324AD7">
        <w:rPr>
          <w:b/>
        </w:rPr>
        <w:t xml:space="preserve"> </w:t>
      </w:r>
      <w:r w:rsidR="00734C96" w:rsidRPr="00324AD7">
        <w:rPr>
          <w:b/>
        </w:rPr>
        <w:t>26</w:t>
      </w:r>
      <w:r w:rsidR="00E01B66" w:rsidRPr="00324AD7">
        <w:rPr>
          <w:b/>
        </w:rPr>
        <w:t>.</w:t>
      </w:r>
      <w:r w:rsidR="00E01B66" w:rsidRPr="00324AD7">
        <w:t xml:space="preserve"> </w:t>
      </w:r>
      <w:r w:rsidR="00347883" w:rsidRPr="00324AD7">
        <w:t>An examination shall be considered as successfully passed where a candidate has obtained</w:t>
      </w:r>
      <w:r w:rsidR="00F6565F" w:rsidRPr="00324AD7">
        <w:t>:</w:t>
      </w:r>
    </w:p>
    <w:p w:rsidR="00F6565F" w:rsidRPr="00324AD7" w:rsidRDefault="00F6565F" w:rsidP="00BA55BC">
      <w:pPr>
        <w:pStyle w:val="NormalWeb"/>
        <w:spacing w:before="0" w:beforeAutospacing="0" w:after="0" w:afterAutospacing="0"/>
        <w:ind w:firstLine="709"/>
        <w:jc w:val="both"/>
      </w:pPr>
      <w:r w:rsidRPr="00324AD7">
        <w:t>1.</w:t>
      </w:r>
      <w:r w:rsidR="00C0281E" w:rsidRPr="00324AD7">
        <w:t xml:space="preserve"> </w:t>
      </w:r>
      <w:r w:rsidR="00347883" w:rsidRPr="00324AD7">
        <w:t>for the accountancy examination</w:t>
      </w:r>
      <w:r w:rsidR="00C0281E" w:rsidRPr="00324AD7">
        <w:t xml:space="preserve"> </w:t>
      </w:r>
      <w:r w:rsidR="00BA55BC" w:rsidRPr="00324AD7">
        <w:t>–</w:t>
      </w:r>
      <w:r w:rsidR="000F7058" w:rsidRPr="00324AD7">
        <w:t xml:space="preserve"> </w:t>
      </w:r>
      <w:r w:rsidR="00347883" w:rsidRPr="00324AD7">
        <w:t>a combined assessment formed by the calculated relative share of the results obtained from the first and second stage</w:t>
      </w:r>
      <w:r w:rsidR="00785E98" w:rsidRPr="00324AD7">
        <w:t>s</w:t>
      </w:r>
      <w:r w:rsidR="00347883" w:rsidRPr="00324AD7">
        <w:t xml:space="preserve"> of the examination</w:t>
      </w:r>
      <w:r w:rsidR="00B77B69" w:rsidRPr="00324AD7">
        <w:t xml:space="preserve">. </w:t>
      </w:r>
      <w:r w:rsidR="00785E98" w:rsidRPr="00324AD7">
        <w:t xml:space="preserve">The relative share shall be </w:t>
      </w:r>
      <w:r w:rsidR="00707333" w:rsidRPr="00324AD7">
        <w:t xml:space="preserve">30 </w:t>
      </w:r>
      <w:r w:rsidR="00785E98" w:rsidRPr="00324AD7">
        <w:t>percent for the first stage and 70 percent for the second stage</w:t>
      </w:r>
      <w:r w:rsidR="00161397" w:rsidRPr="00324AD7">
        <w:t>.</w:t>
      </w:r>
      <w:r w:rsidR="00707333" w:rsidRPr="00324AD7">
        <w:t xml:space="preserve"> </w:t>
      </w:r>
      <w:r w:rsidR="00785E98" w:rsidRPr="00324AD7">
        <w:t>The total assessment shall represent the sum of 30 percent relative share of the result obtained from the first stage and 70 percent relative share of the result obtained from the second stage</w:t>
      </w:r>
      <w:r w:rsidR="00B77B69" w:rsidRPr="00324AD7">
        <w:t xml:space="preserve">. </w:t>
      </w:r>
      <w:r w:rsidR="00785E98" w:rsidRPr="00324AD7">
        <w:t>Candidates shall have the right to sit the second stage of the examination where they have got a first stage result of minimum 50 percent of the maximum number of points for this stage</w:t>
      </w:r>
      <w:r w:rsidR="00C0281E" w:rsidRPr="00324AD7">
        <w:t xml:space="preserve">. </w:t>
      </w:r>
      <w:r w:rsidR="00785E98" w:rsidRPr="00324AD7">
        <w:t>The second stage shall not require a minimum level</w:t>
      </w:r>
      <w:r w:rsidR="00C0281E" w:rsidRPr="00324AD7">
        <w:t xml:space="preserve"> </w:t>
      </w:r>
      <w:r w:rsidR="00785E98" w:rsidRPr="00324AD7">
        <w:t>for passing it</w:t>
      </w:r>
      <w:r w:rsidR="00C0281E" w:rsidRPr="00324AD7">
        <w:t>.</w:t>
      </w:r>
      <w:r w:rsidR="00B77B69" w:rsidRPr="00324AD7">
        <w:t xml:space="preserve"> </w:t>
      </w:r>
      <w:r w:rsidR="00785E98" w:rsidRPr="00324AD7">
        <w:t>An examination shall be considered as successfully passed where a candidate has obtained a total assessment of</w:t>
      </w:r>
      <w:r w:rsidR="00707333" w:rsidRPr="00324AD7">
        <w:t xml:space="preserve"> </w:t>
      </w:r>
      <w:r w:rsidR="00C0281E" w:rsidRPr="00324AD7">
        <w:t xml:space="preserve">70 </w:t>
      </w:r>
      <w:r w:rsidR="00785E98" w:rsidRPr="00324AD7">
        <w:t>percent or more from the two stages of the examination</w:t>
      </w:r>
      <w:r w:rsidR="00707333" w:rsidRPr="00324AD7">
        <w:t>.</w:t>
      </w:r>
    </w:p>
    <w:p w:rsidR="00C0281E" w:rsidRPr="00324AD7" w:rsidRDefault="00F6565F" w:rsidP="00BA55BC">
      <w:pPr>
        <w:pStyle w:val="NormalWeb"/>
        <w:spacing w:before="0" w:beforeAutospacing="0" w:after="0" w:afterAutospacing="0"/>
        <w:ind w:firstLine="709"/>
        <w:jc w:val="both"/>
      </w:pPr>
      <w:r w:rsidRPr="00324AD7">
        <w:t xml:space="preserve">2. </w:t>
      </w:r>
      <w:r w:rsidR="00347883" w:rsidRPr="00324AD7">
        <w:t>for the independent financial audit examination</w:t>
      </w:r>
      <w:r w:rsidR="00E01B66" w:rsidRPr="00324AD7">
        <w:t xml:space="preserve"> </w:t>
      </w:r>
      <w:r w:rsidR="00BA55BC" w:rsidRPr="00324AD7">
        <w:t>–</w:t>
      </w:r>
      <w:r w:rsidR="000F7058" w:rsidRPr="00324AD7">
        <w:t xml:space="preserve"> </w:t>
      </w:r>
      <w:r w:rsidR="00785E98" w:rsidRPr="00324AD7">
        <w:t>a combined assessment formed by the calculated relative share of the results obtained from the first and second stages of the examination</w:t>
      </w:r>
      <w:r w:rsidR="00FD3CB8" w:rsidRPr="00324AD7">
        <w:t xml:space="preserve">. </w:t>
      </w:r>
      <w:r w:rsidR="00785E98" w:rsidRPr="00324AD7">
        <w:t>The relative share shall be 30 percent for the first stage and 70 percent for the second stage</w:t>
      </w:r>
      <w:r w:rsidR="00161397" w:rsidRPr="00324AD7">
        <w:t xml:space="preserve">. </w:t>
      </w:r>
      <w:r w:rsidR="00785E98" w:rsidRPr="00324AD7">
        <w:t>The total assessment shall represent the sum of 30 percent relative share of the result obtained from the first stage and 70 percent relative share of the result obtained from the second stage</w:t>
      </w:r>
      <w:r w:rsidR="00FD3CB8" w:rsidRPr="00324AD7">
        <w:t xml:space="preserve">. </w:t>
      </w:r>
      <w:r w:rsidR="00785E98" w:rsidRPr="00324AD7">
        <w:t>Candidates shall have the right to sit the second stage of the examination where they have got a first stage result of minimum 50 percent of the maximum number of points for this stage</w:t>
      </w:r>
      <w:r w:rsidR="00FD3CB8" w:rsidRPr="00324AD7">
        <w:t xml:space="preserve">. </w:t>
      </w:r>
      <w:r w:rsidR="00785E98" w:rsidRPr="00324AD7">
        <w:t>The second stage shall not require a minimum level for passing it</w:t>
      </w:r>
      <w:r w:rsidR="00FD3CB8" w:rsidRPr="00324AD7">
        <w:t xml:space="preserve">. </w:t>
      </w:r>
      <w:r w:rsidR="00361A68" w:rsidRPr="00324AD7">
        <w:t>An examination shall be considered as successfully passed where a candidate has obtained a total assessment of 70 percent or more from the two stages of the examination</w:t>
      </w:r>
      <w:r w:rsidR="00FD3CB8" w:rsidRPr="00324AD7">
        <w:t>.</w:t>
      </w:r>
    </w:p>
    <w:p w:rsidR="000F7058" w:rsidRPr="00324AD7" w:rsidRDefault="00C0281E" w:rsidP="00BA55BC">
      <w:pPr>
        <w:pStyle w:val="NormalWeb"/>
        <w:spacing w:before="0" w:beforeAutospacing="0" w:after="0" w:afterAutospacing="0"/>
        <w:ind w:firstLine="709"/>
        <w:jc w:val="both"/>
      </w:pPr>
      <w:r w:rsidRPr="00324AD7">
        <w:t>3</w:t>
      </w:r>
      <w:r w:rsidR="00F6565F" w:rsidRPr="00324AD7">
        <w:t>.</w:t>
      </w:r>
      <w:r w:rsidR="00FD3CB8" w:rsidRPr="00324AD7">
        <w:t xml:space="preserve"> </w:t>
      </w:r>
      <w:r w:rsidR="00347883" w:rsidRPr="00324AD7">
        <w:t>for the commercial law examination</w:t>
      </w:r>
      <w:r w:rsidRPr="00324AD7">
        <w:t xml:space="preserve"> </w:t>
      </w:r>
      <w:r w:rsidR="00BA55BC" w:rsidRPr="00324AD7">
        <w:t>–</w:t>
      </w:r>
      <w:r w:rsidR="000F7058" w:rsidRPr="00324AD7">
        <w:t xml:space="preserve"> </w:t>
      </w:r>
      <w:r w:rsidR="00347883" w:rsidRPr="00324AD7">
        <w:t>70 per cent of the maximum number of marks</w:t>
      </w:r>
      <w:r w:rsidR="000F7058" w:rsidRPr="00324AD7">
        <w:t>.</w:t>
      </w:r>
    </w:p>
    <w:p w:rsidR="00FD3CB8" w:rsidRPr="00324AD7" w:rsidRDefault="001F620A" w:rsidP="00BA55BC">
      <w:pPr>
        <w:pStyle w:val="NormalWeb"/>
        <w:spacing w:before="0" w:beforeAutospacing="0" w:after="0" w:afterAutospacing="0"/>
        <w:ind w:firstLine="709"/>
        <w:jc w:val="both"/>
      </w:pPr>
      <w:r w:rsidRPr="00324AD7">
        <w:t>4</w:t>
      </w:r>
      <w:r w:rsidR="00F6565F" w:rsidRPr="00324AD7">
        <w:t xml:space="preserve">. </w:t>
      </w:r>
      <w:r w:rsidR="00347883" w:rsidRPr="00324AD7">
        <w:t>for the tax and social security law examination</w:t>
      </w:r>
      <w:r w:rsidR="00E01B66" w:rsidRPr="00324AD7">
        <w:t xml:space="preserve"> </w:t>
      </w:r>
      <w:r w:rsidR="00BA55BC" w:rsidRPr="00324AD7">
        <w:t>–</w:t>
      </w:r>
      <w:r w:rsidR="000F7058" w:rsidRPr="00324AD7">
        <w:t xml:space="preserve"> </w:t>
      </w:r>
      <w:r w:rsidR="00347883" w:rsidRPr="00324AD7">
        <w:t>70 per cent of the maximum number of marks</w:t>
      </w:r>
      <w:r w:rsidR="00FD3CB8" w:rsidRPr="00324AD7">
        <w:t>.</w:t>
      </w:r>
    </w:p>
    <w:p w:rsidR="00E01B66" w:rsidRPr="00324AD7" w:rsidRDefault="004E3E2D" w:rsidP="00BA55BC">
      <w:pPr>
        <w:pStyle w:val="NormalWeb"/>
        <w:spacing w:before="0" w:beforeAutospacing="0" w:after="0" w:afterAutospacing="0"/>
        <w:ind w:firstLine="709"/>
        <w:jc w:val="both"/>
      </w:pPr>
      <w:r w:rsidRPr="00324AD7">
        <w:rPr>
          <w:b/>
        </w:rPr>
        <w:t>Art.</w:t>
      </w:r>
      <w:r w:rsidR="00AD76CC" w:rsidRPr="00324AD7">
        <w:rPr>
          <w:b/>
        </w:rPr>
        <w:t xml:space="preserve"> </w:t>
      </w:r>
      <w:r w:rsidR="00734C96" w:rsidRPr="00324AD7">
        <w:rPr>
          <w:b/>
        </w:rPr>
        <w:t>27</w:t>
      </w:r>
      <w:r w:rsidR="00F6565F" w:rsidRPr="00324AD7">
        <w:t>.</w:t>
      </w:r>
      <w:r w:rsidR="00E01B66" w:rsidRPr="00324AD7">
        <w:t xml:space="preserve"> </w:t>
      </w:r>
      <w:r w:rsidR="003C3484" w:rsidRPr="00324AD7">
        <w:t xml:space="preserve">(1) </w:t>
      </w:r>
      <w:r w:rsidR="00361A68" w:rsidRPr="00324AD7">
        <w:t xml:space="preserve">Examination results shall be made publicly available on ICPA’s website </w:t>
      </w:r>
      <w:r w:rsidR="008D4BB5" w:rsidRPr="00324AD7">
        <w:t>(</w:t>
      </w:r>
      <w:hyperlink r:id="rId18" w:tgtFrame="_blank" w:history="1">
        <w:r w:rsidR="0021094B" w:rsidRPr="00324AD7">
          <w:rPr>
            <w:rStyle w:val="Hyperlink"/>
            <w:color w:val="0070C0"/>
          </w:rPr>
          <w:t>www.ides.bg</w:t>
        </w:r>
      </w:hyperlink>
      <w:r w:rsidR="008D4BB5" w:rsidRPr="00324AD7">
        <w:t>)</w:t>
      </w:r>
      <w:r w:rsidR="00E01B66" w:rsidRPr="00324AD7">
        <w:t xml:space="preserve">, </w:t>
      </w:r>
      <w:r w:rsidR="00361A68" w:rsidRPr="00324AD7">
        <w:t>as follows</w:t>
      </w:r>
      <w:r w:rsidR="00E01B66" w:rsidRPr="00324AD7">
        <w:t>:</w:t>
      </w:r>
    </w:p>
    <w:p w:rsidR="00E01B66" w:rsidRPr="00324AD7" w:rsidRDefault="00361A68" w:rsidP="00BA55BC">
      <w:pPr>
        <w:pStyle w:val="NormalWeb"/>
        <w:numPr>
          <w:ilvl w:val="0"/>
          <w:numId w:val="26"/>
        </w:numPr>
        <w:tabs>
          <w:tab w:val="left" w:pos="993"/>
        </w:tabs>
        <w:spacing w:before="0" w:beforeAutospacing="0" w:after="0" w:afterAutospacing="0"/>
        <w:ind w:left="0" w:firstLine="709"/>
        <w:jc w:val="both"/>
        <w:rPr>
          <w:bCs/>
        </w:rPr>
      </w:pPr>
      <w:r w:rsidRPr="00324AD7">
        <w:t>Examination results from the closed-ended question tests shall be announced after the end of the examination</w:t>
      </w:r>
      <w:r w:rsidR="00E01B66" w:rsidRPr="00324AD7">
        <w:t>;</w:t>
      </w:r>
    </w:p>
    <w:p w:rsidR="00E01B66" w:rsidRPr="00324AD7" w:rsidRDefault="00361A68" w:rsidP="00BA55BC">
      <w:pPr>
        <w:pStyle w:val="NormalWeb"/>
        <w:numPr>
          <w:ilvl w:val="0"/>
          <w:numId w:val="26"/>
        </w:numPr>
        <w:tabs>
          <w:tab w:val="left" w:pos="993"/>
        </w:tabs>
        <w:spacing w:before="0" w:beforeAutospacing="0" w:after="0" w:afterAutospacing="0"/>
        <w:ind w:left="0" w:firstLine="709"/>
        <w:jc w:val="both"/>
        <w:rPr>
          <w:bCs/>
        </w:rPr>
      </w:pPr>
      <w:r w:rsidRPr="00324AD7">
        <w:t>Examination results from the second stages of the examinations conducted using open-ended questions or case studies shall be announced within 10 working days as of the date of the examination</w:t>
      </w:r>
      <w:r w:rsidR="00E01B66" w:rsidRPr="00324AD7">
        <w:t>.</w:t>
      </w:r>
    </w:p>
    <w:p w:rsidR="00E01B66" w:rsidRPr="00324AD7" w:rsidRDefault="00E01B66" w:rsidP="00BA55BC">
      <w:pPr>
        <w:pStyle w:val="NormalWeb"/>
        <w:spacing w:before="0" w:beforeAutospacing="0" w:after="0" w:afterAutospacing="0"/>
        <w:ind w:firstLine="709"/>
        <w:jc w:val="both"/>
      </w:pPr>
      <w:r w:rsidRPr="00324AD7">
        <w:t>(</w:t>
      </w:r>
      <w:r w:rsidR="003C3484" w:rsidRPr="00324AD7">
        <w:t>2</w:t>
      </w:r>
      <w:r w:rsidRPr="00324AD7">
        <w:t xml:space="preserve">) </w:t>
      </w:r>
      <w:r w:rsidR="00361A68" w:rsidRPr="00324AD7">
        <w:t>The information under</w:t>
      </w:r>
      <w:r w:rsidRPr="00324AD7">
        <w:t xml:space="preserve"> </w:t>
      </w:r>
      <w:r w:rsidR="004E3E2D" w:rsidRPr="00324AD7">
        <w:t>paragraph</w:t>
      </w:r>
      <w:r w:rsidRPr="00324AD7">
        <w:t xml:space="preserve"> 1 </w:t>
      </w:r>
      <w:r w:rsidR="00361A68" w:rsidRPr="00324AD7">
        <w:t>shall include the following</w:t>
      </w:r>
      <w:r w:rsidRPr="00324AD7">
        <w:t>:</w:t>
      </w:r>
    </w:p>
    <w:p w:rsidR="00E01B66" w:rsidRPr="00324AD7" w:rsidRDefault="00361A68" w:rsidP="00BA55BC">
      <w:pPr>
        <w:pStyle w:val="NormalWeb"/>
        <w:spacing w:before="0" w:beforeAutospacing="0" w:after="0" w:afterAutospacing="0"/>
        <w:ind w:firstLine="709"/>
        <w:jc w:val="both"/>
      </w:pPr>
      <w:r w:rsidRPr="00324AD7">
        <w:t>a</w:t>
      </w:r>
      <w:r w:rsidR="00E01B66" w:rsidRPr="00324AD7">
        <w:t xml:space="preserve">) </w:t>
      </w:r>
      <w:r w:rsidRPr="00324AD7">
        <w:t>Registration number at</w:t>
      </w:r>
      <w:r w:rsidR="00E01B66" w:rsidRPr="00324AD7">
        <w:t xml:space="preserve"> </w:t>
      </w:r>
      <w:r w:rsidR="004E3E2D" w:rsidRPr="00324AD7">
        <w:t>ICPA</w:t>
      </w:r>
      <w:r w:rsidR="00E01B66" w:rsidRPr="00324AD7">
        <w:t>;</w:t>
      </w:r>
    </w:p>
    <w:p w:rsidR="00E01B66" w:rsidRPr="00324AD7" w:rsidRDefault="00361A68" w:rsidP="00BA55BC">
      <w:pPr>
        <w:pStyle w:val="NormalWeb"/>
        <w:spacing w:before="0" w:beforeAutospacing="0" w:after="0" w:afterAutospacing="0"/>
        <w:ind w:firstLine="709"/>
        <w:jc w:val="both"/>
      </w:pPr>
      <w:r w:rsidRPr="00324AD7">
        <w:t>b</w:t>
      </w:r>
      <w:r w:rsidR="00E01B66" w:rsidRPr="00324AD7">
        <w:t xml:space="preserve">) </w:t>
      </w:r>
      <w:r w:rsidRPr="00324AD7">
        <w:t>Full name</w:t>
      </w:r>
      <w:r w:rsidR="00E01B66" w:rsidRPr="00324AD7">
        <w:t>;</w:t>
      </w:r>
    </w:p>
    <w:p w:rsidR="00E01B66" w:rsidRPr="00324AD7" w:rsidRDefault="00C30B29" w:rsidP="00BA55BC">
      <w:pPr>
        <w:pStyle w:val="NormalWeb"/>
        <w:spacing w:before="0" w:beforeAutospacing="0" w:after="0" w:afterAutospacing="0"/>
        <w:ind w:firstLine="709"/>
        <w:jc w:val="both"/>
      </w:pPr>
      <w:r>
        <w:t>c</w:t>
      </w:r>
      <w:r w:rsidR="00E01B66" w:rsidRPr="00324AD7">
        <w:t xml:space="preserve">) </w:t>
      </w:r>
      <w:r w:rsidR="00361A68" w:rsidRPr="00324AD7">
        <w:t>Individual number for the examination</w:t>
      </w:r>
      <w:r w:rsidR="00E01B66" w:rsidRPr="00324AD7">
        <w:t>;</w:t>
      </w:r>
    </w:p>
    <w:p w:rsidR="00E01B66" w:rsidRPr="00324AD7" w:rsidRDefault="00361A68" w:rsidP="00BA55BC">
      <w:pPr>
        <w:pStyle w:val="NormalWeb"/>
        <w:spacing w:before="0" w:beforeAutospacing="0" w:after="0" w:afterAutospacing="0"/>
        <w:ind w:firstLine="709"/>
        <w:jc w:val="both"/>
      </w:pPr>
      <w:r w:rsidRPr="00324AD7">
        <w:t>d</w:t>
      </w:r>
      <w:r w:rsidR="00E01B66" w:rsidRPr="00324AD7">
        <w:t xml:space="preserve">) </w:t>
      </w:r>
      <w:r w:rsidRPr="00324AD7">
        <w:t>Information on whether the examination has been successfully passed</w:t>
      </w:r>
      <w:r w:rsidR="00E01B66" w:rsidRPr="00324AD7">
        <w:t>.</w:t>
      </w:r>
    </w:p>
    <w:p w:rsidR="00E01B66"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14" w:name="_Toc535598120"/>
      <w:r w:rsidRPr="00324AD7">
        <w:rPr>
          <w:i w:val="0"/>
          <w:color w:val="auto"/>
          <w:sz w:val="24"/>
          <w:szCs w:val="24"/>
          <w:lang w:val="en-GB"/>
        </w:rPr>
        <w:t xml:space="preserve">Chapter </w:t>
      </w:r>
      <w:bookmarkEnd w:id="14"/>
      <w:r w:rsidRPr="00324AD7">
        <w:rPr>
          <w:i w:val="0"/>
          <w:color w:val="auto"/>
          <w:sz w:val="24"/>
          <w:szCs w:val="24"/>
          <w:lang w:val="en-GB"/>
        </w:rPr>
        <w:t>Seven</w:t>
      </w:r>
    </w:p>
    <w:p w:rsidR="00E01B66" w:rsidRPr="00324AD7" w:rsidRDefault="00361A68" w:rsidP="00BA55BC">
      <w:pPr>
        <w:pStyle w:val="IntenseQuote"/>
        <w:pBdr>
          <w:bottom w:val="none" w:sz="0" w:space="0" w:color="auto"/>
        </w:pBdr>
        <w:spacing w:before="0" w:after="120"/>
        <w:ind w:left="0" w:right="0"/>
        <w:jc w:val="center"/>
        <w:outlineLvl w:val="0"/>
        <w:rPr>
          <w:i w:val="0"/>
          <w:color w:val="auto"/>
          <w:sz w:val="24"/>
          <w:szCs w:val="24"/>
          <w:lang w:val="en-GB"/>
        </w:rPr>
      </w:pPr>
      <w:r w:rsidRPr="00324AD7">
        <w:rPr>
          <w:i w:val="0"/>
          <w:color w:val="auto"/>
          <w:sz w:val="24"/>
          <w:szCs w:val="24"/>
          <w:lang w:val="en-GB"/>
        </w:rPr>
        <w:t>APPEAL</w:t>
      </w:r>
    </w:p>
    <w:p w:rsidR="00E01B66" w:rsidRPr="00324AD7" w:rsidRDefault="004E3E2D" w:rsidP="00BA55BC">
      <w:pPr>
        <w:ind w:firstLine="709"/>
        <w:jc w:val="both"/>
        <w:rPr>
          <w:sz w:val="24"/>
          <w:szCs w:val="24"/>
          <w:lang w:val="en-GB"/>
        </w:rPr>
      </w:pPr>
      <w:r w:rsidRPr="00324AD7">
        <w:rPr>
          <w:b/>
          <w:sz w:val="24"/>
          <w:szCs w:val="24"/>
          <w:lang w:val="en-GB"/>
        </w:rPr>
        <w:lastRenderedPageBreak/>
        <w:t>Art.</w:t>
      </w:r>
      <w:r w:rsidR="00E01B66" w:rsidRPr="00324AD7">
        <w:rPr>
          <w:b/>
          <w:sz w:val="24"/>
          <w:szCs w:val="24"/>
          <w:lang w:val="en-GB"/>
        </w:rPr>
        <w:t xml:space="preserve"> </w:t>
      </w:r>
      <w:r w:rsidR="00734C96" w:rsidRPr="00324AD7">
        <w:rPr>
          <w:b/>
          <w:sz w:val="24"/>
          <w:szCs w:val="24"/>
          <w:lang w:val="en-GB"/>
        </w:rPr>
        <w:t>28</w:t>
      </w:r>
      <w:r w:rsidR="00E01B66" w:rsidRPr="00324AD7">
        <w:rPr>
          <w:b/>
          <w:sz w:val="24"/>
          <w:szCs w:val="24"/>
          <w:lang w:val="en-GB"/>
        </w:rPr>
        <w:t>.</w:t>
      </w:r>
      <w:r w:rsidR="00E01B66" w:rsidRPr="00324AD7">
        <w:rPr>
          <w:sz w:val="24"/>
          <w:szCs w:val="24"/>
          <w:lang w:val="en-GB"/>
        </w:rPr>
        <w:t xml:space="preserve"> (1) </w:t>
      </w:r>
      <w:r w:rsidR="00C67366" w:rsidRPr="00324AD7">
        <w:rPr>
          <w:sz w:val="24"/>
          <w:szCs w:val="24"/>
          <w:lang w:val="en-GB"/>
        </w:rPr>
        <w:t>After the date of making public the results, each candidate shall have</w:t>
      </w:r>
      <w:r w:rsidR="00E01B66" w:rsidRPr="00324AD7">
        <w:rPr>
          <w:sz w:val="24"/>
          <w:szCs w:val="24"/>
          <w:lang w:val="en-GB"/>
        </w:rPr>
        <w:t xml:space="preserve"> </w:t>
      </w:r>
      <w:r w:rsidR="00C67366" w:rsidRPr="00324AD7">
        <w:rPr>
          <w:sz w:val="24"/>
          <w:szCs w:val="24"/>
          <w:lang w:val="en-GB"/>
        </w:rPr>
        <w:t>access to the information about his or her answers to the open-ended questions and/or case studies of the second stage of the relevant examination within a period of time announced in advance on</w:t>
      </w:r>
      <w:r w:rsidR="003C3484" w:rsidRPr="00324AD7">
        <w:rPr>
          <w:sz w:val="24"/>
          <w:szCs w:val="24"/>
          <w:lang w:val="en-GB"/>
        </w:rPr>
        <w:t xml:space="preserve"> </w:t>
      </w:r>
      <w:r w:rsidR="0002565D" w:rsidRPr="00324AD7">
        <w:rPr>
          <w:sz w:val="24"/>
          <w:szCs w:val="24"/>
          <w:lang w:val="en-GB"/>
        </w:rPr>
        <w:t>ICPA’s website</w:t>
      </w:r>
      <w:r w:rsidR="003C3484" w:rsidRPr="00324AD7">
        <w:rPr>
          <w:sz w:val="24"/>
          <w:szCs w:val="24"/>
          <w:lang w:val="en-GB"/>
        </w:rPr>
        <w:t>.</w:t>
      </w:r>
      <w:r w:rsidR="00482B78" w:rsidRPr="00324AD7">
        <w:rPr>
          <w:sz w:val="24"/>
          <w:szCs w:val="24"/>
          <w:lang w:val="en-GB"/>
        </w:rPr>
        <w:t xml:space="preserve"> </w:t>
      </w:r>
      <w:r w:rsidR="00C67366" w:rsidRPr="00324AD7">
        <w:rPr>
          <w:sz w:val="24"/>
          <w:szCs w:val="24"/>
          <w:lang w:val="en-GB"/>
        </w:rPr>
        <w:t>This period shall be announced not later than</w:t>
      </w:r>
      <w:r w:rsidR="00482B78" w:rsidRPr="00324AD7">
        <w:rPr>
          <w:sz w:val="24"/>
          <w:szCs w:val="24"/>
          <w:lang w:val="en-GB"/>
        </w:rPr>
        <w:t xml:space="preserve"> 14 </w:t>
      </w:r>
      <w:r w:rsidR="00C67366" w:rsidRPr="00324AD7">
        <w:rPr>
          <w:sz w:val="24"/>
          <w:szCs w:val="24"/>
          <w:lang w:val="en-GB"/>
        </w:rPr>
        <w:t>days as of the date of the relevant examination</w:t>
      </w:r>
      <w:r w:rsidR="00482B78" w:rsidRPr="00324AD7">
        <w:rPr>
          <w:sz w:val="24"/>
          <w:szCs w:val="24"/>
          <w:lang w:val="en-GB"/>
        </w:rPr>
        <w:t>.</w:t>
      </w:r>
    </w:p>
    <w:p w:rsidR="00E01B66" w:rsidRPr="00324AD7" w:rsidRDefault="00E01B66" w:rsidP="00BA55BC">
      <w:pPr>
        <w:ind w:firstLine="709"/>
        <w:jc w:val="both"/>
        <w:rPr>
          <w:sz w:val="24"/>
          <w:szCs w:val="24"/>
          <w:lang w:val="en-GB"/>
        </w:rPr>
      </w:pPr>
      <w:r w:rsidRPr="00324AD7">
        <w:rPr>
          <w:sz w:val="24"/>
          <w:szCs w:val="24"/>
          <w:lang w:val="en-GB"/>
        </w:rPr>
        <w:t xml:space="preserve">(2) </w:t>
      </w:r>
      <w:r w:rsidR="00C67366" w:rsidRPr="00324AD7">
        <w:rPr>
          <w:sz w:val="24"/>
          <w:szCs w:val="24"/>
          <w:lang w:val="en-GB"/>
        </w:rPr>
        <w:t xml:space="preserve">The time period of the access under </w:t>
      </w:r>
      <w:r w:rsidR="004E3E2D" w:rsidRPr="00324AD7">
        <w:rPr>
          <w:sz w:val="24"/>
          <w:szCs w:val="24"/>
          <w:lang w:val="en-GB"/>
        </w:rPr>
        <w:t>paragraph</w:t>
      </w:r>
      <w:r w:rsidRPr="00324AD7">
        <w:rPr>
          <w:sz w:val="24"/>
          <w:szCs w:val="24"/>
          <w:lang w:val="en-GB"/>
        </w:rPr>
        <w:t xml:space="preserve"> 1 </w:t>
      </w:r>
      <w:r w:rsidR="00C67366" w:rsidRPr="00324AD7">
        <w:rPr>
          <w:sz w:val="24"/>
          <w:szCs w:val="24"/>
          <w:lang w:val="en-GB"/>
        </w:rPr>
        <w:t>shall be set by the commissions for the preparation and conducting of the relevant examinations and shall be announced in advance on the website of the Institute</w:t>
      </w:r>
      <w:r w:rsidRPr="00324AD7">
        <w:rPr>
          <w:sz w:val="24"/>
          <w:szCs w:val="24"/>
          <w:lang w:val="en-GB"/>
        </w:rPr>
        <w:t>.</w:t>
      </w:r>
    </w:p>
    <w:p w:rsidR="00E01B66" w:rsidRPr="00324AD7" w:rsidRDefault="00E01B66" w:rsidP="00BA55BC">
      <w:pPr>
        <w:ind w:firstLine="709"/>
        <w:jc w:val="both"/>
        <w:rPr>
          <w:sz w:val="24"/>
          <w:szCs w:val="24"/>
          <w:lang w:val="en-GB"/>
        </w:rPr>
      </w:pPr>
      <w:r w:rsidRPr="00324AD7">
        <w:rPr>
          <w:sz w:val="24"/>
          <w:szCs w:val="24"/>
          <w:lang w:val="en-GB"/>
        </w:rPr>
        <w:t xml:space="preserve">(3) </w:t>
      </w:r>
      <w:r w:rsidR="00C67366" w:rsidRPr="00324AD7">
        <w:rPr>
          <w:sz w:val="24"/>
          <w:szCs w:val="24"/>
          <w:lang w:val="en-GB"/>
        </w:rPr>
        <w:t>The access under paragraph 1 shall be granted at ICPA’s premises with the use of copying devices, including telephones and cameras, being prohibited</w:t>
      </w:r>
      <w:r w:rsidRPr="00324AD7">
        <w:rPr>
          <w:sz w:val="24"/>
          <w:szCs w:val="24"/>
          <w:lang w:val="en-GB"/>
        </w:rPr>
        <w:t>.</w:t>
      </w:r>
    </w:p>
    <w:p w:rsidR="00AA605E" w:rsidRPr="00324AD7" w:rsidRDefault="00E01B66" w:rsidP="00BA55BC">
      <w:pPr>
        <w:ind w:firstLine="709"/>
        <w:jc w:val="both"/>
        <w:rPr>
          <w:sz w:val="24"/>
          <w:szCs w:val="24"/>
          <w:lang w:val="en-GB"/>
        </w:rPr>
      </w:pPr>
      <w:r w:rsidRPr="00324AD7">
        <w:rPr>
          <w:sz w:val="24"/>
          <w:szCs w:val="24"/>
          <w:lang w:val="en-GB"/>
        </w:rPr>
        <w:t xml:space="preserve">(4) </w:t>
      </w:r>
      <w:r w:rsidR="00C67366" w:rsidRPr="00324AD7">
        <w:rPr>
          <w:sz w:val="24"/>
          <w:szCs w:val="24"/>
          <w:lang w:val="en-GB"/>
        </w:rPr>
        <w:t>When providing information to candidates about the results as set out in</w:t>
      </w:r>
      <w:r w:rsidRPr="00324AD7">
        <w:rPr>
          <w:sz w:val="24"/>
          <w:szCs w:val="24"/>
          <w:lang w:val="en-GB"/>
        </w:rPr>
        <w:t xml:space="preserve"> </w:t>
      </w:r>
      <w:r w:rsidR="004E3E2D" w:rsidRPr="00324AD7">
        <w:rPr>
          <w:sz w:val="24"/>
          <w:szCs w:val="24"/>
          <w:lang w:val="en-GB"/>
        </w:rPr>
        <w:t>paragraph</w:t>
      </w:r>
      <w:r w:rsidRPr="00324AD7">
        <w:rPr>
          <w:sz w:val="24"/>
          <w:szCs w:val="24"/>
          <w:lang w:val="en-GB"/>
        </w:rPr>
        <w:t xml:space="preserve"> 1</w:t>
      </w:r>
      <w:r w:rsidR="00C67366" w:rsidRPr="00324AD7">
        <w:rPr>
          <w:sz w:val="24"/>
          <w:szCs w:val="24"/>
          <w:lang w:val="en-GB"/>
        </w:rPr>
        <w:t>, access shall be granted to the</w:t>
      </w:r>
      <w:r w:rsidRPr="00324AD7">
        <w:rPr>
          <w:sz w:val="24"/>
          <w:szCs w:val="24"/>
          <w:lang w:val="en-GB"/>
        </w:rPr>
        <w:t xml:space="preserve"> </w:t>
      </w:r>
      <w:r w:rsidR="00C67366" w:rsidRPr="00324AD7">
        <w:rPr>
          <w:sz w:val="24"/>
          <w:szCs w:val="24"/>
          <w:lang w:val="en-GB"/>
        </w:rPr>
        <w:t>statement of the question or case study</w:t>
      </w:r>
      <w:r w:rsidR="00AA605E" w:rsidRPr="00324AD7">
        <w:rPr>
          <w:sz w:val="24"/>
          <w:szCs w:val="24"/>
          <w:lang w:val="en-GB"/>
        </w:rPr>
        <w:t xml:space="preserve">, </w:t>
      </w:r>
      <w:r w:rsidR="00C67366" w:rsidRPr="00324AD7">
        <w:rPr>
          <w:sz w:val="24"/>
          <w:szCs w:val="24"/>
          <w:lang w:val="en-GB"/>
        </w:rPr>
        <w:t>the solutions provided by the candidate for each part of the statement of the question or case study</w:t>
      </w:r>
      <w:r w:rsidR="00EB236C" w:rsidRPr="00324AD7">
        <w:rPr>
          <w:sz w:val="24"/>
          <w:szCs w:val="24"/>
          <w:lang w:val="en-GB"/>
        </w:rPr>
        <w:t>,</w:t>
      </w:r>
      <w:r w:rsidR="00C67366" w:rsidRPr="00324AD7">
        <w:rPr>
          <w:sz w:val="24"/>
          <w:szCs w:val="24"/>
          <w:lang w:val="en-GB"/>
        </w:rPr>
        <w:t xml:space="preserve"> </w:t>
      </w:r>
      <w:r w:rsidR="00EB236C" w:rsidRPr="00324AD7">
        <w:rPr>
          <w:sz w:val="24"/>
          <w:szCs w:val="24"/>
          <w:lang w:val="en-GB"/>
        </w:rPr>
        <w:t>and the number of marks obtained with allocation to each question/case study in accordance with</w:t>
      </w:r>
      <w:r w:rsidR="006C1095" w:rsidRPr="00324AD7">
        <w:rPr>
          <w:sz w:val="24"/>
          <w:szCs w:val="24"/>
          <w:lang w:val="en-GB"/>
        </w:rPr>
        <w:t xml:space="preserve"> </w:t>
      </w:r>
      <w:r w:rsidR="004E3E2D" w:rsidRPr="00324AD7">
        <w:rPr>
          <w:sz w:val="24"/>
          <w:szCs w:val="24"/>
          <w:lang w:val="en-GB"/>
        </w:rPr>
        <w:t>Art.</w:t>
      </w:r>
      <w:r w:rsidR="006C1095" w:rsidRPr="00324AD7">
        <w:rPr>
          <w:sz w:val="24"/>
          <w:szCs w:val="24"/>
          <w:lang w:val="en-GB"/>
        </w:rPr>
        <w:t xml:space="preserve"> 25, </w:t>
      </w:r>
      <w:r w:rsidR="004E3E2D" w:rsidRPr="00324AD7">
        <w:rPr>
          <w:sz w:val="24"/>
          <w:szCs w:val="24"/>
          <w:lang w:val="en-GB"/>
        </w:rPr>
        <w:t>paragraph</w:t>
      </w:r>
      <w:r w:rsidR="006C1095" w:rsidRPr="00324AD7">
        <w:rPr>
          <w:sz w:val="24"/>
          <w:szCs w:val="24"/>
          <w:lang w:val="en-GB"/>
        </w:rPr>
        <w:t xml:space="preserve"> 1</w:t>
      </w:r>
      <w:r w:rsidR="00CD3635" w:rsidRPr="00324AD7">
        <w:rPr>
          <w:sz w:val="24"/>
          <w:szCs w:val="24"/>
          <w:lang w:val="en-GB"/>
        </w:rPr>
        <w:t>.</w:t>
      </w:r>
    </w:p>
    <w:p w:rsidR="00E01B66" w:rsidRPr="00324AD7" w:rsidRDefault="004E3E2D" w:rsidP="00BA55BC">
      <w:pPr>
        <w:pStyle w:val="NormalWeb"/>
        <w:spacing w:before="0" w:beforeAutospacing="0" w:after="0" w:afterAutospacing="0"/>
        <w:ind w:firstLine="709"/>
        <w:jc w:val="both"/>
      </w:pPr>
      <w:r w:rsidRPr="00324AD7">
        <w:rPr>
          <w:b/>
        </w:rPr>
        <w:t>Art.</w:t>
      </w:r>
      <w:r w:rsidR="00E01B66" w:rsidRPr="00324AD7">
        <w:rPr>
          <w:b/>
        </w:rPr>
        <w:t xml:space="preserve"> </w:t>
      </w:r>
      <w:r w:rsidR="000F7A0F" w:rsidRPr="00324AD7">
        <w:rPr>
          <w:b/>
        </w:rPr>
        <w:t>29</w:t>
      </w:r>
      <w:r w:rsidR="003C3484" w:rsidRPr="00324AD7">
        <w:rPr>
          <w:b/>
        </w:rPr>
        <w:t>.</w:t>
      </w:r>
      <w:r w:rsidR="00E01B66" w:rsidRPr="00324AD7">
        <w:t xml:space="preserve"> (1) </w:t>
      </w:r>
      <w:r w:rsidR="00EB236C" w:rsidRPr="00324AD7">
        <w:t xml:space="preserve">Where, according to candidate’s opinion, infringements of the procedure laid down in the requirements of these Rules have been made in conducting the examination, the candidate may, within a period of 10 working days as of the expiry of the term under </w:t>
      </w:r>
      <w:r w:rsidRPr="00324AD7">
        <w:t>Art.</w:t>
      </w:r>
      <w:r w:rsidR="00E01B66" w:rsidRPr="00324AD7">
        <w:t xml:space="preserve"> </w:t>
      </w:r>
      <w:r w:rsidR="003C3484" w:rsidRPr="00324AD7">
        <w:t>27</w:t>
      </w:r>
      <w:r w:rsidR="00482B78" w:rsidRPr="00324AD7">
        <w:t>,</w:t>
      </w:r>
      <w:r w:rsidR="00E01B66" w:rsidRPr="00324AD7">
        <w:t xml:space="preserve"> </w:t>
      </w:r>
      <w:r w:rsidRPr="00324AD7">
        <w:t>paragraph</w:t>
      </w:r>
      <w:r w:rsidR="00E01B66" w:rsidRPr="00324AD7">
        <w:t xml:space="preserve"> 1</w:t>
      </w:r>
      <w:r w:rsidR="00EB236C" w:rsidRPr="00324AD7">
        <w:t>,</w:t>
      </w:r>
      <w:r w:rsidR="00E01B66" w:rsidRPr="00324AD7">
        <w:t xml:space="preserve"> </w:t>
      </w:r>
      <w:r w:rsidR="00EB236C" w:rsidRPr="00324AD7">
        <w:t xml:space="preserve">submit a complaint </w:t>
      </w:r>
      <w:r w:rsidR="006C3363">
        <w:t xml:space="preserve">with </w:t>
      </w:r>
      <w:r w:rsidRPr="00324AD7">
        <w:t>ICPA</w:t>
      </w:r>
      <w:r w:rsidR="00E01B66" w:rsidRPr="00324AD7">
        <w:t>.</w:t>
      </w:r>
    </w:p>
    <w:p w:rsidR="00E01B66" w:rsidRPr="00324AD7" w:rsidRDefault="00E01B66" w:rsidP="00BA55BC">
      <w:pPr>
        <w:pStyle w:val="NormalWeb"/>
        <w:spacing w:before="0" w:beforeAutospacing="0" w:after="0" w:afterAutospacing="0"/>
        <w:ind w:firstLine="709"/>
        <w:jc w:val="both"/>
      </w:pPr>
      <w:r w:rsidRPr="00324AD7">
        <w:t xml:space="preserve">(2) </w:t>
      </w:r>
      <w:r w:rsidR="00EB236C" w:rsidRPr="00324AD7">
        <w:t>The complaints under paragraph 1 shall be considered by the Commission for the Organization of the Examinations within a period of 5 working days as of the expiry of the term for their submission</w:t>
      </w:r>
      <w:r w:rsidRPr="00324AD7">
        <w:t xml:space="preserve">. </w:t>
      </w:r>
      <w:r w:rsidR="00EB236C" w:rsidRPr="00324AD7">
        <w:t>The Commission for the Organization of the Examinations shall announce its decision on each of the complaints</w:t>
      </w:r>
      <w:r w:rsidRPr="00324AD7">
        <w:t xml:space="preserve">. </w:t>
      </w:r>
      <w:r w:rsidR="00EB236C" w:rsidRPr="00324AD7">
        <w:t>Within a period of 5 working days as of the announcement of the decision, the Commission for the Organization of the Examinations shall inform the complainants about the decisions made by a registered letter with acknowledgment of receipt or via electronic mail to the e-mail address indicated by the candidate</w:t>
      </w:r>
      <w:r w:rsidRPr="00324AD7">
        <w:t>.</w:t>
      </w:r>
    </w:p>
    <w:p w:rsidR="00E01B66" w:rsidRPr="00324AD7" w:rsidRDefault="00E01B66" w:rsidP="00BA55BC">
      <w:pPr>
        <w:pStyle w:val="NormalWeb"/>
        <w:spacing w:before="0" w:beforeAutospacing="0" w:after="0" w:afterAutospacing="0"/>
        <w:ind w:firstLine="709"/>
        <w:jc w:val="both"/>
      </w:pPr>
      <w:r w:rsidRPr="00324AD7">
        <w:t xml:space="preserve">(3) </w:t>
      </w:r>
      <w:r w:rsidR="00EB236C" w:rsidRPr="00324AD7">
        <w:t>Where the requests in the submitted complaints have been partially or fully dismissed, the Commission for the Organization of the Examinations shall, within a period of five working days as of the announcement under paragraph 2, forward the entire documentation on each of these complaints to be decided by CPOSA</w:t>
      </w:r>
      <w:r w:rsidRPr="00324AD7">
        <w:t>.</w:t>
      </w:r>
    </w:p>
    <w:p w:rsidR="00E01B66" w:rsidRPr="00324AD7" w:rsidRDefault="00E01B66" w:rsidP="00BA55BC">
      <w:pPr>
        <w:pStyle w:val="NormalWeb"/>
        <w:spacing w:before="0" w:beforeAutospacing="0" w:after="0" w:afterAutospacing="0"/>
        <w:ind w:firstLine="709"/>
        <w:jc w:val="both"/>
      </w:pPr>
      <w:r w:rsidRPr="00324AD7">
        <w:t xml:space="preserve">(4) </w:t>
      </w:r>
      <w:r w:rsidR="00591AB4" w:rsidRPr="00324AD7">
        <w:t>The files of the complaints under</w:t>
      </w:r>
      <w:r w:rsidR="00591AB4" w:rsidRPr="00324AD7">
        <w:rPr>
          <w:rFonts w:eastAsia="Times New Roman"/>
          <w:sz w:val="20"/>
          <w:szCs w:val="20"/>
          <w:lang w:eastAsia="bg-BG"/>
        </w:rPr>
        <w:t xml:space="preserve"> </w:t>
      </w:r>
      <w:r w:rsidR="00591AB4" w:rsidRPr="00324AD7">
        <w:t>paragraph 3 received by CPOSA shall be considered by the Commission within a period of 10 working days as of the date of submission</w:t>
      </w:r>
      <w:r w:rsidRPr="00324AD7">
        <w:t xml:space="preserve">. </w:t>
      </w:r>
      <w:r w:rsidR="00591AB4" w:rsidRPr="00324AD7">
        <w:t>The Commission for Public Oversight of Statutory Auditors shall announce its decision on each of the submitted complaints</w:t>
      </w:r>
      <w:r w:rsidRPr="00324AD7">
        <w:t xml:space="preserve">. </w:t>
      </w:r>
      <w:r w:rsidR="00591AB4" w:rsidRPr="00324AD7">
        <w:t xml:space="preserve">Within a period of five working days </w:t>
      </w:r>
      <w:r w:rsidR="006C3363">
        <w:t>from</w:t>
      </w:r>
      <w:r w:rsidR="00591AB4" w:rsidRPr="00324AD7">
        <w:t xml:space="preserve"> the announcement, CPOSA shall inform the complainants about the decisions made</w:t>
      </w:r>
      <w:r w:rsidR="003C3484" w:rsidRPr="00324AD7">
        <w:t>.</w:t>
      </w:r>
    </w:p>
    <w:p w:rsidR="00E01B66" w:rsidRPr="00324AD7" w:rsidRDefault="00E01B66" w:rsidP="00BA55BC">
      <w:pPr>
        <w:pStyle w:val="NormalWeb"/>
        <w:spacing w:before="0" w:beforeAutospacing="0" w:after="0" w:afterAutospacing="0"/>
        <w:ind w:firstLine="709"/>
        <w:jc w:val="both"/>
        <w:rPr>
          <w:b/>
        </w:rPr>
      </w:pPr>
      <w:r w:rsidRPr="00324AD7">
        <w:t xml:space="preserve">(5) </w:t>
      </w:r>
      <w:r w:rsidR="00591AB4" w:rsidRPr="00324AD7">
        <w:t>CPOSA’s decision under paragraph 4 shall be final and not subject to judicial appeal</w:t>
      </w:r>
      <w:r w:rsidRPr="00324AD7">
        <w:t>.</w:t>
      </w:r>
    </w:p>
    <w:p w:rsidR="00E01B66" w:rsidRPr="00324AD7" w:rsidRDefault="00E01B66" w:rsidP="00BA55BC">
      <w:pPr>
        <w:pStyle w:val="NormalWeb"/>
        <w:spacing w:before="0" w:beforeAutospacing="0" w:after="0" w:afterAutospacing="0"/>
        <w:ind w:firstLine="709"/>
        <w:jc w:val="both"/>
      </w:pPr>
      <w:r w:rsidRPr="00324AD7">
        <w:t xml:space="preserve">(6) </w:t>
      </w:r>
      <w:r w:rsidR="00591AB4" w:rsidRPr="00324AD7">
        <w:t>The complaint under paragraph 1 and 3 shall be submitted in person or by post through a letter with acknowledgement of receipt</w:t>
      </w:r>
      <w:r w:rsidRPr="00324AD7">
        <w:t xml:space="preserve">. </w:t>
      </w:r>
      <w:r w:rsidR="00591AB4" w:rsidRPr="00324AD7">
        <w:t>The complaint has to be in the Bulgarian language and shall contain at least</w:t>
      </w:r>
      <w:r w:rsidR="003C3484" w:rsidRPr="00324AD7">
        <w:t>:</w:t>
      </w:r>
    </w:p>
    <w:p w:rsidR="00E01B66" w:rsidRPr="00324AD7" w:rsidRDefault="00591AB4" w:rsidP="00BA55BC">
      <w:pPr>
        <w:pStyle w:val="NormalWeb"/>
        <w:numPr>
          <w:ilvl w:val="0"/>
          <w:numId w:val="24"/>
        </w:numPr>
        <w:tabs>
          <w:tab w:val="left" w:pos="993"/>
        </w:tabs>
        <w:spacing w:before="0" w:beforeAutospacing="0" w:after="0" w:afterAutospacing="0"/>
        <w:ind w:left="0" w:firstLine="709"/>
        <w:jc w:val="both"/>
      </w:pPr>
      <w:r w:rsidRPr="00324AD7">
        <w:t>Candidate’s full name, correspondence address and registration number</w:t>
      </w:r>
      <w:r w:rsidR="00E01B66" w:rsidRPr="00324AD7">
        <w:t>;</w:t>
      </w:r>
    </w:p>
    <w:p w:rsidR="00E01B66" w:rsidRPr="00324AD7" w:rsidRDefault="00591AB4" w:rsidP="00BA55BC">
      <w:pPr>
        <w:pStyle w:val="NormalWeb"/>
        <w:numPr>
          <w:ilvl w:val="0"/>
          <w:numId w:val="24"/>
        </w:numPr>
        <w:tabs>
          <w:tab w:val="left" w:pos="993"/>
        </w:tabs>
        <w:spacing w:before="0" w:beforeAutospacing="0" w:after="0" w:afterAutospacing="0"/>
        <w:ind w:left="0" w:firstLine="709"/>
        <w:jc w:val="both"/>
      </w:pPr>
      <w:r w:rsidRPr="00324AD7">
        <w:t>Information about the examination whose procedure is being appealed</w:t>
      </w:r>
      <w:r w:rsidR="00E01B66" w:rsidRPr="00324AD7">
        <w:t>;</w:t>
      </w:r>
    </w:p>
    <w:p w:rsidR="00E01B66" w:rsidRPr="00324AD7" w:rsidRDefault="00591AB4" w:rsidP="00BA55BC">
      <w:pPr>
        <w:pStyle w:val="NormalWeb"/>
        <w:numPr>
          <w:ilvl w:val="0"/>
          <w:numId w:val="24"/>
        </w:numPr>
        <w:tabs>
          <w:tab w:val="left" w:pos="993"/>
        </w:tabs>
        <w:spacing w:before="0" w:beforeAutospacing="0" w:after="0" w:afterAutospacing="0"/>
        <w:ind w:left="0" w:firstLine="709"/>
        <w:jc w:val="both"/>
      </w:pPr>
      <w:r w:rsidRPr="00324AD7">
        <w:t>Complainant’s objections and requests</w:t>
      </w:r>
      <w:r w:rsidR="00E01B66" w:rsidRPr="00324AD7">
        <w:t>;</w:t>
      </w:r>
    </w:p>
    <w:p w:rsidR="00E01B66" w:rsidRPr="00324AD7" w:rsidRDefault="00591AB4" w:rsidP="00BA55BC">
      <w:pPr>
        <w:pStyle w:val="NormalWeb"/>
        <w:numPr>
          <w:ilvl w:val="0"/>
          <w:numId w:val="24"/>
        </w:numPr>
        <w:tabs>
          <w:tab w:val="left" w:pos="993"/>
        </w:tabs>
        <w:spacing w:before="0" w:beforeAutospacing="0" w:after="0" w:afterAutospacing="0"/>
        <w:ind w:left="0" w:firstLine="709"/>
        <w:jc w:val="both"/>
      </w:pPr>
      <w:r w:rsidRPr="00324AD7">
        <w:t>Candidate’s signature</w:t>
      </w:r>
      <w:r w:rsidR="00E01B66" w:rsidRPr="00324AD7">
        <w:t>.</w:t>
      </w:r>
    </w:p>
    <w:p w:rsidR="00920DCF"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r w:rsidRPr="00324AD7">
        <w:rPr>
          <w:i w:val="0"/>
          <w:color w:val="auto"/>
          <w:sz w:val="24"/>
          <w:szCs w:val="24"/>
          <w:lang w:val="en-GB"/>
        </w:rPr>
        <w:t>Chapter Eight</w:t>
      </w:r>
    </w:p>
    <w:p w:rsidR="00920DCF" w:rsidRPr="00324AD7" w:rsidRDefault="00D7480D" w:rsidP="00BA55BC">
      <w:pPr>
        <w:pStyle w:val="IntenseQuote"/>
        <w:pBdr>
          <w:bottom w:val="none" w:sz="0" w:space="0" w:color="auto"/>
        </w:pBdr>
        <w:spacing w:before="0" w:after="120"/>
        <w:ind w:left="0" w:right="0"/>
        <w:jc w:val="center"/>
        <w:outlineLvl w:val="0"/>
        <w:rPr>
          <w:i w:val="0"/>
          <w:color w:val="auto"/>
          <w:sz w:val="24"/>
          <w:szCs w:val="24"/>
          <w:lang w:val="en-GB"/>
        </w:rPr>
      </w:pPr>
      <w:r w:rsidRPr="00324AD7">
        <w:rPr>
          <w:i w:val="0"/>
          <w:color w:val="auto"/>
          <w:sz w:val="24"/>
          <w:szCs w:val="24"/>
          <w:lang w:val="en-GB"/>
        </w:rPr>
        <w:t>FEES</w:t>
      </w:r>
    </w:p>
    <w:p w:rsidR="00920DCF" w:rsidRPr="00324AD7" w:rsidRDefault="004E3E2D" w:rsidP="00BA55BC">
      <w:pPr>
        <w:pStyle w:val="NormalWeb"/>
        <w:spacing w:before="0" w:beforeAutospacing="0" w:after="0" w:afterAutospacing="0"/>
        <w:ind w:firstLine="709"/>
        <w:jc w:val="both"/>
      </w:pPr>
      <w:r w:rsidRPr="00324AD7">
        <w:rPr>
          <w:b/>
        </w:rPr>
        <w:t>Art.</w:t>
      </w:r>
      <w:r w:rsidR="00920DCF" w:rsidRPr="00324AD7">
        <w:rPr>
          <w:b/>
        </w:rPr>
        <w:t xml:space="preserve"> </w:t>
      </w:r>
      <w:r w:rsidR="000F7A0F" w:rsidRPr="00324AD7">
        <w:rPr>
          <w:b/>
        </w:rPr>
        <w:t>30</w:t>
      </w:r>
      <w:r w:rsidR="00920DCF" w:rsidRPr="00324AD7">
        <w:rPr>
          <w:b/>
        </w:rPr>
        <w:t>.</w:t>
      </w:r>
      <w:r w:rsidR="00920DCF" w:rsidRPr="00324AD7">
        <w:t xml:space="preserve"> (1) </w:t>
      </w:r>
      <w:r w:rsidR="00D7480D" w:rsidRPr="00324AD7">
        <w:t>For each examination sitting,</w:t>
      </w:r>
      <w:r w:rsidR="00920DCF" w:rsidRPr="00324AD7">
        <w:t xml:space="preserve"> </w:t>
      </w:r>
      <w:r w:rsidR="00D7480D" w:rsidRPr="00324AD7">
        <w:t>candidates shall pay fees fixed on the basis of the estimated expected costs for the organization and conducting of examinations</w:t>
      </w:r>
      <w:r w:rsidR="009B5F1F" w:rsidRPr="00324AD7">
        <w:t xml:space="preserve">, </w:t>
      </w:r>
      <w:r w:rsidR="00D7480D" w:rsidRPr="00324AD7">
        <w:t>approved by a decision</w:t>
      </w:r>
      <w:r w:rsidR="00920DCF" w:rsidRPr="00324AD7">
        <w:t xml:space="preserve"> </w:t>
      </w:r>
      <w:r w:rsidR="00D7480D" w:rsidRPr="00324AD7">
        <w:t>of the MB of</w:t>
      </w:r>
      <w:r w:rsidR="00920DCF" w:rsidRPr="00324AD7">
        <w:t xml:space="preserve"> </w:t>
      </w:r>
      <w:r w:rsidRPr="00324AD7">
        <w:t>ICPA</w:t>
      </w:r>
      <w:r w:rsidR="00161397" w:rsidRPr="00324AD7">
        <w:t>.</w:t>
      </w:r>
    </w:p>
    <w:p w:rsidR="00920DCF" w:rsidRPr="00324AD7" w:rsidRDefault="00920DCF" w:rsidP="00BA55BC">
      <w:pPr>
        <w:pStyle w:val="NormalWeb"/>
        <w:spacing w:before="0" w:beforeAutospacing="0" w:after="0" w:afterAutospacing="0"/>
        <w:ind w:firstLine="709"/>
        <w:jc w:val="both"/>
      </w:pPr>
      <w:r w:rsidRPr="00324AD7">
        <w:t xml:space="preserve">(2) </w:t>
      </w:r>
      <w:r w:rsidR="00280162" w:rsidRPr="00324AD7">
        <w:t>The fees fixed as per</w:t>
      </w:r>
      <w:r w:rsidR="00895021" w:rsidRPr="00324AD7">
        <w:t xml:space="preserve"> </w:t>
      </w:r>
      <w:r w:rsidR="004E3E2D" w:rsidRPr="00324AD7">
        <w:t>paragraph</w:t>
      </w:r>
      <w:r w:rsidR="00280162" w:rsidRPr="00324AD7">
        <w:t xml:space="preserve"> </w:t>
      </w:r>
      <w:r w:rsidR="00895021" w:rsidRPr="00324AD7">
        <w:t xml:space="preserve">1 </w:t>
      </w:r>
      <w:r w:rsidR="00280162" w:rsidRPr="00324AD7">
        <w:t>shall be</w:t>
      </w:r>
      <w:r w:rsidRPr="00324AD7">
        <w:t>:</w:t>
      </w:r>
    </w:p>
    <w:p w:rsidR="00920DCF" w:rsidRPr="00324AD7" w:rsidRDefault="00920DCF" w:rsidP="00BA55BC">
      <w:pPr>
        <w:pStyle w:val="NormalWeb"/>
        <w:spacing w:before="0" w:beforeAutospacing="0" w:after="0" w:afterAutospacing="0"/>
        <w:ind w:firstLine="709"/>
        <w:jc w:val="both"/>
      </w:pPr>
      <w:r w:rsidRPr="00324AD7">
        <w:t xml:space="preserve">1. </w:t>
      </w:r>
      <w:r w:rsidR="00280162" w:rsidRPr="00324AD7">
        <w:t>for the inspection of documents under</w:t>
      </w:r>
      <w:r w:rsidRPr="00324AD7">
        <w:t xml:space="preserve"> </w:t>
      </w:r>
      <w:r w:rsidR="004E3E2D" w:rsidRPr="00324AD7">
        <w:t>Art.</w:t>
      </w:r>
      <w:r w:rsidR="004D155D" w:rsidRPr="00324AD7">
        <w:t xml:space="preserve"> 5 </w:t>
      </w:r>
      <w:r w:rsidR="00AD689B" w:rsidRPr="00324AD7">
        <w:t>of these Rules</w:t>
      </w:r>
      <w:r w:rsidR="004D155D" w:rsidRPr="00324AD7">
        <w:t>;</w:t>
      </w:r>
    </w:p>
    <w:p w:rsidR="00920DCF" w:rsidRPr="00324AD7" w:rsidRDefault="00920DCF" w:rsidP="00BA55BC">
      <w:pPr>
        <w:pStyle w:val="NormalWeb"/>
        <w:spacing w:before="0" w:beforeAutospacing="0" w:after="0" w:afterAutospacing="0"/>
        <w:ind w:firstLine="709"/>
        <w:jc w:val="both"/>
      </w:pPr>
      <w:r w:rsidRPr="00324AD7">
        <w:lastRenderedPageBreak/>
        <w:t xml:space="preserve">2. </w:t>
      </w:r>
      <w:r w:rsidR="00280162" w:rsidRPr="00324AD7">
        <w:t>for each examination under</w:t>
      </w:r>
      <w:r w:rsidRPr="00324AD7">
        <w:t xml:space="preserve"> </w:t>
      </w:r>
      <w:r w:rsidR="004E3E2D" w:rsidRPr="00324AD7">
        <w:t>Art.</w:t>
      </w:r>
      <w:r w:rsidRPr="00324AD7">
        <w:t xml:space="preserve">14 </w:t>
      </w:r>
      <w:r w:rsidR="00CD77FC" w:rsidRPr="00324AD7">
        <w:t>of IFAA</w:t>
      </w:r>
      <w:r w:rsidR="004D155D" w:rsidRPr="00324AD7">
        <w:t>;</w:t>
      </w:r>
    </w:p>
    <w:p w:rsidR="00920DCF" w:rsidRPr="00324AD7" w:rsidRDefault="00920DCF" w:rsidP="00BA55BC">
      <w:pPr>
        <w:pStyle w:val="NormalWeb"/>
        <w:spacing w:before="0" w:beforeAutospacing="0" w:after="0" w:afterAutospacing="0"/>
        <w:ind w:firstLine="709"/>
        <w:jc w:val="both"/>
      </w:pPr>
      <w:r w:rsidRPr="00324AD7">
        <w:t xml:space="preserve">3. </w:t>
      </w:r>
      <w:r w:rsidR="00280162" w:rsidRPr="00324AD7">
        <w:t xml:space="preserve">for each examination under </w:t>
      </w:r>
      <w:r w:rsidR="004E3E2D" w:rsidRPr="00324AD7">
        <w:t>Art.</w:t>
      </w:r>
      <w:r w:rsidRPr="00324AD7">
        <w:t xml:space="preserve">15 </w:t>
      </w:r>
      <w:r w:rsidR="00CD77FC" w:rsidRPr="00324AD7">
        <w:t>of IFAA</w:t>
      </w:r>
      <w:r w:rsidR="004D155D" w:rsidRPr="00324AD7">
        <w:t>;</w:t>
      </w:r>
    </w:p>
    <w:p w:rsidR="00920DCF" w:rsidRPr="00324AD7" w:rsidRDefault="00920DCF" w:rsidP="00BA55BC">
      <w:pPr>
        <w:pStyle w:val="NormalWeb"/>
        <w:spacing w:before="0" w:beforeAutospacing="0" w:after="0" w:afterAutospacing="0"/>
        <w:ind w:firstLine="709"/>
        <w:jc w:val="both"/>
      </w:pPr>
      <w:r w:rsidRPr="00324AD7">
        <w:t xml:space="preserve">4. </w:t>
      </w:r>
      <w:r w:rsidR="00280162" w:rsidRPr="00324AD7">
        <w:t>for the organization of preparatory trainings/courses</w:t>
      </w:r>
      <w:r w:rsidR="004D155D" w:rsidRPr="00324AD7">
        <w:t>.</w:t>
      </w:r>
    </w:p>
    <w:p w:rsidR="00920DCF" w:rsidRPr="00324AD7" w:rsidRDefault="00920DCF" w:rsidP="00BA55BC">
      <w:pPr>
        <w:pStyle w:val="NormalWeb"/>
        <w:spacing w:before="0" w:beforeAutospacing="0" w:after="0" w:afterAutospacing="0"/>
        <w:ind w:firstLine="709"/>
        <w:jc w:val="both"/>
      </w:pPr>
      <w:r w:rsidRPr="00324AD7">
        <w:t xml:space="preserve">(3) </w:t>
      </w:r>
      <w:r w:rsidR="00280162" w:rsidRPr="00324AD7">
        <w:t>Fees shall be paid before submission of the relevant applications for the inspection of documents filed</w:t>
      </w:r>
      <w:r w:rsidRPr="00324AD7">
        <w:t xml:space="preserve">, </w:t>
      </w:r>
      <w:r w:rsidR="00280162" w:rsidRPr="00324AD7">
        <w:t>for sitting the examinations under</w:t>
      </w:r>
      <w:r w:rsidRPr="00324AD7">
        <w:t xml:space="preserve"> </w:t>
      </w:r>
      <w:r w:rsidR="004E3E2D" w:rsidRPr="00324AD7">
        <w:t>Art.</w:t>
      </w:r>
      <w:r w:rsidRPr="00324AD7">
        <w:t xml:space="preserve">14 </w:t>
      </w:r>
      <w:r w:rsidR="00280162" w:rsidRPr="00324AD7">
        <w:t>and</w:t>
      </w:r>
      <w:r w:rsidRPr="00324AD7">
        <w:t xml:space="preserve"> </w:t>
      </w:r>
      <w:r w:rsidR="004E3E2D" w:rsidRPr="00324AD7">
        <w:t>Art.</w:t>
      </w:r>
      <w:r w:rsidRPr="00324AD7">
        <w:t xml:space="preserve">15 </w:t>
      </w:r>
      <w:r w:rsidR="00CD77FC" w:rsidRPr="00324AD7">
        <w:t>of IFAA</w:t>
      </w:r>
      <w:r w:rsidR="000F7A0F" w:rsidRPr="00324AD7">
        <w:t xml:space="preserve">, </w:t>
      </w:r>
      <w:r w:rsidR="00280162" w:rsidRPr="00324AD7">
        <w:t>and for participation in the organized trainings</w:t>
      </w:r>
      <w:r w:rsidR="000F7A0F" w:rsidRPr="00324AD7">
        <w:t>.</w:t>
      </w:r>
    </w:p>
    <w:p w:rsidR="00E14498" w:rsidRPr="00324AD7" w:rsidRDefault="00E14498" w:rsidP="00BA55BC">
      <w:pPr>
        <w:pStyle w:val="NormalWeb"/>
        <w:spacing w:before="0" w:beforeAutospacing="0" w:after="0" w:afterAutospacing="0"/>
        <w:ind w:firstLine="709"/>
        <w:jc w:val="both"/>
      </w:pPr>
      <w:r w:rsidRPr="00324AD7">
        <w:t>(4)</w:t>
      </w:r>
      <w:r w:rsidR="009B5F1F" w:rsidRPr="00324AD7">
        <w:t xml:space="preserve"> </w:t>
      </w:r>
      <w:r w:rsidR="00280162" w:rsidRPr="00324AD7">
        <w:t>The decision regarding the fees fixed for the relevant examination sitting shall be made public on</w:t>
      </w:r>
      <w:r w:rsidRPr="00324AD7">
        <w:t xml:space="preserve"> </w:t>
      </w:r>
      <w:r w:rsidR="0002565D" w:rsidRPr="00324AD7">
        <w:t>ICPA’s website</w:t>
      </w:r>
      <w:r w:rsidR="00161397" w:rsidRPr="00324AD7">
        <w:t xml:space="preserve"> (</w:t>
      </w:r>
      <w:hyperlink r:id="rId19" w:tgtFrame="_blank" w:history="1">
        <w:r w:rsidR="00161397" w:rsidRPr="00324AD7">
          <w:rPr>
            <w:rStyle w:val="Hyperlink"/>
            <w:color w:val="0070C0"/>
          </w:rPr>
          <w:t>www.ides.bg</w:t>
        </w:r>
      </w:hyperlink>
      <w:r w:rsidR="00161397" w:rsidRPr="00324AD7">
        <w:t>)</w:t>
      </w:r>
      <w:r w:rsidRPr="00324AD7">
        <w:t>.</w:t>
      </w:r>
    </w:p>
    <w:p w:rsidR="00A76EB7"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15" w:name="_Toc535598122"/>
      <w:r w:rsidRPr="00324AD7">
        <w:rPr>
          <w:i w:val="0"/>
          <w:color w:val="auto"/>
          <w:sz w:val="24"/>
          <w:szCs w:val="24"/>
          <w:lang w:val="en-GB"/>
        </w:rPr>
        <w:t xml:space="preserve">Chapter </w:t>
      </w:r>
      <w:bookmarkEnd w:id="15"/>
      <w:r w:rsidRPr="00324AD7">
        <w:rPr>
          <w:i w:val="0"/>
          <w:color w:val="auto"/>
          <w:sz w:val="24"/>
          <w:szCs w:val="24"/>
          <w:lang w:val="en-GB"/>
        </w:rPr>
        <w:t>Nine</w:t>
      </w:r>
    </w:p>
    <w:p w:rsidR="001A6F6F" w:rsidRPr="00324AD7" w:rsidRDefault="00274581" w:rsidP="00BA55BC">
      <w:pPr>
        <w:pStyle w:val="IntenseQuote"/>
        <w:pBdr>
          <w:bottom w:val="none" w:sz="0" w:space="0" w:color="auto"/>
        </w:pBdr>
        <w:spacing w:before="0" w:after="120"/>
        <w:ind w:left="0" w:right="0"/>
        <w:jc w:val="center"/>
        <w:outlineLvl w:val="0"/>
        <w:rPr>
          <w:i w:val="0"/>
          <w:color w:val="auto"/>
          <w:sz w:val="24"/>
          <w:szCs w:val="24"/>
          <w:lang w:val="en-GB"/>
        </w:rPr>
      </w:pPr>
      <w:bookmarkStart w:id="16" w:name="_Toc535598123"/>
      <w:r w:rsidRPr="00324AD7">
        <w:rPr>
          <w:i w:val="0"/>
          <w:color w:val="auto"/>
          <w:sz w:val="24"/>
          <w:szCs w:val="24"/>
          <w:lang w:val="en-GB"/>
        </w:rPr>
        <w:t>STRUCTURE OF MANAGING THE EXAMINATION</w:t>
      </w:r>
      <w:bookmarkEnd w:id="16"/>
      <w:r w:rsidRPr="00324AD7">
        <w:rPr>
          <w:i w:val="0"/>
          <w:color w:val="auto"/>
          <w:sz w:val="24"/>
          <w:szCs w:val="24"/>
          <w:lang w:val="en-GB"/>
        </w:rPr>
        <w:t>S</w:t>
      </w:r>
    </w:p>
    <w:p w:rsidR="003E2A1B" w:rsidRPr="00324AD7" w:rsidRDefault="004E3E2D" w:rsidP="00BA55BC">
      <w:pPr>
        <w:ind w:firstLine="709"/>
        <w:jc w:val="both"/>
        <w:rPr>
          <w:sz w:val="24"/>
          <w:szCs w:val="24"/>
          <w:lang w:val="en-GB"/>
        </w:rPr>
      </w:pPr>
      <w:r w:rsidRPr="00324AD7">
        <w:rPr>
          <w:b/>
          <w:sz w:val="24"/>
          <w:szCs w:val="24"/>
          <w:lang w:val="en-GB"/>
        </w:rPr>
        <w:t>Art.</w:t>
      </w:r>
      <w:r w:rsidR="003E2A1B" w:rsidRPr="00324AD7">
        <w:rPr>
          <w:b/>
          <w:sz w:val="24"/>
          <w:szCs w:val="24"/>
          <w:lang w:val="en-GB"/>
        </w:rPr>
        <w:t xml:space="preserve"> </w:t>
      </w:r>
      <w:r w:rsidR="005B03F7" w:rsidRPr="00324AD7">
        <w:rPr>
          <w:b/>
          <w:sz w:val="24"/>
          <w:szCs w:val="24"/>
          <w:lang w:val="en-GB"/>
        </w:rPr>
        <w:t>31</w:t>
      </w:r>
      <w:r w:rsidR="003E2A1B" w:rsidRPr="00324AD7">
        <w:rPr>
          <w:b/>
          <w:sz w:val="24"/>
          <w:szCs w:val="24"/>
          <w:lang w:val="en-GB"/>
        </w:rPr>
        <w:t>.</w:t>
      </w:r>
      <w:r w:rsidR="003E2A1B" w:rsidRPr="00324AD7">
        <w:rPr>
          <w:sz w:val="24"/>
          <w:szCs w:val="24"/>
          <w:lang w:val="en-GB"/>
        </w:rPr>
        <w:t xml:space="preserve"> (1) </w:t>
      </w:r>
      <w:r w:rsidR="00D952ED" w:rsidRPr="00324AD7">
        <w:rPr>
          <w:sz w:val="24"/>
          <w:szCs w:val="24"/>
          <w:lang w:val="en-GB"/>
        </w:rPr>
        <w:t>For the purposes of ensuring</w:t>
      </w:r>
      <w:r w:rsidR="0021094B" w:rsidRPr="00324AD7">
        <w:rPr>
          <w:sz w:val="24"/>
          <w:szCs w:val="24"/>
          <w:lang w:val="en-GB"/>
        </w:rPr>
        <w:t xml:space="preserve"> </w:t>
      </w:r>
      <w:r w:rsidR="00D952ED" w:rsidRPr="00324AD7">
        <w:rPr>
          <w:sz w:val="24"/>
          <w:szCs w:val="24"/>
          <w:lang w:val="en-GB"/>
        </w:rPr>
        <w:t>the conducting and management of</w:t>
      </w:r>
      <w:r w:rsidR="0021094B" w:rsidRPr="00324AD7">
        <w:rPr>
          <w:sz w:val="24"/>
          <w:szCs w:val="24"/>
          <w:lang w:val="en-GB"/>
        </w:rPr>
        <w:t xml:space="preserve"> </w:t>
      </w:r>
      <w:r w:rsidR="00D952ED" w:rsidRPr="00324AD7">
        <w:rPr>
          <w:sz w:val="24"/>
          <w:szCs w:val="24"/>
          <w:lang w:val="en-GB"/>
        </w:rPr>
        <w:t>the</w:t>
      </w:r>
      <w:r w:rsidR="0021094B" w:rsidRPr="00324AD7">
        <w:rPr>
          <w:sz w:val="24"/>
          <w:szCs w:val="24"/>
          <w:lang w:val="en-GB"/>
        </w:rPr>
        <w:t xml:space="preserve"> </w:t>
      </w:r>
      <w:r w:rsidR="00D952ED" w:rsidRPr="00324AD7">
        <w:rPr>
          <w:sz w:val="24"/>
          <w:szCs w:val="24"/>
          <w:lang w:val="en-GB"/>
        </w:rPr>
        <w:t>written Certified Public Accountant examinations</w:t>
      </w:r>
      <w:r w:rsidR="0021094B" w:rsidRPr="00324AD7">
        <w:rPr>
          <w:sz w:val="24"/>
          <w:szCs w:val="24"/>
          <w:lang w:val="en-GB"/>
        </w:rPr>
        <w:t xml:space="preserve">, </w:t>
      </w:r>
      <w:r w:rsidR="00D952ED" w:rsidRPr="00324AD7">
        <w:rPr>
          <w:sz w:val="24"/>
          <w:szCs w:val="24"/>
          <w:lang w:val="en-GB"/>
        </w:rPr>
        <w:t>as well as to ensure the application of the relevant rules and procedures</w:t>
      </w:r>
      <w:r w:rsidR="0021094B" w:rsidRPr="00324AD7">
        <w:rPr>
          <w:sz w:val="24"/>
          <w:szCs w:val="24"/>
          <w:lang w:val="en-GB"/>
        </w:rPr>
        <w:t xml:space="preserve">, </w:t>
      </w:r>
      <w:r w:rsidR="00D952ED" w:rsidRPr="00324AD7">
        <w:rPr>
          <w:sz w:val="24"/>
          <w:szCs w:val="24"/>
          <w:lang w:val="en-GB"/>
        </w:rPr>
        <w:t>the MB of</w:t>
      </w:r>
      <w:r w:rsidR="003E2A1B" w:rsidRPr="00324AD7">
        <w:rPr>
          <w:sz w:val="24"/>
          <w:szCs w:val="24"/>
          <w:lang w:val="en-GB"/>
        </w:rPr>
        <w:t xml:space="preserve"> </w:t>
      </w:r>
      <w:r w:rsidRPr="00324AD7">
        <w:rPr>
          <w:sz w:val="24"/>
          <w:szCs w:val="24"/>
          <w:lang w:val="en-GB"/>
        </w:rPr>
        <w:t>ICPA</w:t>
      </w:r>
      <w:r w:rsidR="003E2A1B" w:rsidRPr="00324AD7">
        <w:rPr>
          <w:sz w:val="24"/>
          <w:szCs w:val="24"/>
          <w:lang w:val="en-GB"/>
        </w:rPr>
        <w:t xml:space="preserve"> </w:t>
      </w:r>
      <w:r w:rsidR="00D952ED" w:rsidRPr="00324AD7">
        <w:rPr>
          <w:sz w:val="24"/>
          <w:szCs w:val="24"/>
          <w:lang w:val="en-GB"/>
        </w:rPr>
        <w:t>shall elect Commission for the Organization of the Certified Public Accountant Examinations</w:t>
      </w:r>
      <w:r w:rsidR="003E2A1B" w:rsidRPr="00324AD7">
        <w:rPr>
          <w:sz w:val="24"/>
          <w:szCs w:val="24"/>
          <w:lang w:val="en-GB"/>
        </w:rPr>
        <w:t xml:space="preserve">, </w:t>
      </w:r>
      <w:r w:rsidR="00D952ED" w:rsidRPr="00324AD7">
        <w:rPr>
          <w:sz w:val="24"/>
          <w:szCs w:val="24"/>
          <w:lang w:val="en-GB"/>
        </w:rPr>
        <w:t>which shall comprise: a member of the MB</w:t>
      </w:r>
      <w:r w:rsidR="003E2A1B" w:rsidRPr="00324AD7">
        <w:rPr>
          <w:sz w:val="24"/>
          <w:szCs w:val="24"/>
          <w:lang w:val="en-GB"/>
        </w:rPr>
        <w:t xml:space="preserve">, </w:t>
      </w:r>
      <w:r w:rsidR="00D952ED" w:rsidRPr="00324AD7">
        <w:rPr>
          <w:sz w:val="24"/>
          <w:szCs w:val="24"/>
          <w:lang w:val="en-GB"/>
        </w:rPr>
        <w:t xml:space="preserve">the person in charge of the examinations under </w:t>
      </w:r>
      <w:r w:rsidRPr="00324AD7">
        <w:rPr>
          <w:sz w:val="24"/>
          <w:szCs w:val="24"/>
          <w:lang w:val="en-GB"/>
        </w:rPr>
        <w:t>Art.</w:t>
      </w:r>
      <w:r w:rsidR="003E2A1B" w:rsidRPr="00324AD7">
        <w:rPr>
          <w:sz w:val="24"/>
          <w:szCs w:val="24"/>
          <w:lang w:val="en-GB"/>
        </w:rPr>
        <w:t xml:space="preserve"> </w:t>
      </w:r>
      <w:r w:rsidR="00BC102F" w:rsidRPr="00324AD7">
        <w:rPr>
          <w:sz w:val="24"/>
          <w:szCs w:val="24"/>
          <w:lang w:val="en-GB"/>
        </w:rPr>
        <w:t>14</w:t>
      </w:r>
      <w:r w:rsidR="00F42582" w:rsidRPr="00324AD7">
        <w:rPr>
          <w:sz w:val="24"/>
          <w:szCs w:val="24"/>
          <w:lang w:val="en-GB"/>
        </w:rPr>
        <w:t xml:space="preserve">, </w:t>
      </w:r>
      <w:r w:rsidRPr="00324AD7">
        <w:rPr>
          <w:sz w:val="24"/>
          <w:szCs w:val="24"/>
          <w:lang w:val="en-GB"/>
        </w:rPr>
        <w:t>paragraph</w:t>
      </w:r>
      <w:r w:rsidR="00F42582" w:rsidRPr="00324AD7">
        <w:rPr>
          <w:sz w:val="24"/>
          <w:szCs w:val="24"/>
          <w:lang w:val="en-GB"/>
        </w:rPr>
        <w:t xml:space="preserve"> 1 </w:t>
      </w:r>
      <w:r w:rsidR="00CD77FC" w:rsidRPr="00324AD7">
        <w:rPr>
          <w:sz w:val="24"/>
          <w:szCs w:val="24"/>
          <w:lang w:val="en-GB"/>
        </w:rPr>
        <w:t>of IFAA</w:t>
      </w:r>
      <w:r w:rsidR="00D952ED" w:rsidRPr="00324AD7">
        <w:rPr>
          <w:sz w:val="24"/>
          <w:szCs w:val="24"/>
          <w:lang w:val="en-GB"/>
        </w:rPr>
        <w:t>,</w:t>
      </w:r>
      <w:r w:rsidR="003E2A1B" w:rsidRPr="00324AD7">
        <w:rPr>
          <w:sz w:val="24"/>
          <w:szCs w:val="24"/>
          <w:lang w:val="en-GB"/>
        </w:rPr>
        <w:t xml:space="preserve"> </w:t>
      </w:r>
      <w:r w:rsidR="00D952ED" w:rsidRPr="00324AD7">
        <w:rPr>
          <w:sz w:val="24"/>
          <w:szCs w:val="24"/>
          <w:lang w:val="en-GB"/>
        </w:rPr>
        <w:t>as approved by that Board, and three representatives of the Educational and Methodological Council, a body in support of the MB of ICPA</w:t>
      </w:r>
      <w:r w:rsidR="003E2A1B" w:rsidRPr="00324AD7">
        <w:rPr>
          <w:sz w:val="24"/>
          <w:szCs w:val="24"/>
          <w:lang w:val="en-GB"/>
        </w:rPr>
        <w:t>.</w:t>
      </w:r>
    </w:p>
    <w:p w:rsidR="003E2A1B" w:rsidRPr="00324AD7" w:rsidRDefault="003E2A1B" w:rsidP="00BA55BC">
      <w:pPr>
        <w:ind w:firstLine="709"/>
        <w:jc w:val="both"/>
        <w:rPr>
          <w:sz w:val="24"/>
          <w:szCs w:val="24"/>
          <w:lang w:val="en-GB"/>
        </w:rPr>
      </w:pPr>
      <w:r w:rsidRPr="00324AD7">
        <w:rPr>
          <w:sz w:val="24"/>
          <w:szCs w:val="24"/>
          <w:lang w:val="en-GB"/>
        </w:rPr>
        <w:t xml:space="preserve">(2) </w:t>
      </w:r>
      <w:r w:rsidR="00D952ED" w:rsidRPr="00324AD7">
        <w:rPr>
          <w:sz w:val="24"/>
          <w:szCs w:val="24"/>
          <w:lang w:val="en-GB"/>
        </w:rPr>
        <w:t>The Commission for the Organization of the Certified Public Accountant Examinations shall perform the following functions</w:t>
      </w:r>
      <w:r w:rsidRPr="00324AD7">
        <w:rPr>
          <w:sz w:val="24"/>
          <w:szCs w:val="24"/>
          <w:lang w:val="en-GB"/>
        </w:rPr>
        <w:t>:</w:t>
      </w:r>
    </w:p>
    <w:p w:rsidR="00D96F6F" w:rsidRPr="00324AD7" w:rsidRDefault="00D952ED" w:rsidP="00BA55BC">
      <w:pPr>
        <w:pStyle w:val="NormalWeb"/>
        <w:numPr>
          <w:ilvl w:val="0"/>
          <w:numId w:val="3"/>
        </w:numPr>
        <w:tabs>
          <w:tab w:val="left" w:pos="993"/>
        </w:tabs>
        <w:spacing w:before="0" w:beforeAutospacing="0" w:after="0" w:afterAutospacing="0"/>
        <w:ind w:left="0" w:firstLine="709"/>
        <w:jc w:val="both"/>
      </w:pPr>
      <w:r w:rsidRPr="00324AD7">
        <w:t>prepare and propose for approval</w:t>
      </w:r>
      <w:r w:rsidR="00D96F6F" w:rsidRPr="00324AD7">
        <w:t xml:space="preserve"> </w:t>
      </w:r>
      <w:r w:rsidRPr="00324AD7">
        <w:t>rules and procedures for conducting the examinations</w:t>
      </w:r>
      <w:r w:rsidR="00D96F6F" w:rsidRPr="00324AD7">
        <w:t>;</w:t>
      </w:r>
    </w:p>
    <w:p w:rsidR="00880CB6" w:rsidRPr="00324AD7" w:rsidRDefault="00D952ED" w:rsidP="00BA55BC">
      <w:pPr>
        <w:pStyle w:val="NormalWeb"/>
        <w:numPr>
          <w:ilvl w:val="0"/>
          <w:numId w:val="3"/>
        </w:numPr>
        <w:tabs>
          <w:tab w:val="left" w:pos="993"/>
        </w:tabs>
        <w:spacing w:before="0" w:beforeAutospacing="0" w:after="0" w:afterAutospacing="0"/>
        <w:ind w:left="0" w:firstLine="709"/>
        <w:jc w:val="both"/>
      </w:pPr>
      <w:r w:rsidRPr="00324AD7">
        <w:t>review the rules and working procedures, as well as the methods for determining the assessment criteria for examination commissions</w:t>
      </w:r>
      <w:r w:rsidR="001A6F6F" w:rsidRPr="00324AD7">
        <w:t>;</w:t>
      </w:r>
    </w:p>
    <w:p w:rsidR="003E2A1B" w:rsidRPr="00324AD7" w:rsidRDefault="00D952ED" w:rsidP="00BA55BC">
      <w:pPr>
        <w:pStyle w:val="NormalWeb"/>
        <w:numPr>
          <w:ilvl w:val="0"/>
          <w:numId w:val="3"/>
        </w:numPr>
        <w:tabs>
          <w:tab w:val="left" w:pos="993"/>
        </w:tabs>
        <w:spacing w:before="0" w:beforeAutospacing="0" w:after="0" w:afterAutospacing="0"/>
        <w:ind w:left="0" w:firstLine="709"/>
        <w:jc w:val="both"/>
      </w:pPr>
      <w:r w:rsidRPr="00324AD7">
        <w:t xml:space="preserve">approve the syllabus for the examinations referred to in </w:t>
      </w:r>
      <w:r w:rsidR="004E3E2D" w:rsidRPr="00324AD7">
        <w:t>Art.</w:t>
      </w:r>
      <w:r w:rsidR="003E2A1B" w:rsidRPr="00324AD7">
        <w:t xml:space="preserve"> 15, </w:t>
      </w:r>
      <w:r w:rsidR="004E3E2D" w:rsidRPr="00324AD7">
        <w:t>paragraph</w:t>
      </w:r>
      <w:r w:rsidR="003E2A1B" w:rsidRPr="00324AD7">
        <w:t xml:space="preserve"> 1 </w:t>
      </w:r>
      <w:r w:rsidR="00CD77FC" w:rsidRPr="00324AD7">
        <w:t>of IFAA</w:t>
      </w:r>
      <w:r w:rsidR="003E2A1B" w:rsidRPr="00324AD7">
        <w:t>;</w:t>
      </w:r>
    </w:p>
    <w:p w:rsidR="003E2A1B" w:rsidRPr="00324AD7" w:rsidRDefault="00D952ED" w:rsidP="00BA55BC">
      <w:pPr>
        <w:pStyle w:val="NormalWeb"/>
        <w:numPr>
          <w:ilvl w:val="0"/>
          <w:numId w:val="3"/>
        </w:numPr>
        <w:tabs>
          <w:tab w:val="left" w:pos="993"/>
        </w:tabs>
        <w:spacing w:before="0" w:beforeAutospacing="0" w:after="0" w:afterAutospacing="0"/>
        <w:ind w:left="0" w:firstLine="709"/>
        <w:jc w:val="both"/>
      </w:pPr>
      <w:r w:rsidRPr="00324AD7">
        <w:t>approve the programme for training Certified Public Accountant candidates</w:t>
      </w:r>
      <w:r w:rsidR="003E2A1B" w:rsidRPr="00324AD7">
        <w:t>;</w:t>
      </w:r>
    </w:p>
    <w:p w:rsidR="003E2A1B" w:rsidRPr="00324AD7" w:rsidRDefault="00D952ED" w:rsidP="00BA55BC">
      <w:pPr>
        <w:pStyle w:val="NormalWeb"/>
        <w:numPr>
          <w:ilvl w:val="0"/>
          <w:numId w:val="3"/>
        </w:numPr>
        <w:tabs>
          <w:tab w:val="left" w:pos="993"/>
        </w:tabs>
        <w:spacing w:before="0" w:beforeAutospacing="0" w:after="0" w:afterAutospacing="0"/>
        <w:ind w:left="0" w:firstLine="709"/>
        <w:jc w:val="both"/>
      </w:pPr>
      <w:r w:rsidRPr="00324AD7">
        <w:t>propose for approval by the MB of ICPA the composition of the Commissions for the Preparation and Conducting of the Examinations referred to in Art. 15, paragraph 1 of IFAA, the reviewers and the preparers of questions and case studies</w:t>
      </w:r>
      <w:r w:rsidR="003E2A1B" w:rsidRPr="00324AD7">
        <w:t>;</w:t>
      </w:r>
    </w:p>
    <w:p w:rsidR="00880CB6" w:rsidRPr="00324AD7" w:rsidRDefault="00D952ED" w:rsidP="00BA55BC">
      <w:pPr>
        <w:pStyle w:val="NormalWeb"/>
        <w:numPr>
          <w:ilvl w:val="0"/>
          <w:numId w:val="3"/>
        </w:numPr>
        <w:tabs>
          <w:tab w:val="left" w:pos="993"/>
        </w:tabs>
        <w:spacing w:before="0" w:beforeAutospacing="0" w:after="0" w:afterAutospacing="0"/>
        <w:ind w:left="0" w:firstLine="709"/>
        <w:jc w:val="both"/>
      </w:pPr>
      <w:r w:rsidRPr="00324AD7">
        <w:t>approve the organized training of</w:t>
      </w:r>
      <w:r w:rsidR="00880CB6" w:rsidRPr="00324AD7">
        <w:t xml:space="preserve"> </w:t>
      </w:r>
      <w:r w:rsidRPr="00324AD7">
        <w:t>the preparers of questions and case studies</w:t>
      </w:r>
      <w:r w:rsidR="00880CB6" w:rsidRPr="00324AD7">
        <w:t xml:space="preserve">, </w:t>
      </w:r>
      <w:r w:rsidR="00056FCC" w:rsidRPr="00324AD7">
        <w:t>the members of the Commissions for the Preparation and Conducting of the Examinations referred to in Art. 15, paragraph 1 of IFAA and Certified Public Accountant candidates</w:t>
      </w:r>
      <w:r w:rsidR="00880CB6" w:rsidRPr="00324AD7">
        <w:t>;</w:t>
      </w:r>
    </w:p>
    <w:p w:rsidR="003E2A1B" w:rsidRPr="00324AD7" w:rsidRDefault="00056FCC" w:rsidP="00BA55BC">
      <w:pPr>
        <w:pStyle w:val="NormalWeb"/>
        <w:numPr>
          <w:ilvl w:val="0"/>
          <w:numId w:val="3"/>
        </w:numPr>
        <w:tabs>
          <w:tab w:val="left" w:pos="993"/>
        </w:tabs>
        <w:spacing w:before="0" w:beforeAutospacing="0" w:after="0" w:afterAutospacing="0"/>
        <w:ind w:left="0" w:firstLine="709"/>
        <w:jc w:val="both"/>
      </w:pPr>
      <w:r w:rsidRPr="00324AD7">
        <w:t>consider and respond to the complaints related to holding the examinations</w:t>
      </w:r>
      <w:r w:rsidR="003E2A1B" w:rsidRPr="00324AD7">
        <w:t>;</w:t>
      </w:r>
    </w:p>
    <w:p w:rsidR="003E2A1B" w:rsidRPr="00324AD7" w:rsidRDefault="00056FCC" w:rsidP="00BA55BC">
      <w:pPr>
        <w:pStyle w:val="NormalWeb"/>
        <w:numPr>
          <w:ilvl w:val="0"/>
          <w:numId w:val="3"/>
        </w:numPr>
        <w:tabs>
          <w:tab w:val="left" w:pos="993"/>
        </w:tabs>
        <w:spacing w:before="0" w:beforeAutospacing="0" w:after="0" w:afterAutospacing="0"/>
        <w:ind w:left="0" w:firstLine="709"/>
        <w:jc w:val="both"/>
      </w:pPr>
      <w:r w:rsidRPr="00324AD7">
        <w:t>elect a commission for the assessment of compliance of candidates’ higher education diplomas with the requirements of Art. 14, paragraph 1 of IFAA</w:t>
      </w:r>
      <w:r w:rsidR="003E2A1B" w:rsidRPr="00324AD7">
        <w:t xml:space="preserve">, </w:t>
      </w:r>
      <w:r w:rsidRPr="00324AD7">
        <w:t>which shall comprise three members</w:t>
      </w:r>
      <w:r w:rsidR="00880CB6" w:rsidRPr="00324AD7">
        <w:t xml:space="preserve">, </w:t>
      </w:r>
      <w:r w:rsidRPr="00324AD7">
        <w:t>one of whom shall be from the Commission as provided for in</w:t>
      </w:r>
      <w:r w:rsidR="00880CB6" w:rsidRPr="00324AD7">
        <w:t xml:space="preserve"> </w:t>
      </w:r>
      <w:r w:rsidR="004E3E2D" w:rsidRPr="00324AD7">
        <w:t>Art.</w:t>
      </w:r>
      <w:r w:rsidR="00CD494F" w:rsidRPr="00324AD7">
        <w:t>31</w:t>
      </w:r>
      <w:r w:rsidR="00CC7ACF">
        <w:t>,</w:t>
      </w:r>
      <w:r w:rsidR="00CD494F" w:rsidRPr="00324AD7">
        <w:t xml:space="preserve"> </w:t>
      </w:r>
      <w:r w:rsidR="004E3E2D" w:rsidRPr="00324AD7">
        <w:t>paragraph</w:t>
      </w:r>
      <w:r w:rsidRPr="00324AD7">
        <w:t xml:space="preserve"> </w:t>
      </w:r>
      <w:r w:rsidR="00880CB6" w:rsidRPr="00324AD7">
        <w:t>1</w:t>
      </w:r>
      <w:r w:rsidR="003E2A1B" w:rsidRPr="00324AD7">
        <w:t>;</w:t>
      </w:r>
    </w:p>
    <w:p w:rsidR="003E2A1B" w:rsidRPr="00324AD7" w:rsidRDefault="00056FCC" w:rsidP="00BA55BC">
      <w:pPr>
        <w:pStyle w:val="NormalWeb"/>
        <w:numPr>
          <w:ilvl w:val="0"/>
          <w:numId w:val="3"/>
        </w:numPr>
        <w:tabs>
          <w:tab w:val="left" w:pos="993"/>
        </w:tabs>
        <w:spacing w:before="0" w:beforeAutospacing="0" w:after="0" w:afterAutospacing="0"/>
        <w:ind w:left="0" w:firstLine="709"/>
        <w:jc w:val="both"/>
      </w:pPr>
      <w:r w:rsidRPr="00324AD7">
        <w:t>consider also other matters related to the training, preparation and conducting of the Certified Public Accountant examinations</w:t>
      </w:r>
      <w:r w:rsidR="003E2A1B" w:rsidRPr="00324AD7">
        <w:t>.</w:t>
      </w:r>
    </w:p>
    <w:p w:rsidR="003E2A1B" w:rsidRPr="00324AD7" w:rsidRDefault="003E2A1B" w:rsidP="00BA55BC">
      <w:pPr>
        <w:pStyle w:val="NormalWeb"/>
        <w:spacing w:before="0" w:beforeAutospacing="0" w:after="0" w:afterAutospacing="0"/>
        <w:ind w:firstLine="709"/>
        <w:jc w:val="both"/>
      </w:pPr>
      <w:r w:rsidRPr="00324AD7">
        <w:t xml:space="preserve">(3) </w:t>
      </w:r>
      <w:r w:rsidR="00056FCC" w:rsidRPr="00324AD7">
        <w:t>A representative of CPOSA may take part in the sessions of the Commission for the Organization of the Certified Public Accountant Examinations so as to perform the supervisory functions of the Commission referred to in Art. 71, paragraph 2(5) of IFAA</w:t>
      </w:r>
      <w:r w:rsidRPr="00324AD7">
        <w:t>.</w:t>
      </w:r>
    </w:p>
    <w:p w:rsidR="00D12EE6" w:rsidRPr="00324AD7" w:rsidRDefault="00D12EE6" w:rsidP="00BA55BC">
      <w:pPr>
        <w:pStyle w:val="NormalWeb"/>
        <w:spacing w:before="0" w:beforeAutospacing="0" w:after="0" w:afterAutospacing="0"/>
        <w:ind w:firstLine="709"/>
        <w:jc w:val="both"/>
      </w:pPr>
      <w:r w:rsidRPr="00324AD7">
        <w:t xml:space="preserve">(4) </w:t>
      </w:r>
      <w:r w:rsidR="00056FCC" w:rsidRPr="00324AD7">
        <w:t>The Commission for the Organization of the Certified Public Accountant Examinations shall be accountable for its activities before the MB of ICPA</w:t>
      </w:r>
      <w:r w:rsidRPr="00324AD7">
        <w:t>.</w:t>
      </w:r>
    </w:p>
    <w:p w:rsidR="009F32FA" w:rsidRPr="00324AD7" w:rsidRDefault="009F32FA" w:rsidP="00BA55BC">
      <w:pPr>
        <w:pStyle w:val="NormalWeb"/>
        <w:spacing w:before="0" w:beforeAutospacing="0" w:after="0" w:afterAutospacing="0"/>
        <w:ind w:firstLine="709"/>
        <w:jc w:val="both"/>
      </w:pPr>
      <w:r w:rsidRPr="00324AD7">
        <w:t xml:space="preserve">(5) </w:t>
      </w:r>
      <w:r w:rsidR="00056FCC" w:rsidRPr="00324AD7">
        <w:t>Members of the</w:t>
      </w:r>
      <w:r w:rsidRPr="00324AD7">
        <w:t xml:space="preserve"> </w:t>
      </w:r>
      <w:r w:rsidR="00056FCC" w:rsidRPr="00324AD7">
        <w:t xml:space="preserve">Commission for the Organization of the Certified Public Accountant Examinations shall be paid a remuneration for the hours worked which shall be </w:t>
      </w:r>
      <w:r w:rsidR="00CC7ACF">
        <w:t>determined</w:t>
      </w:r>
      <w:r w:rsidR="00056FCC" w:rsidRPr="00324AD7">
        <w:t xml:space="preserve"> by a decision of the MB of ICPA</w:t>
      </w:r>
      <w:r w:rsidRPr="00324AD7">
        <w:t>.</w:t>
      </w:r>
    </w:p>
    <w:p w:rsidR="003E2A1B" w:rsidRPr="00324AD7" w:rsidRDefault="004E3E2D" w:rsidP="00BA55BC">
      <w:pPr>
        <w:pStyle w:val="NormalWeb"/>
        <w:spacing w:before="0" w:beforeAutospacing="0" w:after="0" w:afterAutospacing="0"/>
        <w:ind w:firstLine="709"/>
        <w:jc w:val="both"/>
      </w:pPr>
      <w:r w:rsidRPr="00324AD7">
        <w:rPr>
          <w:b/>
        </w:rPr>
        <w:t>Art.</w:t>
      </w:r>
      <w:r w:rsidR="003E2A1B" w:rsidRPr="00324AD7">
        <w:rPr>
          <w:b/>
        </w:rPr>
        <w:t xml:space="preserve"> </w:t>
      </w:r>
      <w:r w:rsidR="005B03F7" w:rsidRPr="00324AD7">
        <w:rPr>
          <w:b/>
        </w:rPr>
        <w:t>32</w:t>
      </w:r>
      <w:r w:rsidR="003E2A1B" w:rsidRPr="00324AD7">
        <w:rPr>
          <w:b/>
        </w:rPr>
        <w:t>.</w:t>
      </w:r>
      <w:r w:rsidR="003E2A1B" w:rsidRPr="00324AD7">
        <w:t xml:space="preserve"> (1) </w:t>
      </w:r>
      <w:r w:rsidR="00056FCC" w:rsidRPr="00324AD7">
        <w:t xml:space="preserve">Standing commissions shall be set up for the preparation and conducting of the examinations under </w:t>
      </w:r>
      <w:r w:rsidRPr="00324AD7">
        <w:t>Art.</w:t>
      </w:r>
      <w:r w:rsidR="003E2A1B" w:rsidRPr="00324AD7">
        <w:t xml:space="preserve"> 15, </w:t>
      </w:r>
      <w:r w:rsidRPr="00324AD7">
        <w:t>paragraph</w:t>
      </w:r>
      <w:r w:rsidR="003E2A1B" w:rsidRPr="00324AD7">
        <w:t xml:space="preserve"> 1 </w:t>
      </w:r>
      <w:r w:rsidR="00CD77FC" w:rsidRPr="00324AD7">
        <w:t>of IFAA</w:t>
      </w:r>
      <w:r w:rsidR="003E2A1B" w:rsidRPr="00324AD7">
        <w:t xml:space="preserve">, </w:t>
      </w:r>
      <w:r w:rsidR="00056FCC" w:rsidRPr="00324AD7">
        <w:t>as follows</w:t>
      </w:r>
      <w:r w:rsidR="003E2A1B" w:rsidRPr="00324AD7">
        <w:t>:</w:t>
      </w:r>
    </w:p>
    <w:p w:rsidR="003E2A1B" w:rsidRPr="00324AD7" w:rsidRDefault="00954502" w:rsidP="00BA55BC">
      <w:pPr>
        <w:pStyle w:val="NormalWeb"/>
        <w:numPr>
          <w:ilvl w:val="0"/>
          <w:numId w:val="18"/>
        </w:numPr>
        <w:tabs>
          <w:tab w:val="left" w:pos="993"/>
        </w:tabs>
        <w:spacing w:before="0" w:beforeAutospacing="0" w:after="0" w:afterAutospacing="0"/>
        <w:ind w:left="0" w:firstLine="709"/>
        <w:jc w:val="both"/>
      </w:pPr>
      <w:r w:rsidRPr="00324AD7">
        <w:t xml:space="preserve"> </w:t>
      </w:r>
      <w:r w:rsidR="00056FCC" w:rsidRPr="00324AD7">
        <w:t>Commission for the Preparation and Conducting of the Examination in Accountancy</w:t>
      </w:r>
      <w:r w:rsidR="003E2A1B" w:rsidRPr="00324AD7">
        <w:t xml:space="preserve">, </w:t>
      </w:r>
      <w:r w:rsidR="00B50153" w:rsidRPr="00324AD7">
        <w:t>comprising three to five members</w:t>
      </w:r>
      <w:r w:rsidR="003E2A1B" w:rsidRPr="00324AD7">
        <w:t>;</w:t>
      </w:r>
    </w:p>
    <w:p w:rsidR="00880CB6" w:rsidRPr="00324AD7" w:rsidRDefault="00B50153" w:rsidP="00BA55BC">
      <w:pPr>
        <w:pStyle w:val="NormalWeb"/>
        <w:numPr>
          <w:ilvl w:val="0"/>
          <w:numId w:val="18"/>
        </w:numPr>
        <w:tabs>
          <w:tab w:val="left" w:pos="993"/>
        </w:tabs>
        <w:spacing w:before="0" w:beforeAutospacing="0" w:after="0" w:afterAutospacing="0"/>
        <w:ind w:left="0" w:firstLine="709"/>
        <w:jc w:val="both"/>
      </w:pPr>
      <w:r w:rsidRPr="00324AD7">
        <w:lastRenderedPageBreak/>
        <w:t xml:space="preserve"> Commission for the Preparation and Conducting of the Examination in Independent Financial Audit, comprising three to five members</w:t>
      </w:r>
      <w:r w:rsidR="00880CB6" w:rsidRPr="00324AD7">
        <w:t>;</w:t>
      </w:r>
    </w:p>
    <w:p w:rsidR="00880CB6" w:rsidRPr="00324AD7" w:rsidRDefault="00B50153" w:rsidP="00BA55BC">
      <w:pPr>
        <w:pStyle w:val="NormalWeb"/>
        <w:numPr>
          <w:ilvl w:val="0"/>
          <w:numId w:val="18"/>
        </w:numPr>
        <w:tabs>
          <w:tab w:val="left" w:pos="993"/>
        </w:tabs>
        <w:spacing w:before="0" w:beforeAutospacing="0" w:after="0" w:afterAutospacing="0"/>
        <w:ind w:left="0" w:firstLine="709"/>
        <w:jc w:val="both"/>
      </w:pPr>
      <w:r w:rsidRPr="00324AD7">
        <w:t xml:space="preserve"> Commission for the Preparation and Conducting of the Examination in Tax and Social Security Law, comprising three to five members</w:t>
      </w:r>
      <w:r w:rsidR="00880CB6" w:rsidRPr="00324AD7">
        <w:t>;</w:t>
      </w:r>
    </w:p>
    <w:p w:rsidR="00880CB6" w:rsidRPr="00324AD7" w:rsidRDefault="00B50153" w:rsidP="00BA55BC">
      <w:pPr>
        <w:pStyle w:val="NormalWeb"/>
        <w:numPr>
          <w:ilvl w:val="0"/>
          <w:numId w:val="18"/>
        </w:numPr>
        <w:tabs>
          <w:tab w:val="left" w:pos="993"/>
        </w:tabs>
        <w:spacing w:before="0" w:beforeAutospacing="0" w:after="0" w:afterAutospacing="0"/>
        <w:ind w:left="0" w:firstLine="709"/>
        <w:jc w:val="both"/>
      </w:pPr>
      <w:r w:rsidRPr="00324AD7">
        <w:t xml:space="preserve"> Commission for the Preparation and Conducting of the Examination in Commercial Law, comprising three to four members</w:t>
      </w:r>
      <w:r w:rsidR="00880CB6" w:rsidRPr="00324AD7">
        <w:t>;</w:t>
      </w:r>
    </w:p>
    <w:p w:rsidR="00880CB6" w:rsidRPr="00324AD7" w:rsidRDefault="003E2A1B" w:rsidP="00BA55BC">
      <w:pPr>
        <w:pStyle w:val="NormalWeb"/>
        <w:spacing w:before="0" w:beforeAutospacing="0" w:after="0" w:afterAutospacing="0"/>
        <w:ind w:firstLine="709"/>
        <w:jc w:val="both"/>
      </w:pPr>
      <w:r w:rsidRPr="00324AD7">
        <w:t xml:space="preserve">(2) </w:t>
      </w:r>
      <w:r w:rsidR="00D236F7" w:rsidRPr="00324AD7">
        <w:t>Based on the proposal of the</w:t>
      </w:r>
      <w:r w:rsidR="00880CB6" w:rsidRPr="00324AD7">
        <w:t xml:space="preserve"> </w:t>
      </w:r>
      <w:r w:rsidR="00D236F7" w:rsidRPr="00324AD7">
        <w:t>Commission for the Organization of the Certified Public Accountant Examinations</w:t>
      </w:r>
      <w:r w:rsidR="00880CB6" w:rsidRPr="00324AD7">
        <w:t xml:space="preserve">, </w:t>
      </w:r>
      <w:r w:rsidR="00D236F7" w:rsidRPr="00324AD7">
        <w:t>the MB of</w:t>
      </w:r>
      <w:r w:rsidR="00482B78" w:rsidRPr="00324AD7">
        <w:t xml:space="preserve"> </w:t>
      </w:r>
      <w:r w:rsidR="004E3E2D" w:rsidRPr="00324AD7">
        <w:t>ICPA</w:t>
      </w:r>
      <w:r w:rsidR="00482B78" w:rsidRPr="00324AD7" w:rsidDel="00482B78">
        <w:t xml:space="preserve"> </w:t>
      </w:r>
      <w:r w:rsidR="00D236F7" w:rsidRPr="00324AD7">
        <w:t>shall approve</w:t>
      </w:r>
      <w:r w:rsidRPr="00324AD7">
        <w:t xml:space="preserve"> </w:t>
      </w:r>
      <w:r w:rsidR="00D236F7" w:rsidRPr="00324AD7">
        <w:t xml:space="preserve">the chairpersons of the commissions under </w:t>
      </w:r>
      <w:r w:rsidR="004E3E2D" w:rsidRPr="00324AD7">
        <w:t>paragraph</w:t>
      </w:r>
      <w:r w:rsidR="00880CB6" w:rsidRPr="00324AD7">
        <w:t xml:space="preserve"> 1.</w:t>
      </w:r>
    </w:p>
    <w:p w:rsidR="003E2A1B" w:rsidRPr="00324AD7" w:rsidRDefault="003E2A1B" w:rsidP="00BA55BC">
      <w:pPr>
        <w:pStyle w:val="NormalWeb"/>
        <w:spacing w:before="0" w:beforeAutospacing="0" w:after="0" w:afterAutospacing="0"/>
        <w:ind w:firstLine="709"/>
        <w:jc w:val="both"/>
      </w:pPr>
      <w:r w:rsidRPr="00324AD7">
        <w:t xml:space="preserve">(3) </w:t>
      </w:r>
      <w:r w:rsidR="00D236F7" w:rsidRPr="00324AD7">
        <w:t>The composition of the commissions referred to in paragraph 1 shall be approved by the MB following the proposals made by their respective chairpersons</w:t>
      </w:r>
      <w:r w:rsidRPr="00324AD7">
        <w:t>.</w:t>
      </w:r>
    </w:p>
    <w:p w:rsidR="003E2A1B" w:rsidRPr="00324AD7" w:rsidRDefault="003E2A1B" w:rsidP="00BA55BC">
      <w:pPr>
        <w:pStyle w:val="NormalWeb"/>
        <w:spacing w:before="0" w:beforeAutospacing="0" w:after="0" w:afterAutospacing="0"/>
        <w:ind w:firstLine="709"/>
        <w:jc w:val="both"/>
      </w:pPr>
      <w:r w:rsidRPr="00324AD7">
        <w:t xml:space="preserve">(4) </w:t>
      </w:r>
      <w:r w:rsidR="00D236F7" w:rsidRPr="00324AD7">
        <w:t>Each member of the commissions shall have a right to one vote. In the event of a tied vote, the chairperson of the relevant commission shall have the casting vote</w:t>
      </w:r>
      <w:r w:rsidRPr="00324AD7">
        <w:t>.</w:t>
      </w:r>
    </w:p>
    <w:p w:rsidR="003379AB" w:rsidRPr="00324AD7" w:rsidRDefault="003379AB" w:rsidP="00BA55BC">
      <w:pPr>
        <w:pStyle w:val="NormalWeb"/>
        <w:spacing w:before="0" w:beforeAutospacing="0" w:after="0" w:afterAutospacing="0"/>
        <w:ind w:firstLine="709"/>
        <w:jc w:val="both"/>
      </w:pPr>
      <w:r w:rsidRPr="00324AD7">
        <w:t xml:space="preserve">(5) </w:t>
      </w:r>
      <w:r w:rsidR="00D236F7" w:rsidRPr="00324AD7">
        <w:t>For their work, the</w:t>
      </w:r>
      <w:r w:rsidRPr="00324AD7">
        <w:t xml:space="preserve"> </w:t>
      </w:r>
      <w:r w:rsidR="00D236F7" w:rsidRPr="00324AD7">
        <w:t>commissions for the preparation and conducting of the examinations shall report, after each conducted examination, to the</w:t>
      </w:r>
      <w:r w:rsidRPr="00324AD7">
        <w:t xml:space="preserve"> </w:t>
      </w:r>
      <w:r w:rsidR="00D236F7" w:rsidRPr="00324AD7">
        <w:t>Commission for the Organization of the Certified Public Accountant Examinations</w:t>
      </w:r>
      <w:r w:rsidRPr="00324AD7">
        <w:t>.</w:t>
      </w:r>
    </w:p>
    <w:p w:rsidR="009F32FA" w:rsidRPr="00324AD7" w:rsidRDefault="009F32FA" w:rsidP="00BA55BC">
      <w:pPr>
        <w:pStyle w:val="NormalWeb"/>
        <w:spacing w:before="0" w:beforeAutospacing="0" w:after="0" w:afterAutospacing="0"/>
        <w:ind w:firstLine="709"/>
        <w:jc w:val="both"/>
      </w:pPr>
      <w:r w:rsidRPr="00324AD7">
        <w:t>(</w:t>
      </w:r>
      <w:r w:rsidR="003379AB" w:rsidRPr="00324AD7">
        <w:t>6</w:t>
      </w:r>
      <w:r w:rsidRPr="00324AD7">
        <w:t xml:space="preserve">) </w:t>
      </w:r>
      <w:r w:rsidR="00D236F7" w:rsidRPr="00324AD7">
        <w:t>Members of the commissions referred to in</w:t>
      </w:r>
      <w:r w:rsidR="00CD494F" w:rsidRPr="00324AD7">
        <w:t xml:space="preserve"> </w:t>
      </w:r>
      <w:r w:rsidR="004E3E2D" w:rsidRPr="00324AD7">
        <w:t>paragraph</w:t>
      </w:r>
      <w:r w:rsidR="00D236F7" w:rsidRPr="00324AD7">
        <w:t xml:space="preserve"> </w:t>
      </w:r>
      <w:r w:rsidR="00CD494F" w:rsidRPr="00324AD7">
        <w:t xml:space="preserve">1 </w:t>
      </w:r>
      <w:r w:rsidR="00D236F7" w:rsidRPr="00324AD7">
        <w:t xml:space="preserve">shall be paid a remuneration for the hours worked which shall be </w:t>
      </w:r>
      <w:r w:rsidR="00CC7ACF">
        <w:t>determined</w:t>
      </w:r>
      <w:r w:rsidR="00D236F7" w:rsidRPr="00324AD7">
        <w:t xml:space="preserve"> by a decision of the MB of</w:t>
      </w:r>
      <w:r w:rsidRPr="00324AD7">
        <w:t xml:space="preserve"> </w:t>
      </w:r>
      <w:r w:rsidR="004E3E2D" w:rsidRPr="00324AD7">
        <w:t>ICPA</w:t>
      </w:r>
      <w:r w:rsidRPr="00324AD7">
        <w:t>.</w:t>
      </w:r>
    </w:p>
    <w:p w:rsidR="00880CB6" w:rsidRPr="00324AD7" w:rsidRDefault="004E3E2D" w:rsidP="00BA55BC">
      <w:pPr>
        <w:pStyle w:val="NormalWeb"/>
        <w:spacing w:before="0" w:beforeAutospacing="0" w:after="0" w:afterAutospacing="0"/>
        <w:ind w:firstLine="709"/>
        <w:jc w:val="both"/>
      </w:pPr>
      <w:r w:rsidRPr="00324AD7">
        <w:rPr>
          <w:b/>
        </w:rPr>
        <w:t>Art.</w:t>
      </w:r>
      <w:r w:rsidR="003E2A1B" w:rsidRPr="00324AD7">
        <w:rPr>
          <w:b/>
        </w:rPr>
        <w:t xml:space="preserve"> </w:t>
      </w:r>
      <w:r w:rsidR="005B03F7" w:rsidRPr="00324AD7">
        <w:rPr>
          <w:b/>
        </w:rPr>
        <w:t>33</w:t>
      </w:r>
      <w:r w:rsidR="00D12EE6" w:rsidRPr="00324AD7">
        <w:t>.</w:t>
      </w:r>
      <w:r w:rsidR="003E2A1B" w:rsidRPr="00324AD7">
        <w:t xml:space="preserve"> (1) </w:t>
      </w:r>
      <w:r w:rsidR="00D236F7" w:rsidRPr="00324AD7">
        <w:t>To assist the examination process and the commissions referred to in</w:t>
      </w:r>
      <w:r w:rsidR="00AC08C0" w:rsidRPr="00324AD7">
        <w:t xml:space="preserve"> </w:t>
      </w:r>
      <w:r w:rsidRPr="00324AD7">
        <w:t>Art.</w:t>
      </w:r>
      <w:r w:rsidR="009B5F1F" w:rsidRPr="00324AD7">
        <w:t xml:space="preserve">32 </w:t>
      </w:r>
      <w:r w:rsidRPr="00324AD7">
        <w:t>paragraph</w:t>
      </w:r>
      <w:r w:rsidR="00D236F7" w:rsidRPr="00324AD7">
        <w:t xml:space="preserve"> </w:t>
      </w:r>
      <w:r w:rsidR="00880CB6" w:rsidRPr="00324AD7">
        <w:t xml:space="preserve">1 </w:t>
      </w:r>
      <w:r w:rsidR="00AD689B" w:rsidRPr="00324AD7">
        <w:t>of these Rules</w:t>
      </w:r>
      <w:r w:rsidR="00D236F7" w:rsidRPr="00324AD7">
        <w:t>,</w:t>
      </w:r>
      <w:r w:rsidR="00880CB6" w:rsidRPr="00324AD7">
        <w:t xml:space="preserve"> </w:t>
      </w:r>
      <w:r w:rsidR="00D236F7" w:rsidRPr="00324AD7">
        <w:t xml:space="preserve">Preparers of Test Questions and/or Case </w:t>
      </w:r>
      <w:r w:rsidR="00A84FFC" w:rsidRPr="00324AD7">
        <w:t>S</w:t>
      </w:r>
      <w:r w:rsidR="00D236F7" w:rsidRPr="00324AD7">
        <w:t xml:space="preserve">tudies shall be designated for the relevant </w:t>
      </w:r>
      <w:r w:rsidR="00A84FFC" w:rsidRPr="00324AD7">
        <w:t>examinations</w:t>
      </w:r>
      <w:r w:rsidR="00880CB6" w:rsidRPr="00324AD7">
        <w:t>.</w:t>
      </w:r>
    </w:p>
    <w:p w:rsidR="00880CB6" w:rsidRPr="00324AD7" w:rsidRDefault="003E2A1B" w:rsidP="00BA55BC">
      <w:pPr>
        <w:pStyle w:val="NormalWeb"/>
        <w:spacing w:before="0" w:beforeAutospacing="0" w:after="0" w:afterAutospacing="0"/>
        <w:ind w:firstLine="709"/>
        <w:jc w:val="both"/>
      </w:pPr>
      <w:r w:rsidRPr="00324AD7">
        <w:t xml:space="preserve">(2) </w:t>
      </w:r>
      <w:r w:rsidR="00A84FFC" w:rsidRPr="00324AD7">
        <w:t>The preparers shall be individuals possessing expertise in the areas related to the relevant examination</w:t>
      </w:r>
      <w:r w:rsidR="00145653" w:rsidRPr="00324AD7">
        <w:t>.</w:t>
      </w:r>
    </w:p>
    <w:p w:rsidR="00880CB6" w:rsidRPr="00324AD7" w:rsidRDefault="00880CB6" w:rsidP="00BA55BC">
      <w:pPr>
        <w:pStyle w:val="NormalWeb"/>
        <w:spacing w:before="0" w:beforeAutospacing="0" w:after="0" w:afterAutospacing="0"/>
        <w:ind w:firstLine="709"/>
        <w:jc w:val="both"/>
      </w:pPr>
      <w:r w:rsidRPr="00324AD7">
        <w:t>(</w:t>
      </w:r>
      <w:r w:rsidR="009F32FA" w:rsidRPr="00324AD7">
        <w:t>3</w:t>
      </w:r>
      <w:r w:rsidRPr="00324AD7">
        <w:t xml:space="preserve">) </w:t>
      </w:r>
      <w:r w:rsidR="00A84FFC" w:rsidRPr="00324AD7">
        <w:t>The preparers shall be proposed by the chairpersons of the relevant commissions</w:t>
      </w:r>
      <w:r w:rsidRPr="00324AD7">
        <w:t xml:space="preserve"> </w:t>
      </w:r>
      <w:r w:rsidR="00A84FFC" w:rsidRPr="00324AD7">
        <w:t>for the preparation and conducting of the examinations under</w:t>
      </w:r>
      <w:r w:rsidR="009F32FA" w:rsidRPr="00324AD7">
        <w:t xml:space="preserve"> </w:t>
      </w:r>
      <w:r w:rsidR="004E3E2D" w:rsidRPr="00324AD7">
        <w:t>Art.</w:t>
      </w:r>
      <w:r w:rsidR="00482B78" w:rsidRPr="00324AD7">
        <w:t xml:space="preserve"> </w:t>
      </w:r>
      <w:r w:rsidR="009F32FA" w:rsidRPr="00324AD7">
        <w:t>3</w:t>
      </w:r>
      <w:r w:rsidR="009B5F1F" w:rsidRPr="00324AD7">
        <w:t>2</w:t>
      </w:r>
      <w:r w:rsidR="009F32FA" w:rsidRPr="00324AD7">
        <w:t xml:space="preserve"> </w:t>
      </w:r>
      <w:r w:rsidR="004E3E2D" w:rsidRPr="00324AD7">
        <w:t>paragraph</w:t>
      </w:r>
      <w:r w:rsidR="00482B78" w:rsidRPr="00324AD7">
        <w:t xml:space="preserve"> </w:t>
      </w:r>
      <w:r w:rsidR="009F32FA" w:rsidRPr="00324AD7">
        <w:t>1</w:t>
      </w:r>
      <w:r w:rsidRPr="00324AD7">
        <w:t xml:space="preserve">, </w:t>
      </w:r>
      <w:r w:rsidR="00A84FFC" w:rsidRPr="00324AD7">
        <w:t>shall be coordinated with the Commission for the Organization of Examinations, and shall be approved accordingly by the MB of</w:t>
      </w:r>
      <w:r w:rsidRPr="00324AD7">
        <w:t xml:space="preserve"> </w:t>
      </w:r>
      <w:r w:rsidR="004E3E2D" w:rsidRPr="00324AD7">
        <w:t>ICPA</w:t>
      </w:r>
      <w:r w:rsidR="00145653" w:rsidRPr="00324AD7">
        <w:t>.</w:t>
      </w:r>
    </w:p>
    <w:p w:rsidR="003E2A1B" w:rsidRPr="00324AD7" w:rsidRDefault="007D705D" w:rsidP="00BA55BC">
      <w:pPr>
        <w:pStyle w:val="NormalWeb"/>
        <w:spacing w:before="0" w:beforeAutospacing="0" w:after="0" w:afterAutospacing="0"/>
        <w:ind w:firstLine="709"/>
        <w:jc w:val="both"/>
      </w:pPr>
      <w:r w:rsidRPr="00324AD7">
        <w:t xml:space="preserve">(3) </w:t>
      </w:r>
      <w:r w:rsidR="00A84FFC" w:rsidRPr="00324AD7">
        <w:t xml:space="preserve">The preparers shall be </w:t>
      </w:r>
      <w:r w:rsidR="00CC7ACF">
        <w:t xml:space="preserve">paid </w:t>
      </w:r>
      <w:r w:rsidR="00A84FFC" w:rsidRPr="00324AD7">
        <w:t>a remuneration, calculated on the basis of each question included in the data base, and determined by a decision of the MB of ICPA</w:t>
      </w:r>
      <w:r w:rsidR="003E2A1B" w:rsidRPr="00324AD7">
        <w:t>.</w:t>
      </w:r>
    </w:p>
    <w:p w:rsidR="003E2A1B" w:rsidRPr="00324AD7" w:rsidRDefault="004E3E2D" w:rsidP="00BA55BC">
      <w:pPr>
        <w:pStyle w:val="NormalWeb"/>
        <w:spacing w:before="0" w:beforeAutospacing="0" w:after="0" w:afterAutospacing="0"/>
        <w:ind w:firstLine="709"/>
        <w:jc w:val="both"/>
      </w:pPr>
      <w:r w:rsidRPr="00324AD7">
        <w:rPr>
          <w:b/>
        </w:rPr>
        <w:t>Art.</w:t>
      </w:r>
      <w:r w:rsidR="003E2A1B" w:rsidRPr="00324AD7">
        <w:rPr>
          <w:b/>
        </w:rPr>
        <w:t xml:space="preserve"> </w:t>
      </w:r>
      <w:r w:rsidR="005B03F7" w:rsidRPr="00324AD7">
        <w:rPr>
          <w:b/>
        </w:rPr>
        <w:t>34</w:t>
      </w:r>
      <w:r w:rsidR="00D12EE6" w:rsidRPr="00324AD7">
        <w:rPr>
          <w:b/>
        </w:rPr>
        <w:t>.</w:t>
      </w:r>
      <w:r w:rsidR="003E2A1B" w:rsidRPr="00324AD7">
        <w:t xml:space="preserve"> (1) </w:t>
      </w:r>
      <w:r w:rsidR="00A84FFC" w:rsidRPr="00324AD7">
        <w:t>To ensure the quality of the database containing the open-ended questions and case studies, reviewers specialized in the relevant areas shall be designated who shall then carry out reviews for compliance of the questions and case studies with the requirements of these Rules and other effective regulations</w:t>
      </w:r>
      <w:r w:rsidR="003E2A1B" w:rsidRPr="00324AD7">
        <w:t>.</w:t>
      </w:r>
    </w:p>
    <w:p w:rsidR="003E2A1B" w:rsidRPr="00324AD7" w:rsidRDefault="003E2A1B" w:rsidP="00BA55BC">
      <w:pPr>
        <w:pStyle w:val="NormalWeb"/>
        <w:spacing w:before="0" w:beforeAutospacing="0" w:after="0" w:afterAutospacing="0"/>
        <w:ind w:firstLine="709"/>
        <w:jc w:val="both"/>
      </w:pPr>
      <w:r w:rsidRPr="00324AD7">
        <w:t xml:space="preserve">(2) </w:t>
      </w:r>
      <w:r w:rsidR="00A84FFC" w:rsidRPr="00324AD7">
        <w:t>Reviewers shall be individuals possessing expertise in the areas related to the relevant examination; they shall be proposed by the Commission for the Organization of the Examinations and approved accordingly by the MB of ICPA.</w:t>
      </w:r>
    </w:p>
    <w:p w:rsidR="007D705D" w:rsidRPr="00324AD7" w:rsidRDefault="007D705D" w:rsidP="00BA55BC">
      <w:pPr>
        <w:pStyle w:val="NormalWeb"/>
        <w:spacing w:before="0" w:beforeAutospacing="0" w:after="0" w:afterAutospacing="0"/>
        <w:ind w:firstLine="709"/>
        <w:jc w:val="both"/>
      </w:pPr>
      <w:r w:rsidRPr="00324AD7">
        <w:t xml:space="preserve">(3) </w:t>
      </w:r>
      <w:r w:rsidR="00A84FFC" w:rsidRPr="00324AD7">
        <w:t>Reviewers shall be paid a remuneration for each question referred to for review as determined by a decision of the MB of ICPA</w:t>
      </w:r>
      <w:r w:rsidRPr="00324AD7">
        <w:t>.</w:t>
      </w:r>
    </w:p>
    <w:p w:rsidR="00E5382F" w:rsidRPr="00324AD7" w:rsidRDefault="004E3E2D" w:rsidP="00BA55BC">
      <w:pPr>
        <w:pStyle w:val="NormalWeb"/>
        <w:spacing w:before="0" w:beforeAutospacing="0" w:after="0" w:afterAutospacing="0"/>
        <w:ind w:firstLine="709"/>
        <w:jc w:val="both"/>
      </w:pPr>
      <w:r w:rsidRPr="00324AD7">
        <w:rPr>
          <w:b/>
        </w:rPr>
        <w:t>Art.</w:t>
      </w:r>
      <w:r w:rsidR="00E5382F" w:rsidRPr="00324AD7">
        <w:rPr>
          <w:b/>
        </w:rPr>
        <w:t xml:space="preserve"> </w:t>
      </w:r>
      <w:r w:rsidR="005B03F7" w:rsidRPr="00324AD7">
        <w:rPr>
          <w:b/>
        </w:rPr>
        <w:t>35</w:t>
      </w:r>
      <w:r w:rsidR="00E5382F" w:rsidRPr="00324AD7">
        <w:rPr>
          <w:b/>
        </w:rPr>
        <w:t>.</w:t>
      </w:r>
      <w:r w:rsidR="00E5382F" w:rsidRPr="00324AD7">
        <w:t xml:space="preserve"> </w:t>
      </w:r>
      <w:r w:rsidR="00A84FFC" w:rsidRPr="00324AD7">
        <w:t xml:space="preserve">The work of the commissions for the preparation and conducting of the examinations and of question preparers shall be performed </w:t>
      </w:r>
      <w:r w:rsidR="00353A89" w:rsidRPr="00324AD7">
        <w:t xml:space="preserve">in accordance with time </w:t>
      </w:r>
      <w:r w:rsidR="00954502" w:rsidRPr="00324AD7">
        <w:t>frames</w:t>
      </w:r>
      <w:r w:rsidR="00353A89" w:rsidRPr="00324AD7">
        <w:t>, approved accordingly by the chairpersons of the relevant commissions</w:t>
      </w:r>
      <w:r w:rsidR="003379AB" w:rsidRPr="00324AD7">
        <w:t xml:space="preserve">, </w:t>
      </w:r>
      <w:r w:rsidR="00353A89" w:rsidRPr="00324AD7">
        <w:t>which shall comply with the schedule for conducting the examinations in the relevant examination sitting, as approved by the MB of ICPA, and the requirements of the Guidelines under</w:t>
      </w:r>
      <w:r w:rsidR="00482B78" w:rsidRPr="00324AD7">
        <w:t xml:space="preserve"> </w:t>
      </w:r>
      <w:r w:rsidRPr="00324AD7">
        <w:t>Art.</w:t>
      </w:r>
      <w:r w:rsidR="00482B78" w:rsidRPr="00324AD7">
        <w:t xml:space="preserve"> 19</w:t>
      </w:r>
      <w:r w:rsidR="003379AB" w:rsidRPr="00324AD7">
        <w:t>.</w:t>
      </w:r>
    </w:p>
    <w:p w:rsidR="00E5382F" w:rsidRPr="00324AD7" w:rsidRDefault="004E3E2D" w:rsidP="00BA55BC">
      <w:pPr>
        <w:pStyle w:val="NormalWeb"/>
        <w:spacing w:before="0" w:beforeAutospacing="0" w:after="0" w:afterAutospacing="0"/>
        <w:ind w:firstLine="709"/>
        <w:jc w:val="both"/>
      </w:pPr>
      <w:r w:rsidRPr="00324AD7">
        <w:rPr>
          <w:b/>
        </w:rPr>
        <w:t>Art.</w:t>
      </w:r>
      <w:r w:rsidR="00E5382F" w:rsidRPr="00324AD7">
        <w:rPr>
          <w:b/>
        </w:rPr>
        <w:t xml:space="preserve"> </w:t>
      </w:r>
      <w:r w:rsidR="005B03F7" w:rsidRPr="00324AD7">
        <w:rPr>
          <w:b/>
        </w:rPr>
        <w:t>36</w:t>
      </w:r>
      <w:r w:rsidR="00E5382F" w:rsidRPr="00324AD7">
        <w:t xml:space="preserve">. (1) </w:t>
      </w:r>
      <w:r w:rsidR="00353A89" w:rsidRPr="00324AD7">
        <w:t>The commissions for the preparation and conducting of the examinations shall determine and assign to the preparers from which areas to prepare the questions for the relevant examination and the relative weight of these questions</w:t>
      </w:r>
      <w:r w:rsidR="00E5382F" w:rsidRPr="00324AD7">
        <w:t>.</w:t>
      </w:r>
    </w:p>
    <w:p w:rsidR="00E5382F" w:rsidRPr="00324AD7" w:rsidRDefault="00E5382F" w:rsidP="00BA55BC">
      <w:pPr>
        <w:pStyle w:val="NormalWeb"/>
        <w:spacing w:before="0" w:beforeAutospacing="0" w:after="0" w:afterAutospacing="0"/>
        <w:ind w:firstLine="709"/>
        <w:jc w:val="both"/>
      </w:pPr>
      <w:r w:rsidRPr="00324AD7">
        <w:t xml:space="preserve">(2) </w:t>
      </w:r>
      <w:r w:rsidR="00353A89" w:rsidRPr="00324AD7">
        <w:t>In accordance with the time limits under</w:t>
      </w:r>
      <w:r w:rsidRPr="00324AD7">
        <w:t xml:space="preserve"> </w:t>
      </w:r>
      <w:r w:rsidR="004E3E2D" w:rsidRPr="00324AD7">
        <w:t>Art.</w:t>
      </w:r>
      <w:r w:rsidRPr="00324AD7">
        <w:t xml:space="preserve"> 3</w:t>
      </w:r>
      <w:r w:rsidR="00E14498" w:rsidRPr="00324AD7">
        <w:t>5</w:t>
      </w:r>
      <w:r w:rsidR="00353A89" w:rsidRPr="00324AD7">
        <w:t>, the preparers shall present to the commissions, on paper and in electronic form,</w:t>
      </w:r>
      <w:r w:rsidRPr="00324AD7">
        <w:t xml:space="preserve"> </w:t>
      </w:r>
      <w:r w:rsidR="00353A89" w:rsidRPr="00324AD7">
        <w:t>proposals for test questions</w:t>
      </w:r>
      <w:r w:rsidRPr="00324AD7">
        <w:t>.</w:t>
      </w:r>
    </w:p>
    <w:p w:rsidR="00E5382F" w:rsidRPr="00324AD7" w:rsidRDefault="00E5382F" w:rsidP="00BA55BC">
      <w:pPr>
        <w:pStyle w:val="NormalWeb"/>
        <w:spacing w:before="0" w:beforeAutospacing="0" w:after="0" w:afterAutospacing="0"/>
        <w:ind w:firstLine="709"/>
        <w:jc w:val="both"/>
      </w:pPr>
      <w:r w:rsidRPr="00324AD7">
        <w:t xml:space="preserve">(3) </w:t>
      </w:r>
      <w:r w:rsidR="00FF101F" w:rsidRPr="00324AD7">
        <w:t>Each preparer shall submit the questions assigned thereon, allocated to modules and areas, together with the options for an answer</w:t>
      </w:r>
      <w:r w:rsidRPr="00324AD7">
        <w:t xml:space="preserve">. </w:t>
      </w:r>
      <w:r w:rsidR="00FF101F" w:rsidRPr="00324AD7">
        <w:t>Each question shall be accompanied by its solution, reference to the grounds for the correct answer, as well as a proposal for its relative weight</w:t>
      </w:r>
      <w:r w:rsidRPr="00324AD7">
        <w:t>.</w:t>
      </w:r>
    </w:p>
    <w:p w:rsidR="00E5382F" w:rsidRPr="00324AD7" w:rsidRDefault="00E5382F" w:rsidP="00BA55BC">
      <w:pPr>
        <w:pStyle w:val="NormalWeb"/>
        <w:spacing w:before="0" w:beforeAutospacing="0" w:after="0" w:afterAutospacing="0"/>
        <w:ind w:firstLine="709"/>
        <w:jc w:val="both"/>
      </w:pPr>
      <w:r w:rsidRPr="00324AD7">
        <w:lastRenderedPageBreak/>
        <w:t xml:space="preserve">(4) </w:t>
      </w:r>
      <w:r w:rsidR="00FF101F" w:rsidRPr="00324AD7">
        <w:t>The facts and circumstances related to the relevant question shall be set out clearly, with unambiguous interpretation, and consistent logical structure. The questions shall be drawn up in a way that does not require extensive technical calculations</w:t>
      </w:r>
      <w:r w:rsidRPr="00324AD7">
        <w:t>.</w:t>
      </w:r>
    </w:p>
    <w:p w:rsidR="00E5382F" w:rsidRPr="00324AD7" w:rsidRDefault="004E3E2D" w:rsidP="00BA55BC">
      <w:pPr>
        <w:pStyle w:val="NormalWeb"/>
        <w:tabs>
          <w:tab w:val="left" w:pos="1843"/>
        </w:tabs>
        <w:spacing w:before="0" w:beforeAutospacing="0" w:after="0" w:afterAutospacing="0"/>
        <w:ind w:firstLine="709"/>
        <w:jc w:val="both"/>
      </w:pPr>
      <w:r w:rsidRPr="00324AD7">
        <w:rPr>
          <w:b/>
        </w:rPr>
        <w:t>Art.</w:t>
      </w:r>
      <w:r w:rsidR="00E5382F" w:rsidRPr="00324AD7">
        <w:rPr>
          <w:b/>
        </w:rPr>
        <w:t xml:space="preserve"> </w:t>
      </w:r>
      <w:r w:rsidR="005B03F7" w:rsidRPr="00324AD7">
        <w:rPr>
          <w:b/>
        </w:rPr>
        <w:t>37</w:t>
      </w:r>
      <w:r w:rsidR="00E5382F" w:rsidRPr="00324AD7">
        <w:rPr>
          <w:b/>
        </w:rPr>
        <w:t>.</w:t>
      </w:r>
      <w:r w:rsidR="00E5382F" w:rsidRPr="00324AD7">
        <w:t xml:space="preserve"> (1)</w:t>
      </w:r>
      <w:r w:rsidR="00406A03" w:rsidRPr="00324AD7">
        <w:t xml:space="preserve"> </w:t>
      </w:r>
      <w:r w:rsidR="00954502" w:rsidRPr="00324AD7">
        <w:t>In line with the time frames under</w:t>
      </w:r>
      <w:r w:rsidR="00E5382F" w:rsidRPr="00324AD7">
        <w:t xml:space="preserve"> </w:t>
      </w:r>
      <w:r w:rsidRPr="00324AD7">
        <w:t>Art.</w:t>
      </w:r>
      <w:r w:rsidR="00E5382F" w:rsidRPr="00324AD7">
        <w:t xml:space="preserve"> 3</w:t>
      </w:r>
      <w:r w:rsidR="00E14498" w:rsidRPr="00324AD7">
        <w:t>5</w:t>
      </w:r>
      <w:r w:rsidR="00954502" w:rsidRPr="00324AD7">
        <w:t>,</w:t>
      </w:r>
      <w:r w:rsidR="00E5382F" w:rsidRPr="00324AD7">
        <w:t xml:space="preserve"> </w:t>
      </w:r>
      <w:r w:rsidR="00954502" w:rsidRPr="00324AD7">
        <w:t xml:space="preserve">the commissions shall check the questions, case studies and answers, submitted thereto by the preparers, for compliance with the requirements of </w:t>
      </w:r>
      <w:r w:rsidR="00E22FA2" w:rsidRPr="00324AD7">
        <w:t>the</w:t>
      </w:r>
      <w:r w:rsidR="00954502" w:rsidRPr="00324AD7">
        <w:t xml:space="preserve"> Rules and other effective legal and regulatory</w:t>
      </w:r>
      <w:r w:rsidR="00B37DCC">
        <w:t xml:space="preserve"> provisions</w:t>
      </w:r>
      <w:r w:rsidR="00E5382F" w:rsidRPr="00324AD7">
        <w:t xml:space="preserve">. </w:t>
      </w:r>
      <w:r w:rsidR="00954502" w:rsidRPr="00324AD7">
        <w:t>Where mistakes in the statement of the problem or deficiencies in the answers or solutions are identified, the relevant question shall be removed. The results of this check shall be reported in a protocol</w:t>
      </w:r>
      <w:r w:rsidR="00E5382F" w:rsidRPr="00324AD7">
        <w:t>.</w:t>
      </w:r>
    </w:p>
    <w:p w:rsidR="00E5382F" w:rsidRPr="00324AD7" w:rsidRDefault="00E5382F" w:rsidP="00BA55BC">
      <w:pPr>
        <w:pStyle w:val="NormalWeb"/>
        <w:spacing w:before="0" w:beforeAutospacing="0" w:after="0" w:afterAutospacing="0"/>
        <w:ind w:firstLine="709"/>
        <w:jc w:val="both"/>
      </w:pPr>
      <w:r w:rsidRPr="00324AD7">
        <w:t xml:space="preserve">(2) </w:t>
      </w:r>
      <w:r w:rsidR="00E22FA2" w:rsidRPr="00324AD7">
        <w:t xml:space="preserve">Following the check referred to in paragraph 1, all questions, case studies and answers thereto, approved by the Commissions for the Preparation and Conducting of the Examinations, shall be submitted to the reviewers under Art. </w:t>
      </w:r>
      <w:r w:rsidR="003379AB" w:rsidRPr="00324AD7">
        <w:t>3</w:t>
      </w:r>
      <w:r w:rsidR="00E14498" w:rsidRPr="00324AD7">
        <w:t>4</w:t>
      </w:r>
      <w:r w:rsidRPr="00324AD7">
        <w:t xml:space="preserve">, </w:t>
      </w:r>
      <w:r w:rsidR="004E3E2D" w:rsidRPr="00324AD7">
        <w:t>paragraph</w:t>
      </w:r>
      <w:r w:rsidRPr="00324AD7">
        <w:t xml:space="preserve"> 1 </w:t>
      </w:r>
      <w:r w:rsidR="00E22FA2" w:rsidRPr="00324AD7">
        <w:t>for review for consistency with the requirements of the Rules and other effective legal and regulatory provisions and for control problem solving</w:t>
      </w:r>
      <w:r w:rsidRPr="00324AD7">
        <w:t>.</w:t>
      </w:r>
    </w:p>
    <w:p w:rsidR="00E5382F" w:rsidRPr="00324AD7" w:rsidRDefault="00E5382F" w:rsidP="00BA55BC">
      <w:pPr>
        <w:pStyle w:val="NormalWeb"/>
        <w:spacing w:before="0" w:beforeAutospacing="0" w:after="0" w:afterAutospacing="0"/>
        <w:ind w:firstLine="709"/>
        <w:jc w:val="both"/>
      </w:pPr>
      <w:r w:rsidRPr="00324AD7">
        <w:t xml:space="preserve">(3) </w:t>
      </w:r>
      <w:r w:rsidR="00E22FA2" w:rsidRPr="00324AD7">
        <w:t>Where the reviewers identify mistakes in the statement of the problem or deficiencies in the answers or solutions, the relevant question shall be removed. The results of these reviews shall be reported in a protocol</w:t>
      </w:r>
      <w:r w:rsidRPr="00324AD7">
        <w:t>.</w:t>
      </w:r>
    </w:p>
    <w:p w:rsidR="00E5382F" w:rsidRPr="00324AD7" w:rsidRDefault="00E5382F" w:rsidP="00BA55BC">
      <w:pPr>
        <w:pStyle w:val="NormalWeb"/>
        <w:spacing w:before="0" w:beforeAutospacing="0" w:after="0" w:afterAutospacing="0"/>
        <w:ind w:firstLine="709"/>
        <w:jc w:val="both"/>
      </w:pPr>
      <w:r w:rsidRPr="00324AD7">
        <w:t xml:space="preserve">(4) </w:t>
      </w:r>
      <w:r w:rsidR="00E22FA2" w:rsidRPr="00324AD7">
        <w:t xml:space="preserve">In line with the time frames under </w:t>
      </w:r>
      <w:r w:rsidR="004E3E2D" w:rsidRPr="00324AD7">
        <w:t>Art.</w:t>
      </w:r>
      <w:r w:rsidRPr="00324AD7">
        <w:t xml:space="preserve"> 3</w:t>
      </w:r>
      <w:r w:rsidR="00E14498" w:rsidRPr="00324AD7">
        <w:t>5</w:t>
      </w:r>
      <w:r w:rsidRPr="00324AD7">
        <w:t xml:space="preserve"> </w:t>
      </w:r>
      <w:r w:rsidR="00E22FA2" w:rsidRPr="00324AD7">
        <w:t xml:space="preserve">and on the basis of the protocols under paragraph 3, the Commissions for the Preparation and Conducting of the Examinations shall make decisions in writing on the inclusion of new questions and case studies in the database for </w:t>
      </w:r>
      <w:r w:rsidR="00CC3EE2" w:rsidRPr="00324AD7">
        <w:t>the relevant</w:t>
      </w:r>
      <w:r w:rsidR="00E22FA2" w:rsidRPr="00324AD7">
        <w:t xml:space="preserve"> examination.</w:t>
      </w:r>
    </w:p>
    <w:p w:rsidR="00E5382F" w:rsidRPr="00324AD7" w:rsidRDefault="00E5382F" w:rsidP="00BA55BC">
      <w:pPr>
        <w:pStyle w:val="NormalWeb"/>
        <w:spacing w:before="0" w:beforeAutospacing="0" w:after="0" w:afterAutospacing="0"/>
        <w:ind w:firstLine="709"/>
        <w:jc w:val="both"/>
      </w:pPr>
      <w:r w:rsidRPr="00324AD7">
        <w:t xml:space="preserve">(5) </w:t>
      </w:r>
      <w:r w:rsidR="00CC3EE2" w:rsidRPr="00324AD7">
        <w:t>For each examination sitting, the Commissions for the Preparation and Conducting of the Examinations shall check the databases with questions, case studies and answers for the relevant examinations, and shall be entitled to supplement, amend or correct same under the procedure provided for in the preceding paragraphs. Any supplement, amendment or correction shall be reported in a protocol</w:t>
      </w:r>
      <w:r w:rsidR="003379AB" w:rsidRPr="00324AD7">
        <w:t>.</w:t>
      </w:r>
    </w:p>
    <w:p w:rsidR="00145653" w:rsidRPr="00324AD7" w:rsidRDefault="00145653" w:rsidP="00BA55BC">
      <w:pPr>
        <w:pStyle w:val="ListParagraph"/>
        <w:spacing w:after="0"/>
        <w:ind w:left="0" w:firstLine="709"/>
        <w:contextualSpacing w:val="0"/>
        <w:jc w:val="both"/>
        <w:rPr>
          <w:rFonts w:ascii="Times New Roman" w:eastAsia="Calibri" w:hAnsi="Times New Roman"/>
          <w:sz w:val="24"/>
          <w:szCs w:val="24"/>
          <w:lang w:val="en-GB" w:eastAsia="en-US"/>
        </w:rPr>
      </w:pPr>
      <w:r w:rsidRPr="00324AD7">
        <w:rPr>
          <w:rFonts w:ascii="Times New Roman" w:eastAsia="Calibri" w:hAnsi="Times New Roman"/>
          <w:sz w:val="24"/>
          <w:szCs w:val="24"/>
          <w:lang w:val="en-GB" w:eastAsia="en-US"/>
        </w:rPr>
        <w:t>(</w:t>
      </w:r>
      <w:r w:rsidR="00895021" w:rsidRPr="00324AD7">
        <w:rPr>
          <w:rFonts w:ascii="Times New Roman" w:eastAsia="Calibri" w:hAnsi="Times New Roman"/>
          <w:sz w:val="24"/>
          <w:szCs w:val="24"/>
          <w:lang w:val="en-GB" w:eastAsia="en-US"/>
        </w:rPr>
        <w:t>6</w:t>
      </w:r>
      <w:r w:rsidRPr="00324AD7">
        <w:rPr>
          <w:rFonts w:ascii="Times New Roman" w:eastAsia="Calibri" w:hAnsi="Times New Roman"/>
          <w:sz w:val="24"/>
          <w:szCs w:val="24"/>
          <w:lang w:val="en-GB" w:eastAsia="en-US"/>
        </w:rPr>
        <w:t xml:space="preserve">) </w:t>
      </w:r>
      <w:r w:rsidR="00CC3EE2" w:rsidRPr="00324AD7">
        <w:rPr>
          <w:rFonts w:ascii="Times New Roman" w:eastAsia="Calibri" w:hAnsi="Times New Roman"/>
          <w:sz w:val="24"/>
          <w:szCs w:val="24"/>
          <w:lang w:val="en-GB" w:eastAsia="en-US"/>
        </w:rPr>
        <w:t>The Commissions for the Preparation and Conducting of the Examinations shall approve the results of the relevant examinations for which they are responsible</w:t>
      </w:r>
      <w:r w:rsidR="00CD494F" w:rsidRPr="00324AD7">
        <w:rPr>
          <w:rFonts w:ascii="Times New Roman" w:eastAsia="Calibri" w:hAnsi="Times New Roman"/>
          <w:sz w:val="24"/>
          <w:szCs w:val="24"/>
          <w:lang w:val="en-GB" w:eastAsia="en-US"/>
        </w:rPr>
        <w:t>.</w:t>
      </w:r>
    </w:p>
    <w:p w:rsidR="00884E3C" w:rsidRPr="00324AD7" w:rsidRDefault="004E3E2D" w:rsidP="00BA55BC">
      <w:pPr>
        <w:pStyle w:val="NormalWeb"/>
        <w:spacing w:before="0" w:beforeAutospacing="0" w:after="0" w:afterAutospacing="0"/>
        <w:ind w:firstLine="709"/>
        <w:jc w:val="both"/>
      </w:pPr>
      <w:r w:rsidRPr="00324AD7">
        <w:rPr>
          <w:b/>
        </w:rPr>
        <w:t>Art.</w:t>
      </w:r>
      <w:r w:rsidR="00884E3C" w:rsidRPr="00324AD7">
        <w:rPr>
          <w:b/>
        </w:rPr>
        <w:t xml:space="preserve"> </w:t>
      </w:r>
      <w:r w:rsidR="005B03F7" w:rsidRPr="00324AD7">
        <w:rPr>
          <w:b/>
        </w:rPr>
        <w:t>38</w:t>
      </w:r>
      <w:r w:rsidR="00884E3C" w:rsidRPr="00324AD7">
        <w:rPr>
          <w:b/>
        </w:rPr>
        <w:t>.</w:t>
      </w:r>
      <w:r w:rsidR="00884E3C" w:rsidRPr="00324AD7">
        <w:t xml:space="preserve"> </w:t>
      </w:r>
      <w:r w:rsidR="00CC3EE2" w:rsidRPr="00324AD7">
        <w:t>For the members of the Commissions for the Preparation and Conducting of the Examinations</w:t>
      </w:r>
      <w:r w:rsidR="00884E3C" w:rsidRPr="00324AD7">
        <w:t xml:space="preserve">, </w:t>
      </w:r>
      <w:r w:rsidR="00CC3EE2" w:rsidRPr="00324AD7">
        <w:t>the reviewers and question and case study preparers, training</w:t>
      </w:r>
      <w:r w:rsidR="009A4F32" w:rsidRPr="00324AD7">
        <w:t xml:space="preserve"> courses</w:t>
      </w:r>
      <w:r w:rsidR="00CC3EE2" w:rsidRPr="00324AD7">
        <w:t xml:space="preserve"> and instructions shall be arranged regarding the requirements for </w:t>
      </w:r>
      <w:r w:rsidR="009A4F32" w:rsidRPr="00324AD7">
        <w:t>preparing the relevant examination</w:t>
      </w:r>
      <w:r w:rsidR="00884E3C" w:rsidRPr="00324AD7">
        <w:t>.</w:t>
      </w:r>
    </w:p>
    <w:p w:rsidR="00884E3C" w:rsidRPr="00324AD7" w:rsidRDefault="004E3E2D" w:rsidP="00BA55BC">
      <w:pPr>
        <w:pStyle w:val="NormalWeb"/>
        <w:spacing w:before="0" w:beforeAutospacing="0" w:after="0" w:afterAutospacing="0"/>
        <w:ind w:firstLine="709"/>
        <w:jc w:val="both"/>
      </w:pPr>
      <w:r w:rsidRPr="00324AD7">
        <w:rPr>
          <w:b/>
        </w:rPr>
        <w:t>Art.</w:t>
      </w:r>
      <w:r w:rsidR="00884E3C" w:rsidRPr="00324AD7">
        <w:rPr>
          <w:b/>
        </w:rPr>
        <w:t xml:space="preserve"> </w:t>
      </w:r>
      <w:r w:rsidR="005B03F7" w:rsidRPr="00324AD7">
        <w:rPr>
          <w:b/>
        </w:rPr>
        <w:t>39</w:t>
      </w:r>
      <w:r w:rsidR="00884E3C" w:rsidRPr="00324AD7">
        <w:rPr>
          <w:b/>
        </w:rPr>
        <w:t>.</w:t>
      </w:r>
      <w:r w:rsidR="00884E3C" w:rsidRPr="00324AD7">
        <w:t xml:space="preserve"> </w:t>
      </w:r>
      <w:r w:rsidR="009A4F32" w:rsidRPr="00324AD7">
        <w:t xml:space="preserve">Direct organization with regard to conducting the examinations shall be carried out by </w:t>
      </w:r>
      <w:r w:rsidRPr="00324AD7">
        <w:t>ICPA</w:t>
      </w:r>
      <w:r w:rsidR="009A4F32" w:rsidRPr="00324AD7">
        <w:t xml:space="preserve">’s </w:t>
      </w:r>
      <w:r w:rsidR="000B09B6" w:rsidRPr="00324AD7">
        <w:t>administrative staff</w:t>
      </w:r>
      <w:r w:rsidR="00884E3C" w:rsidRPr="00324AD7">
        <w:t xml:space="preserve">, </w:t>
      </w:r>
      <w:r w:rsidR="009A4F32" w:rsidRPr="00324AD7">
        <w:t>in coordination with the Commission for the Organization of the Examinations</w:t>
      </w:r>
      <w:r w:rsidR="00884E3C" w:rsidRPr="00324AD7">
        <w:t>.</w:t>
      </w:r>
    </w:p>
    <w:p w:rsidR="0011738F"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r w:rsidRPr="00324AD7">
        <w:rPr>
          <w:i w:val="0"/>
          <w:color w:val="auto"/>
          <w:sz w:val="24"/>
          <w:szCs w:val="24"/>
          <w:lang w:val="en-GB"/>
        </w:rPr>
        <w:t>Chapter Ten</w:t>
      </w:r>
    </w:p>
    <w:p w:rsidR="0011738F" w:rsidRPr="00324AD7" w:rsidRDefault="000F0CF8" w:rsidP="00BA55BC">
      <w:pPr>
        <w:pStyle w:val="IntenseQuote"/>
        <w:pBdr>
          <w:bottom w:val="none" w:sz="0" w:space="0" w:color="auto"/>
        </w:pBdr>
        <w:spacing w:before="0" w:after="120"/>
        <w:ind w:left="0" w:right="0"/>
        <w:jc w:val="center"/>
        <w:outlineLvl w:val="0"/>
        <w:rPr>
          <w:i w:val="0"/>
          <w:color w:val="auto"/>
          <w:sz w:val="24"/>
          <w:szCs w:val="24"/>
          <w:lang w:val="en-GB"/>
        </w:rPr>
      </w:pPr>
      <w:bookmarkStart w:id="17" w:name="_Toc535598125"/>
      <w:r w:rsidRPr="00324AD7">
        <w:rPr>
          <w:i w:val="0"/>
          <w:color w:val="auto"/>
          <w:sz w:val="24"/>
          <w:szCs w:val="24"/>
          <w:lang w:val="en-GB"/>
        </w:rPr>
        <w:t>INDEPENDENCE, CONFLICT OF INTEREST AND CONFIDENTIALITY</w:t>
      </w:r>
      <w:bookmarkEnd w:id="17"/>
    </w:p>
    <w:p w:rsidR="00145653" w:rsidRPr="00324AD7" w:rsidRDefault="004E3E2D" w:rsidP="00BA55BC">
      <w:pPr>
        <w:ind w:firstLine="709"/>
        <w:jc w:val="both"/>
        <w:rPr>
          <w:sz w:val="24"/>
          <w:szCs w:val="24"/>
          <w:lang w:val="en-GB"/>
        </w:rPr>
      </w:pPr>
      <w:r w:rsidRPr="00324AD7">
        <w:rPr>
          <w:b/>
          <w:sz w:val="24"/>
          <w:szCs w:val="24"/>
          <w:lang w:val="en-GB"/>
        </w:rPr>
        <w:t>Art.</w:t>
      </w:r>
      <w:r w:rsidR="00E5382F" w:rsidRPr="00324AD7">
        <w:rPr>
          <w:b/>
          <w:sz w:val="24"/>
          <w:szCs w:val="24"/>
          <w:lang w:val="en-GB"/>
        </w:rPr>
        <w:t xml:space="preserve"> </w:t>
      </w:r>
      <w:r w:rsidR="005B03F7" w:rsidRPr="00324AD7">
        <w:rPr>
          <w:b/>
          <w:sz w:val="24"/>
          <w:szCs w:val="24"/>
          <w:lang w:val="en-GB"/>
        </w:rPr>
        <w:t>40</w:t>
      </w:r>
      <w:r w:rsidR="00E5382F" w:rsidRPr="00324AD7">
        <w:rPr>
          <w:b/>
          <w:sz w:val="24"/>
          <w:szCs w:val="24"/>
          <w:lang w:val="en-GB"/>
        </w:rPr>
        <w:t>.</w:t>
      </w:r>
      <w:r w:rsidR="00E5382F" w:rsidRPr="00324AD7">
        <w:rPr>
          <w:sz w:val="24"/>
          <w:szCs w:val="24"/>
          <w:lang w:val="en-GB"/>
        </w:rPr>
        <w:t xml:space="preserve"> </w:t>
      </w:r>
      <w:r w:rsidR="00884E3C" w:rsidRPr="00324AD7">
        <w:rPr>
          <w:sz w:val="24"/>
          <w:szCs w:val="24"/>
          <w:lang w:val="en-GB"/>
        </w:rPr>
        <w:t xml:space="preserve">(1) </w:t>
      </w:r>
      <w:r w:rsidR="000F0CF8" w:rsidRPr="00324AD7">
        <w:rPr>
          <w:sz w:val="24"/>
          <w:szCs w:val="24"/>
          <w:lang w:val="en-GB"/>
        </w:rPr>
        <w:t>To ensure independence, confidentiality and no conflict of interest with respect to the examination process</w:t>
      </w:r>
      <w:r w:rsidR="00145653" w:rsidRPr="00324AD7">
        <w:rPr>
          <w:sz w:val="24"/>
          <w:szCs w:val="24"/>
          <w:lang w:val="en-GB"/>
        </w:rPr>
        <w:t xml:space="preserve">, </w:t>
      </w:r>
      <w:r w:rsidR="000F0CF8" w:rsidRPr="00324AD7">
        <w:rPr>
          <w:sz w:val="24"/>
          <w:szCs w:val="24"/>
          <w:lang w:val="en-GB"/>
        </w:rPr>
        <w:t xml:space="preserve">the members of the Commission for the Organization of the Examinations and the Commissions for the Preparation and Conducting of the Examinations, the question and case study preparers, the reviewers and the </w:t>
      </w:r>
      <w:r w:rsidR="000B09B6" w:rsidRPr="00324AD7">
        <w:rPr>
          <w:sz w:val="24"/>
          <w:szCs w:val="24"/>
          <w:lang w:val="en-GB"/>
        </w:rPr>
        <w:t xml:space="preserve">designated </w:t>
      </w:r>
      <w:r w:rsidR="000F0CF8" w:rsidRPr="00324AD7">
        <w:rPr>
          <w:sz w:val="24"/>
          <w:szCs w:val="24"/>
          <w:lang w:val="en-GB"/>
        </w:rPr>
        <w:t xml:space="preserve">individuals from the UNWE, administering the information system for the conduct of the examinations, shall be required to be </w:t>
      </w:r>
      <w:r w:rsidR="000B09B6" w:rsidRPr="00324AD7">
        <w:rPr>
          <w:sz w:val="24"/>
          <w:szCs w:val="24"/>
          <w:lang w:val="en-GB"/>
        </w:rPr>
        <w:t>independent, to maintain confidentiality and to be aware throughout the examination process of any potential conflict of interest</w:t>
      </w:r>
      <w:r w:rsidR="00145653" w:rsidRPr="00324AD7">
        <w:rPr>
          <w:sz w:val="24"/>
          <w:szCs w:val="24"/>
          <w:lang w:val="en-GB"/>
        </w:rPr>
        <w:t>.</w:t>
      </w:r>
    </w:p>
    <w:p w:rsidR="00E5382F" w:rsidRPr="00324AD7" w:rsidRDefault="00145653" w:rsidP="00BA55BC">
      <w:pPr>
        <w:pStyle w:val="NormalWeb"/>
        <w:spacing w:before="0" w:beforeAutospacing="0" w:after="0" w:afterAutospacing="0"/>
        <w:ind w:firstLine="709"/>
        <w:jc w:val="both"/>
      </w:pPr>
      <w:r w:rsidRPr="00324AD7">
        <w:t xml:space="preserve"> </w:t>
      </w:r>
      <w:r w:rsidR="00884E3C" w:rsidRPr="00324AD7">
        <w:t xml:space="preserve">(2) </w:t>
      </w:r>
      <w:r w:rsidR="000B09B6" w:rsidRPr="00324AD7">
        <w:t>For the purposes of</w:t>
      </w:r>
      <w:r w:rsidR="00884E3C" w:rsidRPr="00324AD7">
        <w:t xml:space="preserve"> </w:t>
      </w:r>
      <w:r w:rsidR="004E3E2D" w:rsidRPr="00324AD7">
        <w:t>paragraph</w:t>
      </w:r>
      <w:r w:rsidR="000B09B6" w:rsidRPr="00324AD7">
        <w:t xml:space="preserve"> </w:t>
      </w:r>
      <w:r w:rsidR="00884E3C" w:rsidRPr="00324AD7">
        <w:t>1</w:t>
      </w:r>
      <w:r w:rsidR="000B09B6" w:rsidRPr="00324AD7">
        <w:t>,</w:t>
      </w:r>
      <w:r w:rsidR="00884E3C" w:rsidRPr="00324AD7">
        <w:t xml:space="preserve"> </w:t>
      </w:r>
      <w:r w:rsidR="000B09B6" w:rsidRPr="00324AD7">
        <w:t>for each examination sitting and/or examination, the persons listed in</w:t>
      </w:r>
      <w:r w:rsidR="00884E3C" w:rsidRPr="00324AD7">
        <w:t xml:space="preserve"> </w:t>
      </w:r>
      <w:r w:rsidR="004E3E2D" w:rsidRPr="00324AD7">
        <w:t>paragraph</w:t>
      </w:r>
      <w:r w:rsidR="000B09B6" w:rsidRPr="00324AD7">
        <w:t xml:space="preserve"> </w:t>
      </w:r>
      <w:r w:rsidR="006479DC" w:rsidRPr="00324AD7">
        <w:t xml:space="preserve">1 </w:t>
      </w:r>
      <w:r w:rsidR="000B09B6" w:rsidRPr="00324AD7">
        <w:t>shall sign</w:t>
      </w:r>
      <w:r w:rsidR="00E5382F" w:rsidRPr="00324AD7">
        <w:t xml:space="preserve"> </w:t>
      </w:r>
      <w:r w:rsidR="000B09B6" w:rsidRPr="00324AD7">
        <w:t>declarations of independence, confidentiality</w:t>
      </w:r>
      <w:r w:rsidR="00884E3C" w:rsidRPr="00324AD7">
        <w:t xml:space="preserve">, </w:t>
      </w:r>
      <w:r w:rsidR="000B09B6" w:rsidRPr="00324AD7">
        <w:t>including on the non-disclosure of the questions, case studies and the answers thereto</w:t>
      </w:r>
      <w:r w:rsidR="00E5382F" w:rsidRPr="00324AD7">
        <w:t xml:space="preserve">, </w:t>
      </w:r>
      <w:r w:rsidR="000B09B6" w:rsidRPr="00324AD7">
        <w:t>as well as of no conflict of interest</w:t>
      </w:r>
      <w:r w:rsidR="00E5382F" w:rsidRPr="00324AD7">
        <w:t xml:space="preserve">. </w:t>
      </w:r>
      <w:r w:rsidR="000B09B6" w:rsidRPr="00324AD7">
        <w:t>The declarations shall be kept by ICPA’s administrative staff as part of the examination documentation</w:t>
      </w:r>
      <w:r w:rsidR="00E5382F" w:rsidRPr="00324AD7">
        <w:t>.</w:t>
      </w:r>
    </w:p>
    <w:p w:rsidR="0011738F" w:rsidRPr="00324AD7" w:rsidRDefault="004E3E2D" w:rsidP="00BA55BC">
      <w:pPr>
        <w:pStyle w:val="NormalWeb"/>
        <w:spacing w:before="0" w:beforeAutospacing="0" w:after="0" w:afterAutospacing="0"/>
        <w:ind w:firstLine="709"/>
        <w:jc w:val="both"/>
      </w:pPr>
      <w:r w:rsidRPr="00324AD7">
        <w:rPr>
          <w:b/>
        </w:rPr>
        <w:lastRenderedPageBreak/>
        <w:t>Art.</w:t>
      </w:r>
      <w:r w:rsidR="0011738F" w:rsidRPr="00324AD7">
        <w:rPr>
          <w:b/>
        </w:rPr>
        <w:t xml:space="preserve"> </w:t>
      </w:r>
      <w:r w:rsidR="005B03F7" w:rsidRPr="00324AD7">
        <w:rPr>
          <w:b/>
        </w:rPr>
        <w:t>41</w:t>
      </w:r>
      <w:r w:rsidR="00884E3C" w:rsidRPr="00324AD7">
        <w:rPr>
          <w:b/>
        </w:rPr>
        <w:t>.</w:t>
      </w:r>
      <w:r w:rsidR="00884E3C" w:rsidRPr="00324AD7">
        <w:t xml:space="preserve"> </w:t>
      </w:r>
      <w:r w:rsidR="0029590D" w:rsidRPr="00324AD7">
        <w:t>To secure and protect the database for the relevant examination,</w:t>
      </w:r>
      <w:r w:rsidR="00615192" w:rsidRPr="00324AD7">
        <w:t xml:space="preserve"> </w:t>
      </w:r>
      <w:r w:rsidR="0029590D" w:rsidRPr="00324AD7">
        <w:t>the Commissions for the Preparation and Conducting of the Examinations shall organize their work in accordance with the requirements of</w:t>
      </w:r>
      <w:r w:rsidR="0011738F" w:rsidRPr="00324AD7">
        <w:t xml:space="preserve"> </w:t>
      </w:r>
      <w:r w:rsidRPr="00324AD7">
        <w:t>Art.</w:t>
      </w:r>
      <w:r w:rsidR="0011738F" w:rsidRPr="00324AD7">
        <w:t>3</w:t>
      </w:r>
      <w:r w:rsidR="00E95D8C" w:rsidRPr="00324AD7">
        <w:t>7</w:t>
      </w:r>
      <w:r w:rsidR="00B37DCC">
        <w:t>,</w:t>
      </w:r>
      <w:r w:rsidR="0011738F" w:rsidRPr="00324AD7">
        <w:t xml:space="preserve"> </w:t>
      </w:r>
      <w:r w:rsidRPr="00324AD7">
        <w:t>paragraph</w:t>
      </w:r>
      <w:r w:rsidR="0029590D" w:rsidRPr="00324AD7">
        <w:t xml:space="preserve"> </w:t>
      </w:r>
      <w:r w:rsidR="0011738F" w:rsidRPr="00324AD7">
        <w:t>1.</w:t>
      </w:r>
    </w:p>
    <w:p w:rsidR="00FC3EB5" w:rsidRPr="00324AD7" w:rsidRDefault="004E3E2D" w:rsidP="00BA55BC">
      <w:pPr>
        <w:pStyle w:val="NormalWeb"/>
        <w:spacing w:before="0" w:beforeAutospacing="0" w:after="0" w:afterAutospacing="0"/>
        <w:ind w:firstLine="709"/>
        <w:jc w:val="both"/>
      </w:pPr>
      <w:r w:rsidRPr="00324AD7">
        <w:rPr>
          <w:b/>
        </w:rPr>
        <w:t>Art.</w:t>
      </w:r>
      <w:r w:rsidR="00406A03" w:rsidRPr="00324AD7">
        <w:rPr>
          <w:b/>
        </w:rPr>
        <w:t xml:space="preserve"> </w:t>
      </w:r>
      <w:r w:rsidR="005B03F7" w:rsidRPr="00324AD7">
        <w:rPr>
          <w:b/>
        </w:rPr>
        <w:t>42</w:t>
      </w:r>
      <w:r w:rsidR="0011738F" w:rsidRPr="00324AD7">
        <w:t xml:space="preserve">. (1) </w:t>
      </w:r>
      <w:r w:rsidR="0029590D" w:rsidRPr="00324AD7">
        <w:t>For each examination sitting and/or examination, the designated responsible individuals from the UNWE, administering the information system for the conduct of the examinations</w:t>
      </w:r>
      <w:r w:rsidR="00F94815" w:rsidRPr="00324AD7">
        <w:t>,</w:t>
      </w:r>
      <w:r w:rsidR="00FC3EB5" w:rsidRPr="00324AD7">
        <w:t xml:space="preserve"> </w:t>
      </w:r>
      <w:r w:rsidR="0029590D" w:rsidRPr="00324AD7">
        <w:t>shall confirm in writing their responsibility for the implementation and compliance with appropriate measures for confidentiality, control and security</w:t>
      </w:r>
      <w:r w:rsidR="00FC3EB5" w:rsidRPr="00324AD7">
        <w:t>.</w:t>
      </w:r>
    </w:p>
    <w:p w:rsidR="00E5382F" w:rsidRPr="00324AD7" w:rsidRDefault="00FC3EB5" w:rsidP="00BA55BC">
      <w:pPr>
        <w:pStyle w:val="NormalWeb"/>
        <w:spacing w:before="0" w:beforeAutospacing="0" w:after="0" w:afterAutospacing="0"/>
        <w:ind w:firstLine="709"/>
        <w:jc w:val="both"/>
      </w:pPr>
      <w:r w:rsidRPr="00324AD7">
        <w:t xml:space="preserve">(2) </w:t>
      </w:r>
      <w:r w:rsidR="0029590D" w:rsidRPr="00324AD7">
        <w:t>To secure and protect the database for the relevant examination during the day following the examination</w:t>
      </w:r>
      <w:r w:rsidR="008A7FB4" w:rsidRPr="00324AD7">
        <w:t>,</w:t>
      </w:r>
      <w:r w:rsidR="00884E3C" w:rsidRPr="00324AD7">
        <w:t xml:space="preserve"> </w:t>
      </w:r>
      <w:r w:rsidR="0029590D" w:rsidRPr="00324AD7">
        <w:t>as well as during the day when the examination results are announced, the information with the database provided by the</w:t>
      </w:r>
      <w:r w:rsidR="0011738F" w:rsidRPr="00324AD7">
        <w:t xml:space="preserve"> </w:t>
      </w:r>
      <w:r w:rsidR="0029590D" w:rsidRPr="00324AD7">
        <w:t xml:space="preserve">Commissions for the Preparation and Conducting of the Examinations shall be erased from the servers of the UNWE and returned back to </w:t>
      </w:r>
      <w:r w:rsidR="004E3E2D" w:rsidRPr="00324AD7">
        <w:t>ICPA</w:t>
      </w:r>
      <w:r w:rsidR="0029590D" w:rsidRPr="00324AD7">
        <w:t xml:space="preserve"> for safekeeping</w:t>
      </w:r>
      <w:r w:rsidR="0011738F" w:rsidRPr="00324AD7">
        <w:t>.</w:t>
      </w:r>
      <w:r w:rsidRPr="00324AD7">
        <w:t xml:space="preserve"> </w:t>
      </w:r>
      <w:r w:rsidR="008A7FB4" w:rsidRPr="00324AD7">
        <w:t>The erasure shall be ensured by the signing of a declaration by</w:t>
      </w:r>
      <w:r w:rsidRPr="00324AD7">
        <w:t xml:space="preserve"> </w:t>
      </w:r>
      <w:r w:rsidR="008A7FB4" w:rsidRPr="00324AD7">
        <w:t>the designated responsible individuals from the UNWE, administering the information system for the conduct of the examinations</w:t>
      </w:r>
      <w:r w:rsidRPr="00324AD7">
        <w:t>.</w:t>
      </w:r>
    </w:p>
    <w:p w:rsidR="003E2A1B" w:rsidRPr="00324AD7" w:rsidRDefault="00066011" w:rsidP="00BA55BC">
      <w:pPr>
        <w:pStyle w:val="IntenseQuote"/>
        <w:pBdr>
          <w:bottom w:val="none" w:sz="0" w:space="0" w:color="auto"/>
        </w:pBdr>
        <w:spacing w:before="240" w:after="0"/>
        <w:ind w:left="0" w:right="0"/>
        <w:jc w:val="center"/>
        <w:outlineLvl w:val="0"/>
        <w:rPr>
          <w:i w:val="0"/>
          <w:color w:val="auto"/>
          <w:sz w:val="24"/>
          <w:szCs w:val="24"/>
          <w:lang w:val="en-GB"/>
        </w:rPr>
      </w:pPr>
      <w:bookmarkStart w:id="18" w:name="_Toc535598126"/>
      <w:r w:rsidRPr="00324AD7">
        <w:rPr>
          <w:i w:val="0"/>
          <w:color w:val="auto"/>
          <w:sz w:val="24"/>
          <w:szCs w:val="24"/>
          <w:lang w:val="en-GB"/>
        </w:rPr>
        <w:t xml:space="preserve">Chapter </w:t>
      </w:r>
      <w:bookmarkEnd w:id="18"/>
      <w:r w:rsidRPr="00324AD7">
        <w:rPr>
          <w:i w:val="0"/>
          <w:color w:val="auto"/>
          <w:sz w:val="24"/>
          <w:szCs w:val="24"/>
          <w:lang w:val="en-GB"/>
        </w:rPr>
        <w:t>Eleven</w:t>
      </w:r>
    </w:p>
    <w:p w:rsidR="003E2A1B" w:rsidRPr="00324AD7" w:rsidRDefault="008A7FB4" w:rsidP="00BA55BC">
      <w:pPr>
        <w:pStyle w:val="IntenseQuote"/>
        <w:pBdr>
          <w:bottom w:val="none" w:sz="0" w:space="0" w:color="auto"/>
        </w:pBdr>
        <w:spacing w:before="0" w:after="120"/>
        <w:ind w:left="0" w:right="0"/>
        <w:jc w:val="center"/>
        <w:outlineLvl w:val="0"/>
        <w:rPr>
          <w:i w:val="0"/>
          <w:color w:val="auto"/>
          <w:sz w:val="24"/>
          <w:szCs w:val="24"/>
          <w:lang w:val="en-GB"/>
        </w:rPr>
      </w:pPr>
      <w:bookmarkStart w:id="19" w:name="_Toc535598127"/>
      <w:r w:rsidRPr="00324AD7">
        <w:rPr>
          <w:i w:val="0"/>
          <w:color w:val="auto"/>
          <w:sz w:val="24"/>
          <w:szCs w:val="24"/>
          <w:lang w:val="en-GB"/>
        </w:rPr>
        <w:t>SAFEKEEPING OF DOCUMENTATION</w:t>
      </w:r>
      <w:bookmarkEnd w:id="19"/>
    </w:p>
    <w:p w:rsidR="003E2A1B" w:rsidRPr="00324AD7" w:rsidRDefault="004E3E2D" w:rsidP="00BA55BC">
      <w:pPr>
        <w:pStyle w:val="NormalWeb"/>
        <w:spacing w:before="0" w:beforeAutospacing="0" w:after="0" w:afterAutospacing="0"/>
        <w:ind w:firstLine="709"/>
        <w:jc w:val="both"/>
      </w:pPr>
      <w:r w:rsidRPr="00324AD7">
        <w:rPr>
          <w:b/>
        </w:rPr>
        <w:t>Art.</w:t>
      </w:r>
      <w:r w:rsidR="003E2A1B" w:rsidRPr="00324AD7">
        <w:rPr>
          <w:b/>
        </w:rPr>
        <w:t xml:space="preserve"> </w:t>
      </w:r>
      <w:r w:rsidR="005B03F7" w:rsidRPr="00324AD7">
        <w:rPr>
          <w:b/>
        </w:rPr>
        <w:t>43</w:t>
      </w:r>
      <w:r w:rsidR="003E2A1B" w:rsidRPr="00324AD7">
        <w:rPr>
          <w:b/>
        </w:rPr>
        <w:t>.</w:t>
      </w:r>
      <w:r w:rsidR="003E2A1B" w:rsidRPr="00324AD7">
        <w:t xml:space="preserve"> (1) </w:t>
      </w:r>
      <w:r w:rsidR="00E3703E" w:rsidRPr="00324AD7">
        <w:t>The entire documentation (including all protocols, declarations of independence, confidentiality and no conflict of interest, protocols, orders and decisions of the MB of ICPA and of the commissions) for each examination sitting and examination conducted under the Rules shall be kept in separate files for a period of 5 years</w:t>
      </w:r>
      <w:r w:rsidR="00B37DCC">
        <w:t>,</w:t>
      </w:r>
      <w:r w:rsidR="00E3703E" w:rsidRPr="00324AD7">
        <w:t xml:space="preserve"> as of the date of holding the examination</w:t>
      </w:r>
      <w:r w:rsidR="003E2A1B" w:rsidRPr="00324AD7">
        <w:t>.</w:t>
      </w:r>
    </w:p>
    <w:p w:rsidR="003E2A1B" w:rsidRPr="00324AD7" w:rsidRDefault="003E2A1B" w:rsidP="00BA55BC">
      <w:pPr>
        <w:pStyle w:val="NormalWeb"/>
        <w:spacing w:before="0" w:beforeAutospacing="0" w:after="0" w:afterAutospacing="0"/>
        <w:ind w:firstLine="709"/>
        <w:jc w:val="both"/>
      </w:pPr>
      <w:r w:rsidRPr="00324AD7">
        <w:t xml:space="preserve">(2) </w:t>
      </w:r>
      <w:r w:rsidR="00E3703E" w:rsidRPr="00324AD7">
        <w:t xml:space="preserve">After the expiry of the term under paragraph 1, the files shall be destroyed by a commission appointed on the basis of an order issued by ICPA’s chairman. A protocol signed by </w:t>
      </w:r>
      <w:r w:rsidR="005F102C" w:rsidRPr="00324AD7">
        <w:t>the</w:t>
      </w:r>
      <w:r w:rsidR="00E3703E" w:rsidRPr="00324AD7">
        <w:t xml:space="preserve"> members of </w:t>
      </w:r>
      <w:r w:rsidR="005F102C" w:rsidRPr="00324AD7">
        <w:t>this</w:t>
      </w:r>
      <w:r w:rsidR="00E3703E" w:rsidRPr="00324AD7">
        <w:t xml:space="preserve"> commission shall be drawn up for the destruction of the documents</w:t>
      </w:r>
      <w:r w:rsidRPr="00324AD7">
        <w:t>.</w:t>
      </w:r>
    </w:p>
    <w:p w:rsidR="003E2A1B" w:rsidRPr="00324AD7" w:rsidRDefault="003E2A1B" w:rsidP="00BA55BC">
      <w:pPr>
        <w:pStyle w:val="NormalWeb"/>
        <w:spacing w:before="0" w:beforeAutospacing="0" w:after="0" w:afterAutospacing="0"/>
        <w:ind w:firstLine="709"/>
        <w:jc w:val="both"/>
      </w:pPr>
      <w:r w:rsidRPr="00324AD7">
        <w:t xml:space="preserve">(3) </w:t>
      </w:r>
      <w:r w:rsidR="00E3703E" w:rsidRPr="00324AD7">
        <w:t xml:space="preserve">The term under paragraph 1 shall also refer to keeping the files containing all Certified Public Accountant candidates’ documents. After the expiry of the term as of the date of the last examination of the relevant candidates, their files shall be destroyed by a commission appointed on the basis of an order issued by ICPA’s chairman. A protocol signed by </w:t>
      </w:r>
      <w:r w:rsidR="005F102C" w:rsidRPr="00324AD7">
        <w:t>the</w:t>
      </w:r>
      <w:r w:rsidR="00E3703E" w:rsidRPr="00324AD7">
        <w:t xml:space="preserve"> members of </w:t>
      </w:r>
      <w:r w:rsidR="005F102C" w:rsidRPr="00324AD7">
        <w:t>this</w:t>
      </w:r>
      <w:r w:rsidR="00E3703E" w:rsidRPr="00324AD7">
        <w:t xml:space="preserve"> commission shall be drawn up for the destruction of the documents</w:t>
      </w:r>
      <w:r w:rsidR="00F94815" w:rsidRPr="00324AD7">
        <w:t>.</w:t>
      </w:r>
    </w:p>
    <w:p w:rsidR="003E2A1B" w:rsidRPr="00324AD7" w:rsidRDefault="00E3703E" w:rsidP="00BA55BC">
      <w:pPr>
        <w:pStyle w:val="IntenseQuote"/>
        <w:pBdr>
          <w:bottom w:val="none" w:sz="0" w:space="0" w:color="auto"/>
        </w:pBdr>
        <w:spacing w:before="240" w:after="120"/>
        <w:ind w:left="0" w:right="0"/>
        <w:jc w:val="center"/>
        <w:outlineLvl w:val="0"/>
        <w:rPr>
          <w:i w:val="0"/>
          <w:color w:val="auto"/>
          <w:sz w:val="24"/>
          <w:szCs w:val="24"/>
          <w:lang w:val="en-GB"/>
        </w:rPr>
      </w:pPr>
      <w:bookmarkStart w:id="20" w:name="_Toc535598128"/>
      <w:r w:rsidRPr="00324AD7">
        <w:rPr>
          <w:i w:val="0"/>
          <w:color w:val="auto"/>
          <w:sz w:val="24"/>
          <w:szCs w:val="24"/>
          <w:lang w:val="en-GB"/>
        </w:rPr>
        <w:t>TRANSITIONAL AND CLOSING PROVISIONS</w:t>
      </w:r>
      <w:bookmarkEnd w:id="20"/>
    </w:p>
    <w:p w:rsidR="006C1095" w:rsidRPr="00324AD7" w:rsidRDefault="006C1095" w:rsidP="00BA55BC">
      <w:pPr>
        <w:pStyle w:val="NormalWeb"/>
        <w:spacing w:before="0" w:beforeAutospacing="0" w:after="0" w:afterAutospacing="0"/>
        <w:ind w:firstLine="709"/>
        <w:jc w:val="both"/>
        <w:rPr>
          <w:strike/>
        </w:rPr>
      </w:pPr>
      <w:r w:rsidRPr="00324AD7">
        <w:rPr>
          <w:b/>
        </w:rPr>
        <w:t>§ 1.</w:t>
      </w:r>
      <w:r w:rsidRPr="00324AD7">
        <w:t xml:space="preserve"> </w:t>
      </w:r>
      <w:r w:rsidR="00E3703E" w:rsidRPr="00324AD7">
        <w:t>These Rules shall repeal the Rules of Procedure for the Organization and Conducting of Examinations for Certified Public Accountant Qualification adopted by the Commission for Public Oversight of Statutory Auditors by Decision No</w:t>
      </w:r>
      <w:r w:rsidRPr="00324AD7">
        <w:t xml:space="preserve"> 06/16.01.2018.</w:t>
      </w:r>
    </w:p>
    <w:p w:rsidR="006C1095" w:rsidRPr="00324AD7" w:rsidRDefault="006C1095" w:rsidP="00BA55BC">
      <w:pPr>
        <w:pStyle w:val="Style"/>
        <w:ind w:left="0" w:firstLine="709"/>
        <w:rPr>
          <w:lang w:val="en-GB"/>
        </w:rPr>
      </w:pPr>
      <w:r w:rsidRPr="00324AD7">
        <w:rPr>
          <w:b/>
          <w:lang w:val="en-GB"/>
        </w:rPr>
        <w:t>§ 2.</w:t>
      </w:r>
      <w:r w:rsidRPr="00324AD7">
        <w:rPr>
          <w:lang w:val="en-GB"/>
        </w:rPr>
        <w:t xml:space="preserve"> </w:t>
      </w:r>
      <w:r w:rsidR="00E40348" w:rsidRPr="00324AD7">
        <w:rPr>
          <w:lang w:val="en-GB"/>
        </w:rPr>
        <w:t>Candidates who</w:t>
      </w:r>
      <w:r w:rsidR="00501584" w:rsidRPr="00324AD7">
        <w:rPr>
          <w:lang w:val="en-GB"/>
        </w:rPr>
        <w:t>,</w:t>
      </w:r>
      <w:r w:rsidR="00E40348" w:rsidRPr="00324AD7">
        <w:rPr>
          <w:lang w:val="en-GB"/>
        </w:rPr>
        <w:t xml:space="preserve"> as of the date of entry into force of these Rules</w:t>
      </w:r>
      <w:r w:rsidRPr="00324AD7">
        <w:rPr>
          <w:lang w:val="en-GB"/>
        </w:rPr>
        <w:t xml:space="preserve">, </w:t>
      </w:r>
      <w:r w:rsidR="00501584" w:rsidRPr="00324AD7">
        <w:rPr>
          <w:lang w:val="en-GB"/>
        </w:rPr>
        <w:t>were compliant with the requirements under</w:t>
      </w:r>
      <w:r w:rsidRPr="00324AD7">
        <w:rPr>
          <w:lang w:val="en-GB"/>
        </w:rPr>
        <w:t xml:space="preserve"> </w:t>
      </w:r>
      <w:r w:rsidR="004E3E2D" w:rsidRPr="00324AD7">
        <w:rPr>
          <w:lang w:val="en-GB"/>
        </w:rPr>
        <w:t>Art.</w:t>
      </w:r>
      <w:r w:rsidRPr="00324AD7">
        <w:rPr>
          <w:lang w:val="en-GB"/>
        </w:rPr>
        <w:t xml:space="preserve"> 14 </w:t>
      </w:r>
      <w:r w:rsidR="00CD77FC" w:rsidRPr="00324AD7">
        <w:rPr>
          <w:lang w:val="en-GB"/>
        </w:rPr>
        <w:t>of IFAA</w:t>
      </w:r>
      <w:r w:rsidRPr="00324AD7">
        <w:rPr>
          <w:lang w:val="en-GB"/>
        </w:rPr>
        <w:t xml:space="preserve">, </w:t>
      </w:r>
      <w:r w:rsidR="00E40348" w:rsidRPr="00324AD7">
        <w:rPr>
          <w:lang w:val="en-GB"/>
        </w:rPr>
        <w:t>shall not be subject to a new equivalence recognition procedure</w:t>
      </w:r>
      <w:r w:rsidRPr="00324AD7">
        <w:rPr>
          <w:lang w:val="en-GB"/>
        </w:rPr>
        <w:t>.</w:t>
      </w:r>
    </w:p>
    <w:p w:rsidR="006C1095" w:rsidRPr="00324AD7" w:rsidRDefault="006C1095" w:rsidP="00BA55BC">
      <w:pPr>
        <w:pStyle w:val="Style"/>
        <w:ind w:left="0" w:firstLine="709"/>
        <w:rPr>
          <w:lang w:val="en-GB"/>
        </w:rPr>
      </w:pPr>
      <w:r w:rsidRPr="00324AD7">
        <w:rPr>
          <w:b/>
          <w:lang w:val="en-GB"/>
        </w:rPr>
        <w:t>§ 3.</w:t>
      </w:r>
      <w:r w:rsidRPr="00324AD7">
        <w:rPr>
          <w:lang w:val="en-GB"/>
        </w:rPr>
        <w:t xml:space="preserve"> </w:t>
      </w:r>
      <w:r w:rsidR="007B6C75" w:rsidRPr="00324AD7">
        <w:rPr>
          <w:lang w:val="en-GB"/>
        </w:rPr>
        <w:t>Candidates who, until the entry into force of these Rules,</w:t>
      </w:r>
      <w:r w:rsidRPr="00324AD7">
        <w:rPr>
          <w:lang w:val="en-GB"/>
        </w:rPr>
        <w:t xml:space="preserve"> </w:t>
      </w:r>
      <w:r w:rsidR="007B6C75" w:rsidRPr="00324AD7">
        <w:rPr>
          <w:lang w:val="en-GB"/>
        </w:rPr>
        <w:t>have been involved in a procedure</w:t>
      </w:r>
      <w:r w:rsidRPr="00324AD7">
        <w:rPr>
          <w:lang w:val="en-GB"/>
        </w:rPr>
        <w:t xml:space="preserve"> </w:t>
      </w:r>
      <w:r w:rsidR="007B6C75" w:rsidRPr="00324AD7">
        <w:rPr>
          <w:lang w:val="en-GB"/>
        </w:rPr>
        <w:t>to recognize equivalence in examinations under</w:t>
      </w:r>
      <w:r w:rsidRPr="00324AD7">
        <w:rPr>
          <w:lang w:val="en-GB"/>
        </w:rPr>
        <w:t xml:space="preserve"> </w:t>
      </w:r>
      <w:r w:rsidR="004E3E2D" w:rsidRPr="00324AD7">
        <w:rPr>
          <w:lang w:val="en-GB"/>
        </w:rPr>
        <w:t>Art.</w:t>
      </w:r>
      <w:r w:rsidRPr="00324AD7">
        <w:rPr>
          <w:lang w:val="en-GB"/>
        </w:rPr>
        <w:t xml:space="preserve"> 14 </w:t>
      </w:r>
      <w:r w:rsidR="00CD77FC" w:rsidRPr="00324AD7">
        <w:rPr>
          <w:lang w:val="en-GB"/>
        </w:rPr>
        <w:t>of IFAA</w:t>
      </w:r>
      <w:r w:rsidRPr="00324AD7">
        <w:rPr>
          <w:lang w:val="en-GB"/>
        </w:rPr>
        <w:t xml:space="preserve">, </w:t>
      </w:r>
      <w:r w:rsidR="007B6C75" w:rsidRPr="00324AD7">
        <w:rPr>
          <w:lang w:val="en-GB"/>
        </w:rPr>
        <w:t>shall continue the procedure as provided for in these Rules</w:t>
      </w:r>
      <w:r w:rsidRPr="00324AD7">
        <w:rPr>
          <w:lang w:val="en-GB"/>
        </w:rPr>
        <w:t>.</w:t>
      </w:r>
    </w:p>
    <w:p w:rsidR="006C1095" w:rsidRPr="00324AD7" w:rsidRDefault="006C1095" w:rsidP="00BA55BC">
      <w:pPr>
        <w:pStyle w:val="Style"/>
        <w:ind w:left="0" w:firstLine="709"/>
        <w:rPr>
          <w:lang w:val="en-GB"/>
        </w:rPr>
      </w:pPr>
      <w:r w:rsidRPr="00324AD7">
        <w:rPr>
          <w:b/>
          <w:lang w:val="en-GB"/>
        </w:rPr>
        <w:t xml:space="preserve">§ 4. </w:t>
      </w:r>
      <w:r w:rsidR="007B6C75" w:rsidRPr="00324AD7">
        <w:rPr>
          <w:lang w:val="en-GB"/>
        </w:rPr>
        <w:t>Candidates, who in</w:t>
      </w:r>
      <w:r w:rsidRPr="00324AD7">
        <w:rPr>
          <w:lang w:val="en-GB"/>
        </w:rPr>
        <w:t xml:space="preserve"> 2018</w:t>
      </w:r>
      <w:r w:rsidR="007B6C75" w:rsidRPr="00324AD7">
        <w:rPr>
          <w:lang w:val="en-GB"/>
        </w:rPr>
        <w:t xml:space="preserve"> were involved in a procedure</w:t>
      </w:r>
      <w:r w:rsidRPr="00324AD7">
        <w:rPr>
          <w:lang w:val="en-GB"/>
        </w:rPr>
        <w:t xml:space="preserve"> </w:t>
      </w:r>
      <w:r w:rsidR="007B6C75" w:rsidRPr="00324AD7">
        <w:rPr>
          <w:lang w:val="en-GB"/>
        </w:rPr>
        <w:t>of sitting the examinations under</w:t>
      </w:r>
      <w:r w:rsidRPr="00324AD7">
        <w:rPr>
          <w:lang w:val="en-GB"/>
        </w:rPr>
        <w:t xml:space="preserve"> </w:t>
      </w:r>
      <w:r w:rsidR="004E3E2D" w:rsidRPr="00324AD7">
        <w:rPr>
          <w:lang w:val="en-GB"/>
        </w:rPr>
        <w:t>Art.</w:t>
      </w:r>
      <w:r w:rsidRPr="00324AD7">
        <w:rPr>
          <w:lang w:val="en-GB"/>
        </w:rPr>
        <w:t xml:space="preserve"> 15 </w:t>
      </w:r>
      <w:r w:rsidR="00CD77FC" w:rsidRPr="00324AD7">
        <w:rPr>
          <w:lang w:val="en-GB"/>
        </w:rPr>
        <w:t>of IFAA</w:t>
      </w:r>
      <w:r w:rsidRPr="00324AD7">
        <w:rPr>
          <w:lang w:val="en-GB"/>
        </w:rPr>
        <w:t xml:space="preserve"> </w:t>
      </w:r>
      <w:r w:rsidR="007B6C75" w:rsidRPr="00324AD7">
        <w:rPr>
          <w:lang w:val="en-GB"/>
        </w:rPr>
        <w:t xml:space="preserve">and have successfully passed one or more of the examinations, shall continue the procedure as provided for in </w:t>
      </w:r>
      <w:r w:rsidR="004E3E2D" w:rsidRPr="00324AD7">
        <w:rPr>
          <w:lang w:val="en-GB"/>
        </w:rPr>
        <w:t>Art.</w:t>
      </w:r>
      <w:r w:rsidRPr="00324AD7">
        <w:rPr>
          <w:lang w:val="en-GB"/>
        </w:rPr>
        <w:t xml:space="preserve"> 18, </w:t>
      </w:r>
      <w:r w:rsidR="004E3E2D" w:rsidRPr="00324AD7">
        <w:rPr>
          <w:lang w:val="en-GB"/>
        </w:rPr>
        <w:t>paragraph</w:t>
      </w:r>
      <w:r w:rsidRPr="00324AD7">
        <w:rPr>
          <w:lang w:val="en-GB"/>
        </w:rPr>
        <w:t xml:space="preserve"> 1-3</w:t>
      </w:r>
      <w:r w:rsidR="0072164C" w:rsidRPr="00324AD7">
        <w:rPr>
          <w:lang w:val="en-GB"/>
        </w:rPr>
        <w:t xml:space="preserve"> </w:t>
      </w:r>
      <w:r w:rsidR="007B6C75" w:rsidRPr="00324AD7">
        <w:rPr>
          <w:lang w:val="en-GB"/>
        </w:rPr>
        <w:t>of these Rules</w:t>
      </w:r>
      <w:r w:rsidRPr="00324AD7">
        <w:rPr>
          <w:lang w:val="en-GB"/>
        </w:rPr>
        <w:t xml:space="preserve">, </w:t>
      </w:r>
      <w:r w:rsidR="007B6C75" w:rsidRPr="00324AD7">
        <w:rPr>
          <w:lang w:val="en-GB"/>
        </w:rPr>
        <w:t>completing the procedure within the term under</w:t>
      </w:r>
      <w:r w:rsidRPr="00324AD7">
        <w:rPr>
          <w:lang w:val="en-GB"/>
        </w:rPr>
        <w:t xml:space="preserve"> </w:t>
      </w:r>
      <w:r w:rsidR="004E3E2D" w:rsidRPr="00324AD7">
        <w:rPr>
          <w:lang w:val="en-GB"/>
        </w:rPr>
        <w:t>Art.</w:t>
      </w:r>
      <w:r w:rsidRPr="00324AD7">
        <w:rPr>
          <w:lang w:val="en-GB"/>
        </w:rPr>
        <w:t xml:space="preserve"> 25 </w:t>
      </w:r>
      <w:r w:rsidR="007B6C75" w:rsidRPr="00324AD7">
        <w:rPr>
          <w:lang w:val="en-GB"/>
        </w:rPr>
        <w:t>of the repealed rules</w:t>
      </w:r>
      <w:r w:rsidRPr="00324AD7">
        <w:rPr>
          <w:lang w:val="en-GB"/>
        </w:rPr>
        <w:t>.</w:t>
      </w:r>
    </w:p>
    <w:p w:rsidR="006C1095" w:rsidRPr="00324AD7" w:rsidRDefault="006C1095" w:rsidP="00BA55BC">
      <w:pPr>
        <w:pStyle w:val="Style"/>
        <w:ind w:left="0" w:firstLine="709"/>
        <w:rPr>
          <w:lang w:val="en-GB"/>
        </w:rPr>
      </w:pPr>
      <w:r w:rsidRPr="00324AD7">
        <w:rPr>
          <w:b/>
          <w:lang w:val="en-GB"/>
        </w:rPr>
        <w:t>§ 5.</w:t>
      </w:r>
      <w:r w:rsidRPr="00324AD7">
        <w:rPr>
          <w:lang w:val="en-GB"/>
        </w:rPr>
        <w:t xml:space="preserve"> </w:t>
      </w:r>
      <w:r w:rsidR="007B6C75" w:rsidRPr="00324AD7">
        <w:rPr>
          <w:lang w:val="en-GB"/>
        </w:rPr>
        <w:t>Candidates, who in 2018 passed successfully the first stage of the relevant examination under the repealed rules</w:t>
      </w:r>
      <w:r w:rsidRPr="00324AD7">
        <w:rPr>
          <w:lang w:val="en-GB"/>
        </w:rPr>
        <w:t xml:space="preserve">, </w:t>
      </w:r>
      <w:r w:rsidR="007B6C75" w:rsidRPr="00324AD7">
        <w:rPr>
          <w:lang w:val="en-GB"/>
        </w:rPr>
        <w:t>may sit the second stage of this examination in the 2019 examination sitting</w:t>
      </w:r>
      <w:r w:rsidRPr="00324AD7">
        <w:rPr>
          <w:lang w:val="en-GB"/>
        </w:rPr>
        <w:t xml:space="preserve">, </w:t>
      </w:r>
      <w:r w:rsidR="007B6C75" w:rsidRPr="00324AD7">
        <w:rPr>
          <w:lang w:val="en-GB"/>
        </w:rPr>
        <w:t>with the assessment for these examinations being formed in accordance with the requirements of these Rules</w:t>
      </w:r>
      <w:r w:rsidRPr="00324AD7">
        <w:rPr>
          <w:lang w:val="en-GB"/>
        </w:rPr>
        <w:t>.</w:t>
      </w:r>
    </w:p>
    <w:p w:rsidR="00771BA1" w:rsidRPr="00324AD7" w:rsidRDefault="00771BA1" w:rsidP="00771BA1">
      <w:pPr>
        <w:pStyle w:val="Style"/>
        <w:ind w:left="0" w:firstLine="709"/>
        <w:rPr>
          <w:lang w:val="en-GB"/>
        </w:rPr>
      </w:pPr>
      <w:r w:rsidRPr="00324AD7">
        <w:rPr>
          <w:b/>
          <w:lang w:val="en-GB"/>
        </w:rPr>
        <w:t xml:space="preserve">§ 6. </w:t>
      </w:r>
      <w:r w:rsidR="007B6C75" w:rsidRPr="00324AD7">
        <w:rPr>
          <w:lang w:val="en-GB"/>
        </w:rPr>
        <w:t xml:space="preserve">These Rules were approved by the Commission for Public Oversight of Statutory </w:t>
      </w:r>
      <w:r w:rsidR="007B6C75" w:rsidRPr="00324AD7">
        <w:rPr>
          <w:lang w:val="en-GB"/>
        </w:rPr>
        <w:lastRenderedPageBreak/>
        <w:t>Auditors by Decision No</w:t>
      </w:r>
      <w:r w:rsidRPr="00324AD7">
        <w:rPr>
          <w:lang w:val="en-GB"/>
        </w:rPr>
        <w:t xml:space="preserve"> 18/12.02.2019 </w:t>
      </w:r>
      <w:r w:rsidR="007B6C75" w:rsidRPr="00324AD7">
        <w:rPr>
          <w:lang w:val="en-GB"/>
        </w:rPr>
        <w:t>and shall come into effect as of the date of their approval</w:t>
      </w:r>
      <w:r w:rsidRPr="00324AD7">
        <w:rPr>
          <w:lang w:val="en-GB"/>
        </w:rPr>
        <w:t>.</w:t>
      </w:r>
    </w:p>
    <w:p w:rsidR="006C1095" w:rsidRPr="00324AD7" w:rsidRDefault="006C1095"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161397" w:rsidRPr="00324AD7" w:rsidRDefault="00161397" w:rsidP="00BA55BC">
      <w:pPr>
        <w:pStyle w:val="Style"/>
        <w:ind w:left="0" w:firstLine="709"/>
        <w:rPr>
          <w:lang w:val="en-GB"/>
        </w:rPr>
      </w:pPr>
    </w:p>
    <w:p w:rsidR="00161397" w:rsidRPr="00324AD7" w:rsidRDefault="00161397" w:rsidP="00BA55BC">
      <w:pPr>
        <w:pStyle w:val="Style"/>
        <w:ind w:left="0" w:firstLine="709"/>
        <w:rPr>
          <w:lang w:val="en-GB"/>
        </w:rPr>
      </w:pPr>
    </w:p>
    <w:p w:rsidR="00161397" w:rsidRPr="00324AD7" w:rsidRDefault="00161397"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21094B" w:rsidRPr="00324AD7" w:rsidRDefault="0021094B" w:rsidP="00BA55BC">
      <w:pPr>
        <w:pStyle w:val="Style"/>
        <w:ind w:left="0" w:firstLine="709"/>
        <w:rPr>
          <w:lang w:val="en-GB"/>
        </w:rPr>
      </w:pPr>
    </w:p>
    <w:p w:rsidR="003E2A1B" w:rsidRPr="00324AD7" w:rsidRDefault="003E2A1B" w:rsidP="00BA55BC">
      <w:pPr>
        <w:pStyle w:val="NormalWeb"/>
        <w:tabs>
          <w:tab w:val="left" w:pos="1134"/>
        </w:tabs>
        <w:spacing w:before="0" w:beforeAutospacing="0" w:after="0" w:afterAutospacing="0"/>
        <w:ind w:firstLine="709"/>
        <w:jc w:val="both"/>
      </w:pPr>
    </w:p>
    <w:p w:rsidR="003E2A1B" w:rsidRPr="00324AD7" w:rsidRDefault="009B43E4" w:rsidP="00BA55BC">
      <w:pPr>
        <w:ind w:firstLine="709"/>
        <w:jc w:val="right"/>
        <w:rPr>
          <w:b/>
          <w:sz w:val="24"/>
          <w:szCs w:val="24"/>
          <w:lang w:val="en-GB"/>
        </w:rPr>
      </w:pPr>
      <w:r w:rsidRPr="00324AD7">
        <w:rPr>
          <w:b/>
          <w:sz w:val="24"/>
          <w:szCs w:val="24"/>
          <w:lang w:val="en-GB"/>
        </w:rPr>
        <w:t>ANNEX No</w:t>
      </w:r>
      <w:r w:rsidR="003E2A1B" w:rsidRPr="00324AD7">
        <w:rPr>
          <w:b/>
          <w:sz w:val="24"/>
          <w:szCs w:val="24"/>
          <w:lang w:val="en-GB"/>
        </w:rPr>
        <w:t xml:space="preserve"> 1</w:t>
      </w:r>
    </w:p>
    <w:p w:rsidR="003E2A1B" w:rsidRPr="00324AD7" w:rsidRDefault="003E2A1B" w:rsidP="00BA55BC">
      <w:pPr>
        <w:ind w:firstLine="709"/>
        <w:jc w:val="both"/>
        <w:rPr>
          <w:b/>
          <w:sz w:val="24"/>
          <w:szCs w:val="24"/>
          <w:lang w:val="en-GB"/>
        </w:rPr>
      </w:pPr>
    </w:p>
    <w:p w:rsidR="009B43E4" w:rsidRPr="00324AD7" w:rsidRDefault="009B43E4" w:rsidP="009B43E4">
      <w:pPr>
        <w:jc w:val="center"/>
        <w:rPr>
          <w:b/>
          <w:sz w:val="24"/>
          <w:szCs w:val="24"/>
          <w:lang w:val="en-GB"/>
        </w:rPr>
      </w:pPr>
      <w:r w:rsidRPr="00324AD7">
        <w:rPr>
          <w:b/>
          <w:sz w:val="24"/>
          <w:szCs w:val="24"/>
          <w:lang w:val="en-GB"/>
        </w:rPr>
        <w:t>SCHEDULE</w:t>
      </w:r>
    </w:p>
    <w:p w:rsidR="009B43E4" w:rsidRPr="00324AD7" w:rsidRDefault="009B43E4" w:rsidP="009B43E4">
      <w:pPr>
        <w:jc w:val="center"/>
        <w:rPr>
          <w:b/>
          <w:sz w:val="24"/>
          <w:szCs w:val="24"/>
          <w:lang w:val="en-GB"/>
        </w:rPr>
      </w:pPr>
      <w:r w:rsidRPr="00324AD7">
        <w:rPr>
          <w:b/>
          <w:sz w:val="24"/>
          <w:szCs w:val="24"/>
          <w:lang w:val="en-GB"/>
        </w:rPr>
        <w:t>of the correlation of the examinations under Art. 14, paragraph 1 of IFAA</w:t>
      </w:r>
    </w:p>
    <w:p w:rsidR="009B43E4" w:rsidRPr="00324AD7" w:rsidRDefault="009B43E4" w:rsidP="009B43E4">
      <w:pPr>
        <w:jc w:val="center"/>
        <w:rPr>
          <w:b/>
          <w:sz w:val="24"/>
          <w:szCs w:val="24"/>
          <w:lang w:val="en-GB"/>
        </w:rPr>
      </w:pPr>
      <w:r w:rsidRPr="00324AD7">
        <w:rPr>
          <w:b/>
          <w:sz w:val="24"/>
          <w:szCs w:val="24"/>
          <w:lang w:val="en-GB"/>
        </w:rPr>
        <w:t>and the subjects taught at the universities in the Republic of Bulgaria</w:t>
      </w:r>
    </w:p>
    <w:p w:rsidR="009B43E4" w:rsidRPr="00324AD7" w:rsidRDefault="009B43E4" w:rsidP="009B43E4">
      <w:pPr>
        <w:ind w:firstLine="709"/>
        <w:jc w:val="center"/>
        <w:rPr>
          <w:b/>
          <w:sz w:val="24"/>
          <w:szCs w:val="24"/>
          <w:lang w:val="en-GB"/>
        </w:rPr>
      </w:pPr>
    </w:p>
    <w:tbl>
      <w:tblPr>
        <w:tblW w:w="9209" w:type="dxa"/>
        <w:jc w:val="center"/>
        <w:tblLayout w:type="fixed"/>
        <w:tblCellMar>
          <w:left w:w="70" w:type="dxa"/>
          <w:right w:w="70" w:type="dxa"/>
        </w:tblCellMar>
        <w:tblLook w:val="04A0" w:firstRow="1" w:lastRow="0" w:firstColumn="1" w:lastColumn="0" w:noHBand="0" w:noVBand="1"/>
      </w:tblPr>
      <w:tblGrid>
        <w:gridCol w:w="704"/>
        <w:gridCol w:w="2835"/>
        <w:gridCol w:w="2835"/>
        <w:gridCol w:w="709"/>
        <w:gridCol w:w="850"/>
        <w:gridCol w:w="1276"/>
      </w:tblGrid>
      <w:tr w:rsidR="009B43E4" w:rsidRPr="00324AD7" w:rsidTr="00F87A18">
        <w:trPr>
          <w:trHeight w:val="157"/>
          <w:jc w:val="center"/>
        </w:trPr>
        <w:tc>
          <w:tcPr>
            <w:tcW w:w="704" w:type="dxa"/>
            <w:vMerge w:val="restart"/>
            <w:tcBorders>
              <w:top w:val="single" w:sz="4" w:space="0" w:color="auto"/>
              <w:left w:val="single" w:sz="4" w:space="0" w:color="auto"/>
              <w:right w:val="single" w:sz="4" w:space="0" w:color="auto"/>
            </w:tcBorders>
            <w:shd w:val="clear" w:color="auto" w:fill="auto"/>
            <w:vAlign w:val="bottom"/>
            <w:hideMark/>
          </w:tcPr>
          <w:p w:rsidR="009B43E4" w:rsidRPr="00324AD7" w:rsidRDefault="009B43E4" w:rsidP="00F87A18">
            <w:pPr>
              <w:jc w:val="center"/>
              <w:rPr>
                <w:b/>
                <w:bCs/>
                <w:color w:val="000000"/>
                <w:lang w:val="en-GB"/>
              </w:rPr>
            </w:pPr>
            <w:r w:rsidRPr="00324AD7">
              <w:rPr>
                <w:b/>
                <w:bCs/>
                <w:color w:val="000000"/>
                <w:lang w:val="en-GB"/>
              </w:rPr>
              <w:t xml:space="preserve">No </w:t>
            </w:r>
          </w:p>
        </w:tc>
        <w:tc>
          <w:tcPr>
            <w:tcW w:w="2835" w:type="dxa"/>
            <w:vMerge w:val="restart"/>
            <w:tcBorders>
              <w:top w:val="single" w:sz="4" w:space="0" w:color="auto"/>
              <w:left w:val="single" w:sz="4" w:space="0" w:color="auto"/>
              <w:right w:val="single" w:sz="4" w:space="0" w:color="auto"/>
            </w:tcBorders>
            <w:shd w:val="clear" w:color="auto" w:fill="auto"/>
            <w:vAlign w:val="bottom"/>
            <w:hideMark/>
          </w:tcPr>
          <w:p w:rsidR="009B43E4" w:rsidRPr="00324AD7" w:rsidRDefault="009B43E4" w:rsidP="00F87A18">
            <w:pPr>
              <w:jc w:val="center"/>
              <w:rPr>
                <w:b/>
                <w:bCs/>
                <w:color w:val="000000"/>
                <w:lang w:val="en-GB"/>
              </w:rPr>
            </w:pPr>
            <w:r w:rsidRPr="00324AD7">
              <w:rPr>
                <w:b/>
                <w:bCs/>
                <w:color w:val="000000"/>
                <w:lang w:val="en-GB"/>
              </w:rPr>
              <w:t>Examinations under Art. 14, paragraph 1 of IFAA</w:t>
            </w:r>
          </w:p>
        </w:tc>
        <w:tc>
          <w:tcPr>
            <w:tcW w:w="2835" w:type="dxa"/>
            <w:vMerge w:val="restart"/>
            <w:tcBorders>
              <w:top w:val="single" w:sz="4" w:space="0" w:color="auto"/>
              <w:left w:val="single" w:sz="4" w:space="0" w:color="auto"/>
              <w:right w:val="single" w:sz="4" w:space="0" w:color="auto"/>
            </w:tcBorders>
            <w:shd w:val="clear" w:color="auto" w:fill="auto"/>
            <w:vAlign w:val="bottom"/>
            <w:hideMark/>
          </w:tcPr>
          <w:p w:rsidR="009B43E4" w:rsidRPr="00324AD7" w:rsidRDefault="009B43E4" w:rsidP="00F87A18">
            <w:pPr>
              <w:jc w:val="center"/>
              <w:rPr>
                <w:b/>
                <w:bCs/>
                <w:color w:val="000000"/>
                <w:lang w:val="en-GB"/>
              </w:rPr>
            </w:pPr>
            <w:r w:rsidRPr="00324AD7">
              <w:rPr>
                <w:b/>
                <w:bCs/>
                <w:color w:val="000000"/>
                <w:lang w:val="en-GB"/>
              </w:rPr>
              <w:t>Subjects taught at the universities</w:t>
            </w:r>
          </w:p>
        </w:tc>
        <w:tc>
          <w:tcPr>
            <w:tcW w:w="709" w:type="dxa"/>
            <w:vMerge w:val="restart"/>
            <w:tcBorders>
              <w:top w:val="single" w:sz="4" w:space="0" w:color="auto"/>
              <w:left w:val="single" w:sz="4" w:space="0" w:color="auto"/>
              <w:right w:val="single" w:sz="4" w:space="0" w:color="auto"/>
            </w:tcBorders>
            <w:shd w:val="clear" w:color="auto" w:fill="auto"/>
            <w:vAlign w:val="bottom"/>
            <w:hideMark/>
          </w:tcPr>
          <w:p w:rsidR="009B43E4" w:rsidRPr="00324AD7" w:rsidRDefault="009B43E4" w:rsidP="00F87A18">
            <w:pPr>
              <w:jc w:val="center"/>
              <w:rPr>
                <w:b/>
                <w:bCs/>
                <w:color w:val="000000"/>
                <w:sz w:val="18"/>
                <w:szCs w:val="18"/>
                <w:lang w:val="en-GB"/>
              </w:rPr>
            </w:pPr>
            <w:r w:rsidRPr="00324AD7">
              <w:rPr>
                <w:b/>
                <w:bCs/>
                <w:color w:val="000000"/>
                <w:sz w:val="18"/>
                <w:szCs w:val="18"/>
                <w:lang w:val="en-GB"/>
              </w:rPr>
              <w:t>Degree</w:t>
            </w:r>
          </w:p>
        </w:tc>
        <w:tc>
          <w:tcPr>
            <w:tcW w:w="2126" w:type="dxa"/>
            <w:gridSpan w:val="2"/>
            <w:tcBorders>
              <w:top w:val="single" w:sz="4" w:space="0" w:color="auto"/>
              <w:left w:val="nil"/>
              <w:bottom w:val="single" w:sz="4" w:space="0" w:color="auto"/>
              <w:right w:val="single" w:sz="4" w:space="0" w:color="000000"/>
            </w:tcBorders>
            <w:shd w:val="clear" w:color="auto" w:fill="auto"/>
            <w:vAlign w:val="bottom"/>
            <w:hideMark/>
          </w:tcPr>
          <w:p w:rsidR="009B43E4" w:rsidRPr="00324AD7" w:rsidRDefault="009B43E4" w:rsidP="00F87A18">
            <w:pPr>
              <w:jc w:val="center"/>
              <w:rPr>
                <w:b/>
                <w:bCs/>
                <w:color w:val="000000"/>
                <w:lang w:val="en-GB"/>
              </w:rPr>
            </w:pPr>
            <w:r w:rsidRPr="00324AD7">
              <w:rPr>
                <w:b/>
                <w:bCs/>
                <w:color w:val="000000"/>
                <w:lang w:val="en-GB"/>
              </w:rPr>
              <w:t>Number of hours of tuition</w:t>
            </w:r>
          </w:p>
        </w:tc>
      </w:tr>
      <w:tr w:rsidR="009B43E4" w:rsidRPr="00324AD7" w:rsidTr="00F87A18">
        <w:trPr>
          <w:trHeight w:val="208"/>
          <w:jc w:val="center"/>
        </w:trPr>
        <w:tc>
          <w:tcPr>
            <w:tcW w:w="704" w:type="dxa"/>
            <w:vMerge/>
            <w:tcBorders>
              <w:left w:val="single" w:sz="4" w:space="0" w:color="auto"/>
              <w:bottom w:val="single" w:sz="4" w:space="0" w:color="auto"/>
              <w:right w:val="single" w:sz="4" w:space="0" w:color="auto"/>
            </w:tcBorders>
            <w:vAlign w:val="center"/>
            <w:hideMark/>
          </w:tcPr>
          <w:p w:rsidR="009B43E4" w:rsidRPr="00324AD7" w:rsidRDefault="009B43E4" w:rsidP="00F87A18">
            <w:pPr>
              <w:ind w:firstLine="709"/>
              <w:jc w:val="center"/>
              <w:rPr>
                <w:b/>
                <w:bCs/>
                <w:color w:val="000000"/>
                <w:lang w:val="en-GB"/>
              </w:rPr>
            </w:pPr>
          </w:p>
        </w:tc>
        <w:tc>
          <w:tcPr>
            <w:tcW w:w="2835" w:type="dxa"/>
            <w:vMerge/>
            <w:tcBorders>
              <w:left w:val="single" w:sz="4" w:space="0" w:color="auto"/>
              <w:bottom w:val="single" w:sz="4" w:space="0" w:color="auto"/>
              <w:right w:val="single" w:sz="4" w:space="0" w:color="auto"/>
            </w:tcBorders>
            <w:vAlign w:val="center"/>
            <w:hideMark/>
          </w:tcPr>
          <w:p w:rsidR="009B43E4" w:rsidRPr="00324AD7" w:rsidRDefault="009B43E4" w:rsidP="00F87A18">
            <w:pPr>
              <w:ind w:firstLine="709"/>
              <w:rPr>
                <w:b/>
                <w:bCs/>
                <w:color w:val="000000"/>
                <w:lang w:val="en-GB"/>
              </w:rPr>
            </w:pPr>
          </w:p>
        </w:tc>
        <w:tc>
          <w:tcPr>
            <w:tcW w:w="2835" w:type="dxa"/>
            <w:vMerge/>
            <w:tcBorders>
              <w:left w:val="single" w:sz="4" w:space="0" w:color="auto"/>
              <w:bottom w:val="single" w:sz="4" w:space="0" w:color="auto"/>
              <w:right w:val="single" w:sz="4" w:space="0" w:color="auto"/>
            </w:tcBorders>
            <w:vAlign w:val="center"/>
            <w:hideMark/>
          </w:tcPr>
          <w:p w:rsidR="009B43E4" w:rsidRPr="00324AD7" w:rsidRDefault="009B43E4" w:rsidP="00F87A18">
            <w:pPr>
              <w:ind w:firstLine="709"/>
              <w:rPr>
                <w:b/>
                <w:bCs/>
                <w:color w:val="000000"/>
                <w:lang w:val="en-GB"/>
              </w:rPr>
            </w:pPr>
          </w:p>
        </w:tc>
        <w:tc>
          <w:tcPr>
            <w:tcW w:w="709" w:type="dxa"/>
            <w:vMerge/>
            <w:tcBorders>
              <w:left w:val="single" w:sz="4" w:space="0" w:color="auto"/>
              <w:bottom w:val="single" w:sz="4" w:space="0" w:color="000000"/>
              <w:right w:val="single" w:sz="4" w:space="0" w:color="auto"/>
            </w:tcBorders>
            <w:vAlign w:val="center"/>
            <w:hideMark/>
          </w:tcPr>
          <w:p w:rsidR="009B43E4" w:rsidRPr="00324AD7" w:rsidRDefault="009B43E4" w:rsidP="00F87A18">
            <w:pPr>
              <w:ind w:firstLine="709"/>
              <w:rPr>
                <w:b/>
                <w:bCs/>
                <w:color w:val="000000"/>
                <w:lang w:val="en-GB"/>
              </w:rPr>
            </w:pP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left="28" w:hanging="28"/>
              <w:jc w:val="center"/>
              <w:rPr>
                <w:b/>
                <w:bCs/>
                <w:color w:val="000000"/>
                <w:lang w:val="en-GB"/>
              </w:rPr>
            </w:pPr>
            <w:r w:rsidRPr="00324AD7">
              <w:rPr>
                <w:b/>
                <w:bCs/>
                <w:color w:val="000000"/>
                <w:lang w:val="en-GB"/>
              </w:rPr>
              <w:t>lectures</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left="28" w:hanging="28"/>
              <w:jc w:val="center"/>
              <w:rPr>
                <w:b/>
                <w:bCs/>
                <w:color w:val="000000"/>
                <w:lang w:val="en-GB"/>
              </w:rPr>
            </w:pPr>
            <w:r w:rsidRPr="00324AD7">
              <w:rPr>
                <w:b/>
                <w:bCs/>
                <w:color w:val="000000"/>
                <w:lang w:val="en-GB"/>
              </w:rPr>
              <w:t>seminars</w:t>
            </w:r>
          </w:p>
        </w:tc>
      </w:tr>
      <w:tr w:rsidR="009B43E4" w:rsidRPr="00324AD7" w:rsidTr="00F87A18">
        <w:trPr>
          <w:trHeight w:val="28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1</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General theory of accounting</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Basics of accounting</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45</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2</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accounting</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accounting</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45</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nil"/>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3</w:t>
            </w:r>
          </w:p>
        </w:tc>
        <w:tc>
          <w:tcPr>
            <w:tcW w:w="2835" w:type="dxa"/>
            <w:tcBorders>
              <w:top w:val="nil"/>
              <w:left w:val="nil"/>
              <w:bottom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Management accounting</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Management accounting</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45</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single" w:sz="4" w:space="0" w:color="auto"/>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4</w:t>
            </w:r>
          </w:p>
        </w:tc>
        <w:tc>
          <w:tcPr>
            <w:tcW w:w="2835" w:type="dxa"/>
            <w:vMerge w:val="restart"/>
            <w:tcBorders>
              <w:top w:val="single" w:sz="4" w:space="0" w:color="auto"/>
              <w:left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statements analysis</w:t>
            </w:r>
          </w:p>
          <w:p w:rsidR="009B43E4" w:rsidRPr="00324AD7" w:rsidRDefault="009B43E4" w:rsidP="00F87A18">
            <w:pPr>
              <w:ind w:hanging="70"/>
              <w:jc w:val="center"/>
              <w:rPr>
                <w:color w:val="000000"/>
                <w:lang w:val="en-GB"/>
              </w:rPr>
            </w:pPr>
            <w:r w:rsidRPr="00324AD7">
              <w:rPr>
                <w:color w:val="000000"/>
                <w:lang w:val="en-GB"/>
              </w:rPr>
              <w:t> </w:t>
            </w:r>
          </w:p>
          <w:p w:rsidR="009B43E4" w:rsidRPr="00324AD7" w:rsidRDefault="009B43E4" w:rsidP="00F87A18">
            <w:pPr>
              <w:ind w:hanging="70"/>
              <w:jc w:val="center"/>
              <w:rPr>
                <w:color w:val="000000"/>
                <w:lang w:val="en-GB"/>
              </w:rPr>
            </w:pPr>
            <w:r w:rsidRPr="00324AD7">
              <w:rPr>
                <w:color w:val="000000"/>
                <w:lang w:val="en-GB"/>
              </w:rPr>
              <w:t> </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and economic analysis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85"/>
          <w:jc w:val="center"/>
        </w:trPr>
        <w:tc>
          <w:tcPr>
            <w:tcW w:w="704" w:type="dxa"/>
            <w:tcBorders>
              <w:top w:val="nil"/>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vMerge/>
            <w:tcBorders>
              <w:left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Analysis of the financial statements of non-financial entities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204"/>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vMerge/>
            <w:tcBorders>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Analysis of the financial statements of a financial entity</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234"/>
          <w:jc w:val="center"/>
        </w:trPr>
        <w:tc>
          <w:tcPr>
            <w:tcW w:w="704" w:type="dxa"/>
            <w:tcBorders>
              <w:top w:val="nil"/>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5</w:t>
            </w:r>
          </w:p>
        </w:tc>
        <w:tc>
          <w:tcPr>
            <w:tcW w:w="2835" w:type="dxa"/>
            <w:vMerge w:val="restart"/>
            <w:tcBorders>
              <w:top w:val="nil"/>
              <w:left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control and auditing standards, including ISAs</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Auditing</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58"/>
          <w:jc w:val="center"/>
        </w:trPr>
        <w:tc>
          <w:tcPr>
            <w:tcW w:w="704" w:type="dxa"/>
            <w:tcBorders>
              <w:top w:val="nil"/>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vMerge/>
            <w:tcBorders>
              <w:left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control and auditing standards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18</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5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vMerge/>
            <w:tcBorders>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International Standards on Auditing</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28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6</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Commercial law</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Commercial law</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58"/>
          <w:jc w:val="center"/>
        </w:trPr>
        <w:tc>
          <w:tcPr>
            <w:tcW w:w="704" w:type="dxa"/>
            <w:tcBorders>
              <w:top w:val="nil"/>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7</w:t>
            </w:r>
          </w:p>
        </w:tc>
        <w:tc>
          <w:tcPr>
            <w:tcW w:w="2835" w:type="dxa"/>
            <w:tcBorders>
              <w:top w:val="nil"/>
              <w:left w:val="nil"/>
              <w:bottom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Tax law</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Taxation and tax control</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r>
      <w:tr w:rsidR="009B43E4" w:rsidRPr="00324AD7" w:rsidTr="00F87A18">
        <w:trPr>
          <w:trHeight w:val="28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 </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Tax procedure law</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28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lastRenderedPageBreak/>
              <w:t>8</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Labour and social security law</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Labour and social security law</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9</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Enterprise finances</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Corporate finances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45</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single" w:sz="4" w:space="0" w:color="auto"/>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10</w:t>
            </w:r>
          </w:p>
        </w:tc>
        <w:tc>
          <w:tcPr>
            <w:tcW w:w="2835" w:type="dxa"/>
            <w:tcBorders>
              <w:top w:val="single" w:sz="4" w:space="0" w:color="auto"/>
              <w:left w:val="nil"/>
              <w:bottom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Mathematics and statistics</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Mathematics, Part I</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nil"/>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tcBorders>
              <w:top w:val="nil"/>
              <w:left w:val="nil"/>
              <w:bottom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 </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Mathematics, Part II</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 </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Statistics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45</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nil"/>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11</w:t>
            </w:r>
          </w:p>
        </w:tc>
        <w:tc>
          <w:tcPr>
            <w:tcW w:w="2835" w:type="dxa"/>
            <w:tcBorders>
              <w:top w:val="nil"/>
              <w:left w:val="nil"/>
              <w:bottom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Microeconomics</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Microeconomics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45</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28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 </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Microeconomics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288"/>
          <w:jc w:val="center"/>
        </w:trPr>
        <w:tc>
          <w:tcPr>
            <w:tcW w:w="704" w:type="dxa"/>
            <w:tcBorders>
              <w:top w:val="single" w:sz="4" w:space="0" w:color="auto"/>
              <w:left w:val="single" w:sz="4" w:space="0" w:color="auto"/>
              <w:bottom w:val="nil"/>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12</w:t>
            </w:r>
          </w:p>
        </w:tc>
        <w:tc>
          <w:tcPr>
            <w:tcW w:w="2835" w:type="dxa"/>
            <w:vMerge w:val="restart"/>
            <w:tcBorders>
              <w:top w:val="single" w:sz="4" w:space="0" w:color="auto"/>
              <w:left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Basics of the financial management of an enterprise</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Capital budgeting</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142"/>
          <w:jc w:val="center"/>
        </w:trPr>
        <w:tc>
          <w:tcPr>
            <w:tcW w:w="704" w:type="dxa"/>
            <w:tcBorders>
              <w:top w:val="nil"/>
              <w:left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vMerge/>
            <w:tcBorders>
              <w:left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and accounting management</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142"/>
          <w:jc w:val="center"/>
        </w:trPr>
        <w:tc>
          <w:tcPr>
            <w:tcW w:w="704" w:type="dxa"/>
            <w:tcBorders>
              <w:top w:val="nil"/>
              <w:left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p>
        </w:tc>
        <w:tc>
          <w:tcPr>
            <w:tcW w:w="2835" w:type="dxa"/>
            <w:tcBorders>
              <w:top w:val="nil"/>
              <w:left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 </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Financial management</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288"/>
          <w:jc w:val="center"/>
        </w:trPr>
        <w:tc>
          <w:tcPr>
            <w:tcW w:w="704" w:type="dxa"/>
            <w:vMerge w:val="restart"/>
            <w:tcBorders>
              <w:top w:val="single" w:sz="4" w:space="0" w:color="auto"/>
              <w:left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13</w:t>
            </w:r>
          </w:p>
        </w:tc>
        <w:tc>
          <w:tcPr>
            <w:tcW w:w="2835" w:type="dxa"/>
            <w:vMerge w:val="restart"/>
            <w:tcBorders>
              <w:top w:val="single" w:sz="4" w:space="0" w:color="auto"/>
              <w:left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Information systems and technology</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Informatics</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58"/>
          <w:jc w:val="center"/>
        </w:trPr>
        <w:tc>
          <w:tcPr>
            <w:tcW w:w="704" w:type="dxa"/>
            <w:vMerge/>
            <w:tcBorders>
              <w:left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vMerge/>
            <w:tcBorders>
              <w:left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Information systems in accounting</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r>
      <w:tr w:rsidR="009B43E4" w:rsidRPr="00324AD7" w:rsidTr="00F87A18">
        <w:trPr>
          <w:trHeight w:val="58"/>
          <w:jc w:val="center"/>
        </w:trPr>
        <w:tc>
          <w:tcPr>
            <w:tcW w:w="704" w:type="dxa"/>
            <w:vMerge/>
            <w:tcBorders>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vMerge/>
            <w:tcBorders>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Special course of lectures in hardware and software</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M</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60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358"/>
          <w:jc w:val="center"/>
        </w:trPr>
        <w:tc>
          <w:tcPr>
            <w:tcW w:w="704" w:type="dxa"/>
            <w:tcBorders>
              <w:top w:val="nil"/>
              <w:left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14</w:t>
            </w:r>
          </w:p>
        </w:tc>
        <w:tc>
          <w:tcPr>
            <w:tcW w:w="2835" w:type="dxa"/>
            <w:vMerge w:val="restart"/>
            <w:tcBorders>
              <w:top w:val="nil"/>
              <w:left w:val="nil"/>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Risk management and internal control</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 xml:space="preserve">Supervision and risk management </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45</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308"/>
          <w:jc w:val="center"/>
        </w:trPr>
        <w:tc>
          <w:tcPr>
            <w:tcW w:w="704" w:type="dxa"/>
            <w:tcBorders>
              <w:left w:val="single" w:sz="4" w:space="0" w:color="auto"/>
              <w:bottom w:val="single" w:sz="4" w:space="0" w:color="auto"/>
              <w:right w:val="single" w:sz="4" w:space="0" w:color="auto"/>
            </w:tcBorders>
            <w:shd w:val="clear" w:color="auto" w:fill="auto"/>
            <w:vAlign w:val="bottom"/>
          </w:tcPr>
          <w:p w:rsidR="009B43E4" w:rsidRPr="00324AD7" w:rsidRDefault="009B43E4" w:rsidP="00F87A18">
            <w:pPr>
              <w:jc w:val="center"/>
              <w:rPr>
                <w:color w:val="000000"/>
                <w:lang w:val="en-GB"/>
              </w:rPr>
            </w:pPr>
          </w:p>
        </w:tc>
        <w:tc>
          <w:tcPr>
            <w:tcW w:w="2835" w:type="dxa"/>
            <w:vMerge/>
            <w:tcBorders>
              <w:left w:val="nil"/>
              <w:bottom w:val="single" w:sz="4" w:space="0" w:color="auto"/>
              <w:right w:val="single" w:sz="4" w:space="0" w:color="auto"/>
            </w:tcBorders>
            <w:shd w:val="clear" w:color="auto" w:fill="auto"/>
            <w:vAlign w:val="bottom"/>
          </w:tcPr>
          <w:p w:rsidR="009B43E4" w:rsidRPr="00324AD7" w:rsidRDefault="009B43E4" w:rsidP="00F87A18">
            <w:pPr>
              <w:ind w:hanging="70"/>
              <w:jc w:val="center"/>
              <w:rPr>
                <w:color w:val="000000"/>
                <w:lang w:val="en-GB"/>
              </w:rPr>
            </w:pP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Risk management and internal control</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p>
          <w:p w:rsidR="009B43E4" w:rsidRPr="00324AD7" w:rsidRDefault="009B43E4" w:rsidP="00F87A18">
            <w:pPr>
              <w:ind w:hanging="70"/>
              <w:jc w:val="center"/>
              <w:rPr>
                <w:color w:val="000000"/>
                <w:lang w:val="en-GB"/>
              </w:rPr>
            </w:pPr>
            <w:r w:rsidRPr="00324AD7">
              <w:rPr>
                <w:color w:val="000000"/>
                <w:lang w:val="en-GB"/>
              </w:rPr>
              <w:t>0</w:t>
            </w:r>
          </w:p>
        </w:tc>
      </w:tr>
      <w:tr w:rsidR="009B43E4" w:rsidRPr="00324AD7" w:rsidTr="00F87A18">
        <w:trPr>
          <w:trHeight w:val="58"/>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9B43E4" w:rsidRPr="00324AD7" w:rsidRDefault="009B43E4" w:rsidP="00F87A18">
            <w:pPr>
              <w:jc w:val="center"/>
              <w:rPr>
                <w:color w:val="000000"/>
                <w:lang w:val="en-GB"/>
              </w:rPr>
            </w:pPr>
            <w:r w:rsidRPr="00324AD7">
              <w:rPr>
                <w:color w:val="000000"/>
                <w:lang w:val="en-GB"/>
              </w:rPr>
              <w:t>15</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Professional ethics and independence</w:t>
            </w:r>
          </w:p>
        </w:tc>
        <w:tc>
          <w:tcPr>
            <w:tcW w:w="2835"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Professional ethics and independence</w:t>
            </w:r>
          </w:p>
        </w:tc>
        <w:tc>
          <w:tcPr>
            <w:tcW w:w="709"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B</w:t>
            </w:r>
          </w:p>
        </w:tc>
        <w:tc>
          <w:tcPr>
            <w:tcW w:w="850"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30</w:t>
            </w:r>
          </w:p>
        </w:tc>
        <w:tc>
          <w:tcPr>
            <w:tcW w:w="1276" w:type="dxa"/>
            <w:tcBorders>
              <w:top w:val="nil"/>
              <w:left w:val="nil"/>
              <w:bottom w:val="single" w:sz="4" w:space="0" w:color="auto"/>
              <w:right w:val="single" w:sz="4" w:space="0" w:color="auto"/>
            </w:tcBorders>
            <w:shd w:val="clear" w:color="auto" w:fill="auto"/>
            <w:vAlign w:val="bottom"/>
            <w:hideMark/>
          </w:tcPr>
          <w:p w:rsidR="009B43E4" w:rsidRPr="00324AD7" w:rsidRDefault="009B43E4" w:rsidP="00F87A18">
            <w:pPr>
              <w:ind w:hanging="70"/>
              <w:jc w:val="center"/>
              <w:rPr>
                <w:color w:val="000000"/>
                <w:lang w:val="en-GB"/>
              </w:rPr>
            </w:pPr>
            <w:r w:rsidRPr="00324AD7">
              <w:rPr>
                <w:color w:val="000000"/>
                <w:lang w:val="en-GB"/>
              </w:rPr>
              <w:t>0</w:t>
            </w:r>
          </w:p>
        </w:tc>
      </w:tr>
    </w:tbl>
    <w:p w:rsidR="009B43E4" w:rsidRPr="00324AD7" w:rsidRDefault="009B43E4" w:rsidP="009B43E4">
      <w:pPr>
        <w:spacing w:before="120" w:after="120"/>
        <w:ind w:firstLine="709"/>
        <w:jc w:val="both"/>
        <w:rPr>
          <w:b/>
          <w:sz w:val="24"/>
          <w:szCs w:val="24"/>
          <w:lang w:val="en-GB"/>
        </w:rPr>
      </w:pPr>
      <w:r w:rsidRPr="00324AD7">
        <w:rPr>
          <w:b/>
          <w:sz w:val="24"/>
          <w:szCs w:val="24"/>
          <w:lang w:val="en-GB"/>
        </w:rPr>
        <w:t>Note:</w:t>
      </w:r>
    </w:p>
    <w:p w:rsidR="009B43E4" w:rsidRPr="00324AD7" w:rsidRDefault="009B43E4" w:rsidP="009B43E4">
      <w:pPr>
        <w:numPr>
          <w:ilvl w:val="0"/>
          <w:numId w:val="25"/>
        </w:numPr>
        <w:tabs>
          <w:tab w:val="left" w:pos="993"/>
        </w:tabs>
        <w:ind w:left="0" w:firstLine="709"/>
        <w:jc w:val="both"/>
        <w:rPr>
          <w:sz w:val="24"/>
          <w:szCs w:val="24"/>
          <w:lang w:val="en-GB"/>
        </w:rPr>
      </w:pPr>
      <w:r w:rsidRPr="00324AD7">
        <w:rPr>
          <w:sz w:val="24"/>
          <w:szCs w:val="24"/>
          <w:lang w:val="en-GB"/>
        </w:rPr>
        <w:t>In determining the number of tuition hours in the relevant subject required for the equivalence, the form of study shall be taken into account – extramural learning (50 % of the tuition hours for regular/intramural learning) and distant learning (30 % of the tuition hours for regular/intramural learning).</w:t>
      </w:r>
    </w:p>
    <w:p w:rsidR="009B43E4" w:rsidRPr="00324AD7" w:rsidRDefault="009B43E4" w:rsidP="009B43E4">
      <w:pPr>
        <w:numPr>
          <w:ilvl w:val="0"/>
          <w:numId w:val="25"/>
        </w:numPr>
        <w:tabs>
          <w:tab w:val="left" w:pos="993"/>
        </w:tabs>
        <w:ind w:left="0" w:firstLine="709"/>
        <w:jc w:val="both"/>
        <w:rPr>
          <w:sz w:val="24"/>
          <w:szCs w:val="24"/>
          <w:lang w:val="en-GB"/>
        </w:rPr>
      </w:pPr>
      <w:r w:rsidRPr="00324AD7">
        <w:rPr>
          <w:sz w:val="24"/>
          <w:szCs w:val="24"/>
          <w:lang w:val="en-GB"/>
        </w:rPr>
        <w:t xml:space="preserve">The certificate </w:t>
      </w:r>
      <w:r w:rsidR="00E719BB">
        <w:rPr>
          <w:sz w:val="24"/>
          <w:szCs w:val="24"/>
          <w:lang w:val="en-GB"/>
        </w:rPr>
        <w:t>containing</w:t>
      </w:r>
      <w:r w:rsidRPr="00324AD7">
        <w:rPr>
          <w:sz w:val="24"/>
          <w:szCs w:val="24"/>
          <w:lang w:val="en-GB"/>
        </w:rPr>
        <w:t xml:space="preserve"> the </w:t>
      </w:r>
      <w:r w:rsidR="00E719BB" w:rsidRPr="00E719BB">
        <w:rPr>
          <w:sz w:val="24"/>
          <w:szCs w:val="24"/>
          <w:lang w:val="en-GB"/>
        </w:rPr>
        <w:t xml:space="preserve">АССА examinations </w:t>
      </w:r>
      <w:r w:rsidR="00E719BB">
        <w:rPr>
          <w:sz w:val="24"/>
          <w:szCs w:val="24"/>
          <w:lang w:val="en-GB"/>
        </w:rPr>
        <w:t xml:space="preserve">record </w:t>
      </w:r>
      <w:r w:rsidRPr="00324AD7">
        <w:rPr>
          <w:sz w:val="24"/>
          <w:szCs w:val="24"/>
          <w:lang w:val="en-GB"/>
        </w:rPr>
        <w:t>shall be equated to the requirements under Art. 14, paragraph 1 of IFAA.</w:t>
      </w:r>
    </w:p>
    <w:p w:rsidR="009B43E4" w:rsidRPr="00324AD7" w:rsidRDefault="009B43E4" w:rsidP="009B43E4">
      <w:pPr>
        <w:ind w:firstLine="709"/>
        <w:jc w:val="both"/>
        <w:rPr>
          <w:b/>
          <w:sz w:val="24"/>
          <w:szCs w:val="24"/>
          <w:lang w:val="en-GB"/>
        </w:rPr>
      </w:pPr>
    </w:p>
    <w:p w:rsidR="003E2A1B" w:rsidRPr="00324AD7" w:rsidRDefault="003E2A1B" w:rsidP="00BA55BC">
      <w:pPr>
        <w:ind w:firstLine="709"/>
        <w:jc w:val="both"/>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21094B" w:rsidRPr="00324AD7" w:rsidRDefault="0021094B" w:rsidP="00BA55BC">
      <w:pPr>
        <w:ind w:firstLine="709"/>
        <w:jc w:val="right"/>
        <w:rPr>
          <w:b/>
          <w:sz w:val="24"/>
          <w:szCs w:val="24"/>
          <w:lang w:val="en-GB"/>
        </w:rPr>
      </w:pPr>
    </w:p>
    <w:p w:rsidR="003E2A1B" w:rsidRPr="00324AD7" w:rsidRDefault="009B43E4" w:rsidP="00BA55BC">
      <w:pPr>
        <w:ind w:firstLine="709"/>
        <w:jc w:val="right"/>
        <w:rPr>
          <w:b/>
          <w:sz w:val="24"/>
          <w:szCs w:val="24"/>
          <w:lang w:val="en-GB"/>
        </w:rPr>
      </w:pPr>
      <w:r w:rsidRPr="00324AD7">
        <w:rPr>
          <w:b/>
          <w:sz w:val="24"/>
          <w:szCs w:val="24"/>
          <w:lang w:val="en-GB"/>
        </w:rPr>
        <w:lastRenderedPageBreak/>
        <w:t>ANNEX No</w:t>
      </w:r>
      <w:r w:rsidR="003E2A1B" w:rsidRPr="00324AD7">
        <w:rPr>
          <w:b/>
          <w:sz w:val="24"/>
          <w:szCs w:val="24"/>
          <w:lang w:val="en-GB"/>
        </w:rPr>
        <w:t xml:space="preserve"> 2</w:t>
      </w:r>
    </w:p>
    <w:p w:rsidR="003E2A1B" w:rsidRPr="00324AD7" w:rsidRDefault="003E2A1B" w:rsidP="00BA55BC">
      <w:pPr>
        <w:ind w:firstLine="709"/>
        <w:jc w:val="both"/>
        <w:rPr>
          <w:b/>
          <w:sz w:val="24"/>
          <w:szCs w:val="24"/>
          <w:lang w:val="en-GB"/>
        </w:rPr>
      </w:pPr>
    </w:p>
    <w:p w:rsidR="007669B2" w:rsidRPr="00324AD7" w:rsidRDefault="007669B2" w:rsidP="007669B2">
      <w:pPr>
        <w:ind w:firstLine="709"/>
        <w:jc w:val="both"/>
        <w:rPr>
          <w:b/>
          <w:sz w:val="24"/>
          <w:szCs w:val="24"/>
          <w:lang w:val="en-GB"/>
        </w:rPr>
      </w:pPr>
    </w:p>
    <w:p w:rsidR="007669B2" w:rsidRPr="00324AD7" w:rsidRDefault="007669B2" w:rsidP="007669B2">
      <w:pPr>
        <w:tabs>
          <w:tab w:val="left" w:pos="993"/>
        </w:tabs>
        <w:ind w:firstLine="709"/>
        <w:jc w:val="both"/>
        <w:rPr>
          <w:sz w:val="24"/>
          <w:szCs w:val="24"/>
          <w:lang w:val="en-GB"/>
        </w:rPr>
      </w:pPr>
      <w:r w:rsidRPr="00324AD7">
        <w:rPr>
          <w:sz w:val="24"/>
          <w:szCs w:val="24"/>
          <w:lang w:val="en-GB"/>
        </w:rPr>
        <w:t>1.</w:t>
      </w:r>
      <w:r w:rsidRPr="00324AD7">
        <w:rPr>
          <w:sz w:val="24"/>
          <w:szCs w:val="24"/>
          <w:lang w:val="en-GB"/>
        </w:rPr>
        <w:tab/>
        <w:t>To furnish proof of their professional experience under Art. 13, paragraph 2 of IFAA candidates shall submit the following documents:</w:t>
      </w:r>
    </w:p>
    <w:p w:rsidR="007669B2" w:rsidRPr="00324AD7" w:rsidRDefault="007669B2" w:rsidP="007669B2">
      <w:pPr>
        <w:ind w:firstLine="709"/>
        <w:jc w:val="both"/>
        <w:rPr>
          <w:sz w:val="24"/>
          <w:szCs w:val="24"/>
          <w:lang w:val="en-GB"/>
        </w:rPr>
      </w:pPr>
      <w:r w:rsidRPr="00324AD7">
        <w:rPr>
          <w:sz w:val="24"/>
          <w:szCs w:val="24"/>
          <w:lang w:val="en-GB"/>
        </w:rPr>
        <w:t>1.1. Under employment contracts:</w:t>
      </w:r>
    </w:p>
    <w:p w:rsidR="007669B2" w:rsidRPr="00324AD7" w:rsidRDefault="007669B2" w:rsidP="007669B2">
      <w:pPr>
        <w:tabs>
          <w:tab w:val="left" w:pos="993"/>
        </w:tabs>
        <w:ind w:left="709"/>
        <w:jc w:val="both"/>
        <w:rPr>
          <w:sz w:val="24"/>
          <w:szCs w:val="24"/>
          <w:lang w:val="en-GB"/>
        </w:rPr>
      </w:pPr>
      <w:r w:rsidRPr="00324AD7">
        <w:rPr>
          <w:sz w:val="24"/>
          <w:szCs w:val="24"/>
          <w:lang w:val="en-GB"/>
        </w:rPr>
        <w:t>a) where the candidate is working under primary employment contract – a record of service;</w:t>
      </w:r>
    </w:p>
    <w:p w:rsidR="007669B2" w:rsidRPr="00324AD7" w:rsidRDefault="007669B2" w:rsidP="007669B2">
      <w:pPr>
        <w:tabs>
          <w:tab w:val="left" w:pos="993"/>
        </w:tabs>
        <w:ind w:firstLine="709"/>
        <w:jc w:val="both"/>
        <w:rPr>
          <w:sz w:val="24"/>
          <w:szCs w:val="24"/>
          <w:lang w:val="en-GB"/>
        </w:rPr>
      </w:pPr>
      <w:r w:rsidRPr="00324AD7">
        <w:rPr>
          <w:sz w:val="24"/>
          <w:szCs w:val="24"/>
          <w:lang w:val="en-GB"/>
        </w:rPr>
        <w:t>b) where the candidate is working under second or supplementary employment contract – a certificate as per template UP-3 and the data under Art. 5, paragraph 4 of the Social Security Code.</w:t>
      </w:r>
    </w:p>
    <w:p w:rsidR="007669B2" w:rsidRPr="00324AD7" w:rsidRDefault="007669B2" w:rsidP="007669B2">
      <w:pPr>
        <w:ind w:firstLine="709"/>
        <w:jc w:val="both"/>
        <w:rPr>
          <w:sz w:val="24"/>
          <w:szCs w:val="24"/>
          <w:lang w:val="en-GB"/>
        </w:rPr>
      </w:pPr>
      <w:r w:rsidRPr="00324AD7">
        <w:rPr>
          <w:sz w:val="24"/>
          <w:szCs w:val="24"/>
          <w:lang w:val="en-GB"/>
        </w:rPr>
        <w:t>1.2. Where the preparer of the financial statements is a self-employed person – a Social Insurance Card certified by the National Social Security Institute in accordance with Art.7 of the Ordinance on the Social Security of Self-Employed Persons, agreements on the provision of accounting, financial or other similar services and documents on the payments made for the period prior to 31 December 2008, and for the period after 1 January 2009 – the data under Art. 5, paragraph 4 of the Social Security Code.</w:t>
      </w:r>
    </w:p>
    <w:p w:rsidR="007669B2" w:rsidRPr="00324AD7" w:rsidRDefault="007669B2" w:rsidP="007669B2">
      <w:pPr>
        <w:ind w:firstLine="709"/>
        <w:jc w:val="both"/>
        <w:rPr>
          <w:sz w:val="24"/>
          <w:szCs w:val="24"/>
          <w:lang w:val="en-GB"/>
        </w:rPr>
      </w:pPr>
      <w:r w:rsidRPr="00324AD7">
        <w:rPr>
          <w:sz w:val="24"/>
          <w:szCs w:val="24"/>
          <w:lang w:val="en-GB"/>
        </w:rPr>
        <w:t>1.3. Where the preparer of the financial statements is an accounting firm – management agreements of a managing director, agreements on the provision of accounting, financial or other similar services. The information on the contributory service shall be evidenced by a Social Insurance Card certified by the National Social Security Institute for the period prior to 31 December 2008, and for the period after 1 January 2009 – the data under Art. 5, paragraph 4 of the Social Security Code.</w:t>
      </w:r>
    </w:p>
    <w:p w:rsidR="007669B2" w:rsidRPr="00324AD7" w:rsidRDefault="007669B2" w:rsidP="007669B2">
      <w:pPr>
        <w:ind w:firstLine="709"/>
        <w:jc w:val="both"/>
        <w:rPr>
          <w:sz w:val="24"/>
          <w:szCs w:val="24"/>
          <w:lang w:val="en-GB"/>
        </w:rPr>
      </w:pPr>
      <w:r w:rsidRPr="00324AD7">
        <w:rPr>
          <w:sz w:val="24"/>
          <w:szCs w:val="24"/>
          <w:lang w:val="en-GB"/>
        </w:rPr>
        <w:t>2. To furnish proof of their practical training under Art. 16, paragraph 1 of IFAA, candidates shall submit the following documents:</w:t>
      </w:r>
    </w:p>
    <w:p w:rsidR="007669B2" w:rsidRPr="00324AD7" w:rsidRDefault="007669B2" w:rsidP="007669B2">
      <w:pPr>
        <w:tabs>
          <w:tab w:val="left" w:pos="6620"/>
        </w:tabs>
        <w:ind w:firstLine="709"/>
        <w:jc w:val="both"/>
        <w:rPr>
          <w:sz w:val="24"/>
          <w:szCs w:val="24"/>
          <w:lang w:val="en-GB"/>
        </w:rPr>
      </w:pPr>
      <w:r w:rsidRPr="00324AD7">
        <w:rPr>
          <w:sz w:val="24"/>
          <w:szCs w:val="24"/>
          <w:lang w:val="en-GB"/>
        </w:rPr>
        <w:t>2.1. Under employment contracts:</w:t>
      </w:r>
      <w:r w:rsidRPr="00324AD7">
        <w:rPr>
          <w:sz w:val="24"/>
          <w:szCs w:val="24"/>
          <w:lang w:val="en-GB"/>
        </w:rPr>
        <w:tab/>
      </w:r>
    </w:p>
    <w:p w:rsidR="007669B2" w:rsidRPr="00324AD7" w:rsidRDefault="007669B2" w:rsidP="007669B2">
      <w:pPr>
        <w:tabs>
          <w:tab w:val="left" w:pos="993"/>
        </w:tabs>
        <w:ind w:left="709"/>
        <w:jc w:val="both"/>
        <w:rPr>
          <w:sz w:val="24"/>
          <w:szCs w:val="24"/>
          <w:lang w:val="en-GB"/>
        </w:rPr>
      </w:pPr>
      <w:r w:rsidRPr="00324AD7">
        <w:rPr>
          <w:sz w:val="24"/>
          <w:szCs w:val="24"/>
          <w:lang w:val="en-GB"/>
        </w:rPr>
        <w:t>a) where the candidate is working under primary employment contract – a record of service;</w:t>
      </w:r>
    </w:p>
    <w:p w:rsidR="007669B2" w:rsidRPr="00324AD7" w:rsidRDefault="007669B2" w:rsidP="007669B2">
      <w:pPr>
        <w:tabs>
          <w:tab w:val="left" w:pos="993"/>
        </w:tabs>
        <w:ind w:firstLine="709"/>
        <w:jc w:val="both"/>
        <w:rPr>
          <w:sz w:val="24"/>
          <w:szCs w:val="24"/>
          <w:lang w:val="en-GB"/>
        </w:rPr>
      </w:pPr>
      <w:r w:rsidRPr="00324AD7">
        <w:rPr>
          <w:sz w:val="24"/>
          <w:szCs w:val="24"/>
          <w:lang w:val="en-GB"/>
        </w:rPr>
        <w:t>b) where the candidate is working under second or supplementary employment contract – a certificate as per template UP-3 and the data under Art. 5, paragraph 4 of the Social Security Code.</w:t>
      </w:r>
      <w:bookmarkStart w:id="21" w:name="_GoBack"/>
      <w:bookmarkEnd w:id="21"/>
    </w:p>
    <w:p w:rsidR="007669B2" w:rsidRPr="00324AD7" w:rsidRDefault="007669B2" w:rsidP="007669B2">
      <w:pPr>
        <w:numPr>
          <w:ilvl w:val="1"/>
          <w:numId w:val="25"/>
        </w:numPr>
        <w:tabs>
          <w:tab w:val="left" w:pos="1134"/>
        </w:tabs>
        <w:ind w:left="0" w:firstLine="709"/>
        <w:jc w:val="both"/>
        <w:rPr>
          <w:sz w:val="24"/>
          <w:szCs w:val="24"/>
          <w:lang w:val="en-GB"/>
        </w:rPr>
      </w:pPr>
      <w:r w:rsidRPr="00324AD7">
        <w:rPr>
          <w:sz w:val="24"/>
          <w:szCs w:val="24"/>
          <w:lang w:val="en-GB"/>
        </w:rPr>
        <w:t>Under Contract Law agreements – service contracts and documents of accepting the work performed under the contracts by assistant auditors (auditor’s aides). The information on the contributory service shall be evidenced by a Social Insurance Card certified by the National Social Security Institute for the period prior to 31 December 2008, and for the period after 1 January 2009 – the data under Art. 5, paragraph 4 of the Social Security Code.</w:t>
      </w:r>
    </w:p>
    <w:p w:rsidR="007669B2" w:rsidRPr="00324AD7" w:rsidRDefault="007669B2" w:rsidP="007669B2">
      <w:pPr>
        <w:numPr>
          <w:ilvl w:val="1"/>
          <w:numId w:val="25"/>
        </w:numPr>
        <w:tabs>
          <w:tab w:val="left" w:pos="1134"/>
        </w:tabs>
        <w:ind w:left="0" w:firstLine="709"/>
        <w:jc w:val="both"/>
        <w:rPr>
          <w:sz w:val="24"/>
          <w:szCs w:val="24"/>
          <w:lang w:val="en-GB"/>
        </w:rPr>
      </w:pPr>
      <w:r w:rsidRPr="00324AD7">
        <w:rPr>
          <w:sz w:val="24"/>
          <w:szCs w:val="24"/>
          <w:lang w:val="en-GB"/>
        </w:rPr>
        <w:t>Under Management Contracts – management agreements of a managing director, agreements on the provision of audit and related services. The information on the contributory service shall be evidenced by a Social Insurance Card certified by the National Social Security Institute for the period prior to 31 December 2008, and for the period after 1 January 2009 – the data under Art. 5, paragraph 4 of the Social Security Code.</w:t>
      </w:r>
    </w:p>
    <w:p w:rsidR="007669B2" w:rsidRPr="00324AD7" w:rsidRDefault="007669B2" w:rsidP="007669B2">
      <w:pPr>
        <w:numPr>
          <w:ilvl w:val="1"/>
          <w:numId w:val="25"/>
        </w:numPr>
        <w:tabs>
          <w:tab w:val="left" w:pos="1134"/>
        </w:tabs>
        <w:ind w:left="0" w:firstLine="709"/>
        <w:jc w:val="both"/>
        <w:rPr>
          <w:sz w:val="24"/>
          <w:szCs w:val="24"/>
          <w:lang w:val="en-GB"/>
        </w:rPr>
      </w:pPr>
      <w:r w:rsidRPr="00324AD7">
        <w:rPr>
          <w:sz w:val="24"/>
          <w:szCs w:val="24"/>
          <w:lang w:val="en-GB"/>
        </w:rPr>
        <w:t>A certificate and a certified auditor’s card (as per the template approved by CPOSA) of a registered auditor (an audit firm or a natural person practitioner) for undergone practical training. The auditor’s card shall contain information on the particular audit engagements and the work time spent by the candidate for each of them.</w:t>
      </w:r>
    </w:p>
    <w:p w:rsidR="007669B2" w:rsidRPr="00324AD7" w:rsidRDefault="007669B2" w:rsidP="007669B2">
      <w:pPr>
        <w:jc w:val="both"/>
        <w:rPr>
          <w:sz w:val="24"/>
          <w:szCs w:val="24"/>
          <w:lang w:val="en-GB"/>
        </w:rPr>
      </w:pPr>
    </w:p>
    <w:p w:rsidR="003E2A1B" w:rsidRPr="00324AD7" w:rsidRDefault="003E2A1B" w:rsidP="007669B2">
      <w:pPr>
        <w:ind w:firstLine="709"/>
        <w:jc w:val="both"/>
        <w:rPr>
          <w:sz w:val="24"/>
          <w:szCs w:val="24"/>
          <w:lang w:val="en-GB"/>
        </w:rPr>
      </w:pPr>
    </w:p>
    <w:sectPr w:rsidR="003E2A1B" w:rsidRPr="00324AD7" w:rsidSect="00161397">
      <w:footerReference w:type="default" r:id="rId20"/>
      <w:headerReference w:type="first" r:id="rId21"/>
      <w:pgSz w:w="11906" w:h="16838" w:code="9"/>
      <w:pgMar w:top="1276" w:right="1133" w:bottom="1418" w:left="1276" w:header="284" w:footer="6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E1C03" w16cid:durableId="200527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A18" w:rsidRDefault="00F87A18">
      <w:r>
        <w:separator/>
      </w:r>
    </w:p>
  </w:endnote>
  <w:endnote w:type="continuationSeparator" w:id="0">
    <w:p w:rsidR="00F87A18" w:rsidRDefault="00F8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okU">
    <w:altName w:val="Courier New"/>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18" w:rsidRPr="00331956" w:rsidRDefault="00F87A18" w:rsidP="00331956">
    <w:pPr>
      <w:pStyle w:val="Footer"/>
      <w:tabs>
        <w:tab w:val="clear" w:pos="4153"/>
        <w:tab w:val="clear" w:pos="8306"/>
      </w:tabs>
      <w:jc w:val="right"/>
      <w:rPr>
        <w:lang w:val="bg-BG"/>
      </w:rPr>
    </w:pPr>
    <w:r>
      <w:rPr>
        <w:sz w:val="20"/>
        <w:lang w:val="bg-BG"/>
      </w:rPr>
      <w:t xml:space="preserve"> </w:t>
    </w:r>
    <w:r>
      <w:rPr>
        <w:sz w:val="20"/>
        <w:lang w:val="en-US"/>
      </w:rPr>
      <w:tab/>
    </w:r>
    <w:r>
      <w:rPr>
        <w:sz w:val="20"/>
        <w:lang w:val="en-US"/>
      </w:rPr>
      <w:tab/>
    </w:r>
    <w:r>
      <w:rPr>
        <w:rStyle w:val="PageNumber"/>
      </w:rPr>
      <w:fldChar w:fldCharType="begin"/>
    </w:r>
    <w:r>
      <w:rPr>
        <w:rStyle w:val="PageNumber"/>
      </w:rPr>
      <w:instrText xml:space="preserve"> PAGE </w:instrText>
    </w:r>
    <w:r>
      <w:rPr>
        <w:rStyle w:val="PageNumber"/>
      </w:rPr>
      <w:fldChar w:fldCharType="separate"/>
    </w:r>
    <w:r w:rsidR="00A30F5C">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A18" w:rsidRDefault="00F87A18">
      <w:r>
        <w:separator/>
      </w:r>
    </w:p>
  </w:footnote>
  <w:footnote w:type="continuationSeparator" w:id="0">
    <w:p w:rsidR="00F87A18" w:rsidRDefault="00F8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18" w:rsidRDefault="00F87A18" w:rsidP="00662B82">
    <w:pPr>
      <w:ind w:left="709"/>
      <w:jc w:val="center"/>
      <w:rPr>
        <w:rFonts w:ascii="TimokU" w:hAnsi="TimokU"/>
        <w:b/>
        <w:caps/>
        <w:sz w:val="22"/>
        <w:lang w:val="bg-BG"/>
      </w:rPr>
    </w:pPr>
    <w:r>
      <w:rPr>
        <w:rFonts w:ascii="TimokU" w:hAnsi="TimokU"/>
        <w:b/>
        <w:caps/>
        <w:noProof/>
        <w:sz w:val="22"/>
        <w:lang w:val="en-US" w:eastAsia="en-US"/>
      </w:rPr>
      <w:drawing>
        <wp:anchor distT="0" distB="0" distL="114300" distR="114300" simplePos="0" relativeHeight="251659264" behindDoc="1" locked="0" layoutInCell="1" allowOverlap="1">
          <wp:simplePos x="0" y="0"/>
          <wp:positionH relativeFrom="column">
            <wp:posOffset>-161925</wp:posOffset>
          </wp:positionH>
          <wp:positionV relativeFrom="paragraph">
            <wp:posOffset>165100</wp:posOffset>
          </wp:positionV>
          <wp:extent cx="1263015" cy="447675"/>
          <wp:effectExtent l="0" t="0" r="0" b="9525"/>
          <wp:wrapTight wrapText="bothSides">
            <wp:wrapPolygon edited="0">
              <wp:start x="0" y="0"/>
              <wp:lineTo x="0" y="21140"/>
              <wp:lineTo x="21176" y="21140"/>
              <wp:lineTo x="21176" y="0"/>
              <wp:lineTo x="0" y="0"/>
            </wp:wrapPolygon>
          </wp:wrapTight>
          <wp:docPr id="2" name="Picture 2" descr="CPOSA_Logo_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SA_Logo_Lit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447675"/>
                  </a:xfrm>
                  <a:prstGeom prst="rect">
                    <a:avLst/>
                  </a:prstGeom>
                  <a:noFill/>
                  <a:ln>
                    <a:noFill/>
                  </a:ln>
                </pic:spPr>
              </pic:pic>
            </a:graphicData>
          </a:graphic>
        </wp:anchor>
      </w:drawing>
    </w:r>
  </w:p>
  <w:p w:rsidR="00F87A18" w:rsidRDefault="00F87A18" w:rsidP="004E3E2D">
    <w:pPr>
      <w:pStyle w:val="Caption"/>
      <w:ind w:left="1134"/>
    </w:pPr>
    <w:r w:rsidRPr="00365EF7">
      <w:t xml:space="preserve"> </w:t>
    </w:r>
    <w:r>
      <w:rPr>
        <w:lang w:val="en-US"/>
      </w:rPr>
      <w:t>the republic of bulgaria</w:t>
    </w:r>
  </w:p>
  <w:p w:rsidR="00F87A18" w:rsidRPr="004126F5" w:rsidRDefault="00F87A18" w:rsidP="004E3E2D">
    <w:pPr>
      <w:pStyle w:val="BodyTextIndent"/>
      <w:spacing w:before="20"/>
      <w:ind w:left="1134" w:firstLine="0"/>
      <w:jc w:val="center"/>
      <w:rPr>
        <w:b/>
        <w:caps/>
        <w:spacing w:val="40"/>
        <w:szCs w:val="24"/>
        <w:lang w:val="ru-RU"/>
      </w:rPr>
    </w:pPr>
    <w:r>
      <w:rPr>
        <w:rFonts w:cs="Arial"/>
        <w:b/>
        <w:caps/>
        <w:color w:val="000000"/>
        <w:spacing w:val="40"/>
        <w:szCs w:val="24"/>
        <w:lang w:val="en-US"/>
      </w:rPr>
      <w:t>commission for public oversight of statutory auditors</w:t>
    </w:r>
  </w:p>
  <w:p w:rsidR="00F87A18" w:rsidRPr="004126F5" w:rsidRDefault="00F87A18" w:rsidP="004E3E2D">
    <w:pPr>
      <w:pStyle w:val="Caption"/>
      <w:ind w:left="1134"/>
      <w:rPr>
        <w:b w:val="0"/>
        <w:caps w:val="0"/>
        <w:spacing w:val="40"/>
        <w:szCs w:val="24"/>
        <w:lang w:val="ru-RU"/>
      </w:rPr>
    </w:pPr>
  </w:p>
  <w:p w:rsidR="00F87A18" w:rsidRPr="00905A7B" w:rsidRDefault="00F87A18" w:rsidP="00662B82">
    <w:pPr>
      <w:tabs>
        <w:tab w:val="left" w:pos="7140"/>
      </w:tabs>
      <w:ind w:left="709"/>
      <w:jc w:val="center"/>
      <w:rPr>
        <w:b/>
        <w:lang w:val="ru-RU"/>
      </w:rPr>
    </w:pPr>
    <w:r>
      <w:rPr>
        <w:b/>
        <w:lang w:val="en-US"/>
      </w:rPr>
      <w:t>22, Serdika Street</w:t>
    </w:r>
    <w:r w:rsidRPr="00905A7B">
      <w:rPr>
        <w:b/>
        <w:lang w:val="ru-RU"/>
      </w:rPr>
      <w:t xml:space="preserve">, 1000 </w:t>
    </w:r>
    <w:r>
      <w:rPr>
        <w:b/>
        <w:lang w:val="en-US"/>
      </w:rPr>
      <w:t>Sofia</w:t>
    </w:r>
    <w:r w:rsidRPr="00905A7B">
      <w:rPr>
        <w:b/>
        <w:lang w:val="ru-RU"/>
      </w:rPr>
      <w:t xml:space="preserve">, </w:t>
    </w:r>
    <w:r>
      <w:rPr>
        <w:b/>
        <w:lang w:val="en-US"/>
      </w:rPr>
      <w:t>tel</w:t>
    </w:r>
    <w:r w:rsidRPr="00905A7B">
      <w:rPr>
        <w:b/>
        <w:lang w:val="ru-RU"/>
      </w:rPr>
      <w:t xml:space="preserve">: 9835539; </w:t>
    </w:r>
    <w:r>
      <w:rPr>
        <w:b/>
        <w:lang w:val="en-US"/>
      </w:rPr>
      <w:t>fax</w:t>
    </w:r>
    <w:r w:rsidRPr="00905A7B">
      <w:rPr>
        <w:b/>
        <w:lang w:val="ru-RU"/>
      </w:rPr>
      <w:t>: 9831385</w:t>
    </w:r>
  </w:p>
  <w:p w:rsidR="00F87A18" w:rsidRPr="00662B82" w:rsidRDefault="00F87A18" w:rsidP="00662B82">
    <w:pPr>
      <w:tabs>
        <w:tab w:val="left" w:pos="7140"/>
      </w:tabs>
      <w:ind w:left="709"/>
      <w:jc w:val="center"/>
      <w:rPr>
        <w:b/>
        <w:lang w:val="en-US"/>
      </w:rPr>
    </w:pPr>
    <w:r>
      <w:rPr>
        <w:b/>
      </w:rPr>
      <w:t>e-</w:t>
    </w:r>
    <w:r>
      <w:rPr>
        <w:b/>
        <w:lang w:val="en-US"/>
      </w:rPr>
      <w:t>mail: office@cposa.bg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6A68"/>
    <w:multiLevelType w:val="hybridMultilevel"/>
    <w:tmpl w:val="E1180D80"/>
    <w:lvl w:ilvl="0" w:tplc="2D1E4442">
      <w:start w:val="1"/>
      <w:numFmt w:val="decimal"/>
      <w:lvlText w:val="%1."/>
      <w:lvlJc w:val="left"/>
      <w:pPr>
        <w:ind w:left="1778"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
    <w:nsid w:val="106C4238"/>
    <w:multiLevelType w:val="hybridMultilevel"/>
    <w:tmpl w:val="628E7776"/>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120C1293"/>
    <w:multiLevelType w:val="hybridMultilevel"/>
    <w:tmpl w:val="922654DA"/>
    <w:lvl w:ilvl="0" w:tplc="BE344AAA">
      <w:start w:val="1"/>
      <w:numFmt w:val="decimal"/>
      <w:lvlText w:val="%1."/>
      <w:lvlJc w:val="left"/>
      <w:pPr>
        <w:ind w:left="720"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3CE7185"/>
    <w:multiLevelType w:val="hybridMultilevel"/>
    <w:tmpl w:val="07CA0B5C"/>
    <w:lvl w:ilvl="0" w:tplc="02E69716">
      <w:start w:val="1"/>
      <w:numFmt w:val="decimal"/>
      <w:lvlText w:val="%1."/>
      <w:lvlJc w:val="left"/>
      <w:pPr>
        <w:ind w:left="1429" w:hanging="360"/>
      </w:pPr>
      <w:rPr>
        <w:rFonts w:ascii="Times New Roman" w:eastAsia="Calibri" w:hAnsi="Times New Roman" w:cs="Times New Roman"/>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17D6101C"/>
    <w:multiLevelType w:val="multilevel"/>
    <w:tmpl w:val="DEC251E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9AB5CC1"/>
    <w:multiLevelType w:val="hybridMultilevel"/>
    <w:tmpl w:val="E3167D1C"/>
    <w:lvl w:ilvl="0" w:tplc="2D1E444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19F0526E"/>
    <w:multiLevelType w:val="hybridMultilevel"/>
    <w:tmpl w:val="E8989782"/>
    <w:lvl w:ilvl="0" w:tplc="C6A41418">
      <w:start w:val="1"/>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7">
    <w:nsid w:val="1D1D0ED7"/>
    <w:multiLevelType w:val="hybridMultilevel"/>
    <w:tmpl w:val="1C3219C6"/>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1F052B15"/>
    <w:multiLevelType w:val="hybridMultilevel"/>
    <w:tmpl w:val="8ADA460A"/>
    <w:lvl w:ilvl="0" w:tplc="974EF6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21FD2FFE"/>
    <w:multiLevelType w:val="hybridMultilevel"/>
    <w:tmpl w:val="74F8DAAC"/>
    <w:lvl w:ilvl="0" w:tplc="B912652A">
      <w:start w:val="1"/>
      <w:numFmt w:val="decimal"/>
      <w:lvlText w:val="%1."/>
      <w:lvlJc w:val="left"/>
      <w:pPr>
        <w:ind w:left="1084" w:hanging="360"/>
      </w:pPr>
      <w:rPr>
        <w:rFonts w:hint="default"/>
      </w:rPr>
    </w:lvl>
    <w:lvl w:ilvl="1" w:tplc="04020019" w:tentative="1">
      <w:start w:val="1"/>
      <w:numFmt w:val="lowerLetter"/>
      <w:lvlText w:val="%2."/>
      <w:lvlJc w:val="left"/>
      <w:pPr>
        <w:ind w:left="1804" w:hanging="360"/>
      </w:pPr>
    </w:lvl>
    <w:lvl w:ilvl="2" w:tplc="0402001B" w:tentative="1">
      <w:start w:val="1"/>
      <w:numFmt w:val="lowerRoman"/>
      <w:lvlText w:val="%3."/>
      <w:lvlJc w:val="right"/>
      <w:pPr>
        <w:ind w:left="2524" w:hanging="180"/>
      </w:pPr>
    </w:lvl>
    <w:lvl w:ilvl="3" w:tplc="0402000F" w:tentative="1">
      <w:start w:val="1"/>
      <w:numFmt w:val="decimal"/>
      <w:lvlText w:val="%4."/>
      <w:lvlJc w:val="left"/>
      <w:pPr>
        <w:ind w:left="3244" w:hanging="360"/>
      </w:pPr>
    </w:lvl>
    <w:lvl w:ilvl="4" w:tplc="04020019" w:tentative="1">
      <w:start w:val="1"/>
      <w:numFmt w:val="lowerLetter"/>
      <w:lvlText w:val="%5."/>
      <w:lvlJc w:val="left"/>
      <w:pPr>
        <w:ind w:left="3964" w:hanging="360"/>
      </w:pPr>
    </w:lvl>
    <w:lvl w:ilvl="5" w:tplc="0402001B" w:tentative="1">
      <w:start w:val="1"/>
      <w:numFmt w:val="lowerRoman"/>
      <w:lvlText w:val="%6."/>
      <w:lvlJc w:val="right"/>
      <w:pPr>
        <w:ind w:left="4684" w:hanging="180"/>
      </w:pPr>
    </w:lvl>
    <w:lvl w:ilvl="6" w:tplc="0402000F" w:tentative="1">
      <w:start w:val="1"/>
      <w:numFmt w:val="decimal"/>
      <w:lvlText w:val="%7."/>
      <w:lvlJc w:val="left"/>
      <w:pPr>
        <w:ind w:left="5404" w:hanging="360"/>
      </w:pPr>
    </w:lvl>
    <w:lvl w:ilvl="7" w:tplc="04020019" w:tentative="1">
      <w:start w:val="1"/>
      <w:numFmt w:val="lowerLetter"/>
      <w:lvlText w:val="%8."/>
      <w:lvlJc w:val="left"/>
      <w:pPr>
        <w:ind w:left="6124" w:hanging="360"/>
      </w:pPr>
    </w:lvl>
    <w:lvl w:ilvl="8" w:tplc="0402001B" w:tentative="1">
      <w:start w:val="1"/>
      <w:numFmt w:val="lowerRoman"/>
      <w:lvlText w:val="%9."/>
      <w:lvlJc w:val="right"/>
      <w:pPr>
        <w:ind w:left="6844" w:hanging="180"/>
      </w:pPr>
    </w:lvl>
  </w:abstractNum>
  <w:abstractNum w:abstractNumId="10">
    <w:nsid w:val="245E737C"/>
    <w:multiLevelType w:val="hybridMultilevel"/>
    <w:tmpl w:val="F3F47DBE"/>
    <w:lvl w:ilvl="0" w:tplc="C9CE78F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248E07EE"/>
    <w:multiLevelType w:val="hybridMultilevel"/>
    <w:tmpl w:val="C850314A"/>
    <w:lvl w:ilvl="0" w:tplc="0402000F">
      <w:start w:val="1"/>
      <w:numFmt w:val="decimal"/>
      <w:lvlText w:val="%1."/>
      <w:lvlJc w:val="lef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2">
    <w:nsid w:val="2B132442"/>
    <w:multiLevelType w:val="hybridMultilevel"/>
    <w:tmpl w:val="8CDEB4E8"/>
    <w:lvl w:ilvl="0" w:tplc="B7E0A1D4">
      <w:start w:val="1"/>
      <w:numFmt w:val="decimal"/>
      <w:lvlText w:val="%1."/>
      <w:lvlJc w:val="left"/>
      <w:pPr>
        <w:ind w:left="1789" w:hanging="360"/>
      </w:pPr>
      <w:rPr>
        <w:rFonts w:hint="default"/>
      </w:rPr>
    </w:lvl>
    <w:lvl w:ilvl="1" w:tplc="99A4D834">
      <w:start w:val="2"/>
      <w:numFmt w:val="bullet"/>
      <w:lvlText w:val="-"/>
      <w:lvlJc w:val="left"/>
      <w:pPr>
        <w:ind w:left="2509" w:hanging="360"/>
      </w:pPr>
      <w:rPr>
        <w:rFonts w:ascii="Times New Roman" w:eastAsia="Calibri" w:hAnsi="Times New Roman" w:cs="Times New Roman" w:hint="default"/>
      </w:r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13">
    <w:nsid w:val="2B7B4A60"/>
    <w:multiLevelType w:val="hybridMultilevel"/>
    <w:tmpl w:val="E1180D80"/>
    <w:lvl w:ilvl="0" w:tplc="2D1E4442">
      <w:start w:val="1"/>
      <w:numFmt w:val="decimal"/>
      <w:lvlText w:val="%1."/>
      <w:lvlJc w:val="left"/>
      <w:pPr>
        <w:ind w:left="1778"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4">
    <w:nsid w:val="2C7C43E8"/>
    <w:multiLevelType w:val="hybridMultilevel"/>
    <w:tmpl w:val="E3167D1C"/>
    <w:lvl w:ilvl="0" w:tplc="2D1E444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nsid w:val="2DEC7BD8"/>
    <w:multiLevelType w:val="hybridMultilevel"/>
    <w:tmpl w:val="922654DA"/>
    <w:lvl w:ilvl="0" w:tplc="BE344AAA">
      <w:start w:val="1"/>
      <w:numFmt w:val="decimal"/>
      <w:lvlText w:val="%1."/>
      <w:lvlJc w:val="left"/>
      <w:pPr>
        <w:ind w:left="928" w:hanging="360"/>
      </w:pPr>
      <w:rPr>
        <w:rFonts w:hint="default"/>
        <w:b w:val="0"/>
        <w:color w:val="auto"/>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6">
    <w:nsid w:val="309E56FF"/>
    <w:multiLevelType w:val="hybridMultilevel"/>
    <w:tmpl w:val="07CA0B5C"/>
    <w:lvl w:ilvl="0" w:tplc="02E69716">
      <w:start w:val="1"/>
      <w:numFmt w:val="decimal"/>
      <w:lvlText w:val="%1."/>
      <w:lvlJc w:val="left"/>
      <w:pPr>
        <w:ind w:left="1429" w:hanging="360"/>
      </w:pPr>
      <w:rPr>
        <w:rFonts w:ascii="Times New Roman" w:eastAsia="Calibri" w:hAnsi="Times New Roman" w:cs="Times New Roman"/>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375C7F1B"/>
    <w:multiLevelType w:val="hybridMultilevel"/>
    <w:tmpl w:val="08283A0C"/>
    <w:lvl w:ilvl="0" w:tplc="B912652A">
      <w:start w:val="1"/>
      <w:numFmt w:val="decimal"/>
      <w:lvlText w:val="%1."/>
      <w:lvlJc w:val="left"/>
      <w:pPr>
        <w:ind w:left="2502" w:hanging="360"/>
      </w:pPr>
      <w:rPr>
        <w:rFonts w:hint="default"/>
      </w:r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18">
    <w:nsid w:val="37F86442"/>
    <w:multiLevelType w:val="hybridMultilevel"/>
    <w:tmpl w:val="8CDEB4E8"/>
    <w:lvl w:ilvl="0" w:tplc="B7E0A1D4">
      <w:start w:val="1"/>
      <w:numFmt w:val="decimal"/>
      <w:lvlText w:val="%1."/>
      <w:lvlJc w:val="left"/>
      <w:pPr>
        <w:ind w:left="1789" w:hanging="360"/>
      </w:pPr>
      <w:rPr>
        <w:rFonts w:hint="default"/>
      </w:rPr>
    </w:lvl>
    <w:lvl w:ilvl="1" w:tplc="99A4D834">
      <w:start w:val="2"/>
      <w:numFmt w:val="bullet"/>
      <w:lvlText w:val="-"/>
      <w:lvlJc w:val="left"/>
      <w:pPr>
        <w:ind w:left="2509" w:hanging="360"/>
      </w:pPr>
      <w:rPr>
        <w:rFonts w:ascii="Times New Roman" w:eastAsia="Calibri" w:hAnsi="Times New Roman" w:cs="Times New Roman" w:hint="default"/>
      </w:r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19">
    <w:nsid w:val="3C8D39D5"/>
    <w:multiLevelType w:val="hybridMultilevel"/>
    <w:tmpl w:val="74F8DAAC"/>
    <w:lvl w:ilvl="0" w:tplc="B912652A">
      <w:start w:val="1"/>
      <w:numFmt w:val="decimal"/>
      <w:lvlText w:val="%1."/>
      <w:lvlJc w:val="left"/>
      <w:pPr>
        <w:ind w:left="1084" w:hanging="360"/>
      </w:pPr>
      <w:rPr>
        <w:rFonts w:hint="default"/>
      </w:rPr>
    </w:lvl>
    <w:lvl w:ilvl="1" w:tplc="04020019" w:tentative="1">
      <w:start w:val="1"/>
      <w:numFmt w:val="lowerLetter"/>
      <w:lvlText w:val="%2."/>
      <w:lvlJc w:val="left"/>
      <w:pPr>
        <w:ind w:left="1804" w:hanging="360"/>
      </w:pPr>
    </w:lvl>
    <w:lvl w:ilvl="2" w:tplc="0402001B" w:tentative="1">
      <w:start w:val="1"/>
      <w:numFmt w:val="lowerRoman"/>
      <w:lvlText w:val="%3."/>
      <w:lvlJc w:val="right"/>
      <w:pPr>
        <w:ind w:left="2524" w:hanging="180"/>
      </w:pPr>
    </w:lvl>
    <w:lvl w:ilvl="3" w:tplc="0402000F" w:tentative="1">
      <w:start w:val="1"/>
      <w:numFmt w:val="decimal"/>
      <w:lvlText w:val="%4."/>
      <w:lvlJc w:val="left"/>
      <w:pPr>
        <w:ind w:left="3244" w:hanging="360"/>
      </w:pPr>
    </w:lvl>
    <w:lvl w:ilvl="4" w:tplc="04020019" w:tentative="1">
      <w:start w:val="1"/>
      <w:numFmt w:val="lowerLetter"/>
      <w:lvlText w:val="%5."/>
      <w:lvlJc w:val="left"/>
      <w:pPr>
        <w:ind w:left="3964" w:hanging="360"/>
      </w:pPr>
    </w:lvl>
    <w:lvl w:ilvl="5" w:tplc="0402001B" w:tentative="1">
      <w:start w:val="1"/>
      <w:numFmt w:val="lowerRoman"/>
      <w:lvlText w:val="%6."/>
      <w:lvlJc w:val="right"/>
      <w:pPr>
        <w:ind w:left="4684" w:hanging="180"/>
      </w:pPr>
    </w:lvl>
    <w:lvl w:ilvl="6" w:tplc="0402000F" w:tentative="1">
      <w:start w:val="1"/>
      <w:numFmt w:val="decimal"/>
      <w:lvlText w:val="%7."/>
      <w:lvlJc w:val="left"/>
      <w:pPr>
        <w:ind w:left="5404" w:hanging="360"/>
      </w:pPr>
    </w:lvl>
    <w:lvl w:ilvl="7" w:tplc="04020019" w:tentative="1">
      <w:start w:val="1"/>
      <w:numFmt w:val="lowerLetter"/>
      <w:lvlText w:val="%8."/>
      <w:lvlJc w:val="left"/>
      <w:pPr>
        <w:ind w:left="6124" w:hanging="360"/>
      </w:pPr>
    </w:lvl>
    <w:lvl w:ilvl="8" w:tplc="0402001B" w:tentative="1">
      <w:start w:val="1"/>
      <w:numFmt w:val="lowerRoman"/>
      <w:lvlText w:val="%9."/>
      <w:lvlJc w:val="right"/>
      <w:pPr>
        <w:ind w:left="6844" w:hanging="180"/>
      </w:pPr>
    </w:lvl>
  </w:abstractNum>
  <w:abstractNum w:abstractNumId="20">
    <w:nsid w:val="41650F92"/>
    <w:multiLevelType w:val="hybridMultilevel"/>
    <w:tmpl w:val="1EB0895E"/>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nsid w:val="47ED0AD8"/>
    <w:multiLevelType w:val="hybridMultilevel"/>
    <w:tmpl w:val="508429D4"/>
    <w:lvl w:ilvl="0" w:tplc="2D1E444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4E66643D"/>
    <w:multiLevelType w:val="hybridMultilevel"/>
    <w:tmpl w:val="8C7870AA"/>
    <w:lvl w:ilvl="0" w:tplc="62AA7CA0">
      <w:start w:val="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nsid w:val="4F064EF3"/>
    <w:multiLevelType w:val="hybridMultilevel"/>
    <w:tmpl w:val="508429D4"/>
    <w:lvl w:ilvl="0" w:tplc="2D1E444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4F175ABB"/>
    <w:multiLevelType w:val="hybridMultilevel"/>
    <w:tmpl w:val="162E4750"/>
    <w:lvl w:ilvl="0" w:tplc="B7E0A1D4">
      <w:start w:val="1"/>
      <w:numFmt w:val="decimal"/>
      <w:lvlText w:val="%1."/>
      <w:lvlJc w:val="left"/>
      <w:pPr>
        <w:ind w:left="178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13059CD"/>
    <w:multiLevelType w:val="hybridMultilevel"/>
    <w:tmpl w:val="1C7ACEA0"/>
    <w:lvl w:ilvl="0" w:tplc="C6A41418">
      <w:start w:val="1"/>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26">
    <w:nsid w:val="51932DC0"/>
    <w:multiLevelType w:val="hybridMultilevel"/>
    <w:tmpl w:val="93F0F938"/>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7">
    <w:nsid w:val="59AD7FF7"/>
    <w:multiLevelType w:val="hybridMultilevel"/>
    <w:tmpl w:val="14705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BE23341"/>
    <w:multiLevelType w:val="hybridMultilevel"/>
    <w:tmpl w:val="F8628D7C"/>
    <w:lvl w:ilvl="0" w:tplc="0402000F">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9">
    <w:nsid w:val="5C5F73EC"/>
    <w:multiLevelType w:val="hybridMultilevel"/>
    <w:tmpl w:val="C850314A"/>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0">
    <w:nsid w:val="5E6C0F2B"/>
    <w:multiLevelType w:val="hybridMultilevel"/>
    <w:tmpl w:val="60C280B6"/>
    <w:lvl w:ilvl="0" w:tplc="A6E41C8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nsid w:val="5F2D0C22"/>
    <w:multiLevelType w:val="hybridMultilevel"/>
    <w:tmpl w:val="74F8DAAC"/>
    <w:lvl w:ilvl="0" w:tplc="B912652A">
      <w:start w:val="1"/>
      <w:numFmt w:val="decimal"/>
      <w:lvlText w:val="%1."/>
      <w:lvlJc w:val="left"/>
      <w:pPr>
        <w:ind w:left="1084" w:hanging="360"/>
      </w:pPr>
      <w:rPr>
        <w:rFonts w:hint="default"/>
      </w:rPr>
    </w:lvl>
    <w:lvl w:ilvl="1" w:tplc="04020019" w:tentative="1">
      <w:start w:val="1"/>
      <w:numFmt w:val="lowerLetter"/>
      <w:lvlText w:val="%2."/>
      <w:lvlJc w:val="left"/>
      <w:pPr>
        <w:ind w:left="1804" w:hanging="360"/>
      </w:pPr>
    </w:lvl>
    <w:lvl w:ilvl="2" w:tplc="0402001B" w:tentative="1">
      <w:start w:val="1"/>
      <w:numFmt w:val="lowerRoman"/>
      <w:lvlText w:val="%3."/>
      <w:lvlJc w:val="right"/>
      <w:pPr>
        <w:ind w:left="2524" w:hanging="180"/>
      </w:pPr>
    </w:lvl>
    <w:lvl w:ilvl="3" w:tplc="0402000F" w:tentative="1">
      <w:start w:val="1"/>
      <w:numFmt w:val="decimal"/>
      <w:lvlText w:val="%4."/>
      <w:lvlJc w:val="left"/>
      <w:pPr>
        <w:ind w:left="3244" w:hanging="360"/>
      </w:pPr>
    </w:lvl>
    <w:lvl w:ilvl="4" w:tplc="04020019" w:tentative="1">
      <w:start w:val="1"/>
      <w:numFmt w:val="lowerLetter"/>
      <w:lvlText w:val="%5."/>
      <w:lvlJc w:val="left"/>
      <w:pPr>
        <w:ind w:left="3964" w:hanging="360"/>
      </w:pPr>
    </w:lvl>
    <w:lvl w:ilvl="5" w:tplc="0402001B" w:tentative="1">
      <w:start w:val="1"/>
      <w:numFmt w:val="lowerRoman"/>
      <w:lvlText w:val="%6."/>
      <w:lvlJc w:val="right"/>
      <w:pPr>
        <w:ind w:left="4684" w:hanging="180"/>
      </w:pPr>
    </w:lvl>
    <w:lvl w:ilvl="6" w:tplc="0402000F" w:tentative="1">
      <w:start w:val="1"/>
      <w:numFmt w:val="decimal"/>
      <w:lvlText w:val="%7."/>
      <w:lvlJc w:val="left"/>
      <w:pPr>
        <w:ind w:left="5404" w:hanging="360"/>
      </w:pPr>
    </w:lvl>
    <w:lvl w:ilvl="7" w:tplc="04020019" w:tentative="1">
      <w:start w:val="1"/>
      <w:numFmt w:val="lowerLetter"/>
      <w:lvlText w:val="%8."/>
      <w:lvlJc w:val="left"/>
      <w:pPr>
        <w:ind w:left="6124" w:hanging="360"/>
      </w:pPr>
    </w:lvl>
    <w:lvl w:ilvl="8" w:tplc="0402001B" w:tentative="1">
      <w:start w:val="1"/>
      <w:numFmt w:val="lowerRoman"/>
      <w:lvlText w:val="%9."/>
      <w:lvlJc w:val="right"/>
      <w:pPr>
        <w:ind w:left="6844" w:hanging="180"/>
      </w:pPr>
    </w:lvl>
  </w:abstractNum>
  <w:abstractNum w:abstractNumId="32">
    <w:nsid w:val="75324E16"/>
    <w:multiLevelType w:val="hybridMultilevel"/>
    <w:tmpl w:val="491E81FA"/>
    <w:lvl w:ilvl="0" w:tplc="6C64B72E">
      <w:start w:val="2"/>
      <w:numFmt w:val="decimal"/>
      <w:lvlText w:val="(%1)"/>
      <w:lvlJc w:val="left"/>
      <w:pPr>
        <w:tabs>
          <w:tab w:val="num" w:pos="1050"/>
        </w:tabs>
        <w:ind w:left="1050" w:hanging="450"/>
      </w:pPr>
      <w:rPr>
        <w:rFonts w:hint="default"/>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abstractNum w:abstractNumId="33">
    <w:nsid w:val="761313FC"/>
    <w:multiLevelType w:val="hybridMultilevel"/>
    <w:tmpl w:val="1C7ACEA0"/>
    <w:lvl w:ilvl="0" w:tplc="C6A41418">
      <w:start w:val="1"/>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34">
    <w:nsid w:val="767005C0"/>
    <w:multiLevelType w:val="hybridMultilevel"/>
    <w:tmpl w:val="4AEA5AD6"/>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5">
    <w:nsid w:val="78274CD2"/>
    <w:multiLevelType w:val="hybridMultilevel"/>
    <w:tmpl w:val="E3167D1C"/>
    <w:lvl w:ilvl="0" w:tplc="2D1E444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nsid w:val="782A39EB"/>
    <w:multiLevelType w:val="hybridMultilevel"/>
    <w:tmpl w:val="7312F636"/>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7">
    <w:nsid w:val="79503543"/>
    <w:multiLevelType w:val="hybridMultilevel"/>
    <w:tmpl w:val="F8628D7C"/>
    <w:lvl w:ilvl="0" w:tplc="0402000F">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79F738AB"/>
    <w:multiLevelType w:val="hybridMultilevel"/>
    <w:tmpl w:val="07CA0B5C"/>
    <w:lvl w:ilvl="0" w:tplc="02E69716">
      <w:start w:val="1"/>
      <w:numFmt w:val="decimal"/>
      <w:lvlText w:val="%1."/>
      <w:lvlJc w:val="left"/>
      <w:pPr>
        <w:ind w:left="1429" w:hanging="360"/>
      </w:pPr>
      <w:rPr>
        <w:rFonts w:ascii="Times New Roman" w:eastAsia="Calibri" w:hAnsi="Times New Roman" w:cs="Times New Roman"/>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nsid w:val="7B2A3EB5"/>
    <w:multiLevelType w:val="hybridMultilevel"/>
    <w:tmpl w:val="60C280B6"/>
    <w:lvl w:ilvl="0" w:tplc="A6E41C8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0">
    <w:nsid w:val="7C4A6A43"/>
    <w:multiLevelType w:val="hybridMultilevel"/>
    <w:tmpl w:val="74F8DAAC"/>
    <w:lvl w:ilvl="0" w:tplc="B912652A">
      <w:start w:val="1"/>
      <w:numFmt w:val="decimal"/>
      <w:lvlText w:val="%1."/>
      <w:lvlJc w:val="left"/>
      <w:pPr>
        <w:ind w:left="1084" w:hanging="360"/>
      </w:pPr>
      <w:rPr>
        <w:rFonts w:hint="default"/>
      </w:rPr>
    </w:lvl>
    <w:lvl w:ilvl="1" w:tplc="04020019" w:tentative="1">
      <w:start w:val="1"/>
      <w:numFmt w:val="lowerLetter"/>
      <w:lvlText w:val="%2."/>
      <w:lvlJc w:val="left"/>
      <w:pPr>
        <w:ind w:left="1804" w:hanging="360"/>
      </w:pPr>
    </w:lvl>
    <w:lvl w:ilvl="2" w:tplc="0402001B" w:tentative="1">
      <w:start w:val="1"/>
      <w:numFmt w:val="lowerRoman"/>
      <w:lvlText w:val="%3."/>
      <w:lvlJc w:val="right"/>
      <w:pPr>
        <w:ind w:left="2524" w:hanging="180"/>
      </w:pPr>
    </w:lvl>
    <w:lvl w:ilvl="3" w:tplc="0402000F" w:tentative="1">
      <w:start w:val="1"/>
      <w:numFmt w:val="decimal"/>
      <w:lvlText w:val="%4."/>
      <w:lvlJc w:val="left"/>
      <w:pPr>
        <w:ind w:left="3244" w:hanging="360"/>
      </w:pPr>
    </w:lvl>
    <w:lvl w:ilvl="4" w:tplc="04020019" w:tentative="1">
      <w:start w:val="1"/>
      <w:numFmt w:val="lowerLetter"/>
      <w:lvlText w:val="%5."/>
      <w:lvlJc w:val="left"/>
      <w:pPr>
        <w:ind w:left="3964" w:hanging="360"/>
      </w:pPr>
    </w:lvl>
    <w:lvl w:ilvl="5" w:tplc="0402001B" w:tentative="1">
      <w:start w:val="1"/>
      <w:numFmt w:val="lowerRoman"/>
      <w:lvlText w:val="%6."/>
      <w:lvlJc w:val="right"/>
      <w:pPr>
        <w:ind w:left="4684" w:hanging="180"/>
      </w:pPr>
    </w:lvl>
    <w:lvl w:ilvl="6" w:tplc="0402000F" w:tentative="1">
      <w:start w:val="1"/>
      <w:numFmt w:val="decimal"/>
      <w:lvlText w:val="%7."/>
      <w:lvlJc w:val="left"/>
      <w:pPr>
        <w:ind w:left="5404" w:hanging="360"/>
      </w:pPr>
    </w:lvl>
    <w:lvl w:ilvl="7" w:tplc="04020019" w:tentative="1">
      <w:start w:val="1"/>
      <w:numFmt w:val="lowerLetter"/>
      <w:lvlText w:val="%8."/>
      <w:lvlJc w:val="left"/>
      <w:pPr>
        <w:ind w:left="6124" w:hanging="360"/>
      </w:pPr>
    </w:lvl>
    <w:lvl w:ilvl="8" w:tplc="0402001B" w:tentative="1">
      <w:start w:val="1"/>
      <w:numFmt w:val="lowerRoman"/>
      <w:lvlText w:val="%9."/>
      <w:lvlJc w:val="right"/>
      <w:pPr>
        <w:ind w:left="6844" w:hanging="180"/>
      </w:pPr>
    </w:lvl>
  </w:abstractNum>
  <w:num w:numId="1">
    <w:abstractNumId w:val="32"/>
  </w:num>
  <w:num w:numId="2">
    <w:abstractNumId w:val="3"/>
  </w:num>
  <w:num w:numId="3">
    <w:abstractNumId w:val="16"/>
  </w:num>
  <w:num w:numId="4">
    <w:abstractNumId w:val="7"/>
  </w:num>
  <w:num w:numId="5">
    <w:abstractNumId w:val="26"/>
  </w:num>
  <w:num w:numId="6">
    <w:abstractNumId w:val="36"/>
  </w:num>
  <w:num w:numId="7">
    <w:abstractNumId w:val="2"/>
  </w:num>
  <w:num w:numId="8">
    <w:abstractNumId w:val="15"/>
  </w:num>
  <w:num w:numId="9">
    <w:abstractNumId w:val="20"/>
  </w:num>
  <w:num w:numId="10">
    <w:abstractNumId w:val="34"/>
  </w:num>
  <w:num w:numId="11">
    <w:abstractNumId w:val="12"/>
  </w:num>
  <w:num w:numId="12">
    <w:abstractNumId w:val="22"/>
  </w:num>
  <w:num w:numId="13">
    <w:abstractNumId w:val="23"/>
  </w:num>
  <w:num w:numId="14">
    <w:abstractNumId w:val="35"/>
  </w:num>
  <w:num w:numId="15">
    <w:abstractNumId w:val="37"/>
  </w:num>
  <w:num w:numId="16">
    <w:abstractNumId w:val="14"/>
  </w:num>
  <w:num w:numId="17">
    <w:abstractNumId w:val="5"/>
  </w:num>
  <w:num w:numId="18">
    <w:abstractNumId w:val="0"/>
  </w:num>
  <w:num w:numId="19">
    <w:abstractNumId w:val="13"/>
  </w:num>
  <w:num w:numId="20">
    <w:abstractNumId w:val="21"/>
  </w:num>
  <w:num w:numId="21">
    <w:abstractNumId w:val="18"/>
  </w:num>
  <w:num w:numId="22">
    <w:abstractNumId w:val="24"/>
  </w:num>
  <w:num w:numId="23">
    <w:abstractNumId w:val="39"/>
  </w:num>
  <w:num w:numId="24">
    <w:abstractNumId w:val="10"/>
  </w:num>
  <w:num w:numId="25">
    <w:abstractNumId w:val="4"/>
  </w:num>
  <w:num w:numId="26">
    <w:abstractNumId w:val="8"/>
  </w:num>
  <w:num w:numId="27">
    <w:abstractNumId w:val="30"/>
  </w:num>
  <w:num w:numId="28">
    <w:abstractNumId w:val="27"/>
  </w:num>
  <w:num w:numId="29">
    <w:abstractNumId w:val="38"/>
  </w:num>
  <w:num w:numId="30">
    <w:abstractNumId w:val="28"/>
  </w:num>
  <w:num w:numId="31">
    <w:abstractNumId w:val="11"/>
  </w:num>
  <w:num w:numId="32">
    <w:abstractNumId w:val="29"/>
  </w:num>
  <w:num w:numId="33">
    <w:abstractNumId w:val="1"/>
  </w:num>
  <w:num w:numId="34">
    <w:abstractNumId w:val="31"/>
  </w:num>
  <w:num w:numId="35">
    <w:abstractNumId w:val="40"/>
  </w:num>
  <w:num w:numId="36">
    <w:abstractNumId w:val="9"/>
  </w:num>
  <w:num w:numId="37">
    <w:abstractNumId w:val="19"/>
  </w:num>
  <w:num w:numId="38">
    <w:abstractNumId w:val="17"/>
  </w:num>
  <w:num w:numId="39">
    <w:abstractNumId w:val="33"/>
  </w:num>
  <w:num w:numId="40">
    <w:abstractNumId w:val="25"/>
  </w:num>
  <w:num w:numId="4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1148F5"/>
    <w:rsid w:val="0000045F"/>
    <w:rsid w:val="00006711"/>
    <w:rsid w:val="0001026B"/>
    <w:rsid w:val="00013B20"/>
    <w:rsid w:val="0002113F"/>
    <w:rsid w:val="0002565D"/>
    <w:rsid w:val="000358D3"/>
    <w:rsid w:val="00037D01"/>
    <w:rsid w:val="000403CC"/>
    <w:rsid w:val="00041D02"/>
    <w:rsid w:val="000420CF"/>
    <w:rsid w:val="0005270A"/>
    <w:rsid w:val="00056FCC"/>
    <w:rsid w:val="00066011"/>
    <w:rsid w:val="0006695B"/>
    <w:rsid w:val="00070B20"/>
    <w:rsid w:val="00074624"/>
    <w:rsid w:val="00086126"/>
    <w:rsid w:val="000901B9"/>
    <w:rsid w:val="00090BF7"/>
    <w:rsid w:val="000944E3"/>
    <w:rsid w:val="00095C0C"/>
    <w:rsid w:val="000A6E41"/>
    <w:rsid w:val="000B09B6"/>
    <w:rsid w:val="000B1F97"/>
    <w:rsid w:val="000B2BD0"/>
    <w:rsid w:val="000B5951"/>
    <w:rsid w:val="000C5BFD"/>
    <w:rsid w:val="000D1CD8"/>
    <w:rsid w:val="000D432B"/>
    <w:rsid w:val="000D5E9B"/>
    <w:rsid w:val="000E12E1"/>
    <w:rsid w:val="000E1EA0"/>
    <w:rsid w:val="000F0481"/>
    <w:rsid w:val="000F0719"/>
    <w:rsid w:val="000F0CF8"/>
    <w:rsid w:val="000F7058"/>
    <w:rsid w:val="000F7A0F"/>
    <w:rsid w:val="000F7F7D"/>
    <w:rsid w:val="001025DF"/>
    <w:rsid w:val="0010419F"/>
    <w:rsid w:val="001148F5"/>
    <w:rsid w:val="0011738F"/>
    <w:rsid w:val="001207B4"/>
    <w:rsid w:val="00127078"/>
    <w:rsid w:val="00132AE5"/>
    <w:rsid w:val="00134867"/>
    <w:rsid w:val="00145653"/>
    <w:rsid w:val="00161397"/>
    <w:rsid w:val="00164932"/>
    <w:rsid w:val="0016552F"/>
    <w:rsid w:val="0016671B"/>
    <w:rsid w:val="0017169D"/>
    <w:rsid w:val="001800FC"/>
    <w:rsid w:val="001810EA"/>
    <w:rsid w:val="0018350C"/>
    <w:rsid w:val="00185760"/>
    <w:rsid w:val="00194E92"/>
    <w:rsid w:val="00195157"/>
    <w:rsid w:val="0019516F"/>
    <w:rsid w:val="001A6F6F"/>
    <w:rsid w:val="001B51BB"/>
    <w:rsid w:val="001D0E4B"/>
    <w:rsid w:val="001D214E"/>
    <w:rsid w:val="001D3BEB"/>
    <w:rsid w:val="001F1AC2"/>
    <w:rsid w:val="001F4D93"/>
    <w:rsid w:val="001F620A"/>
    <w:rsid w:val="002042AD"/>
    <w:rsid w:val="00204733"/>
    <w:rsid w:val="0020481A"/>
    <w:rsid w:val="0020720F"/>
    <w:rsid w:val="0020732F"/>
    <w:rsid w:val="0021094B"/>
    <w:rsid w:val="00210C57"/>
    <w:rsid w:val="0022463F"/>
    <w:rsid w:val="00227218"/>
    <w:rsid w:val="00232C03"/>
    <w:rsid w:val="00242217"/>
    <w:rsid w:val="002600DA"/>
    <w:rsid w:val="00266746"/>
    <w:rsid w:val="0027153B"/>
    <w:rsid w:val="00274581"/>
    <w:rsid w:val="00280162"/>
    <w:rsid w:val="0028197F"/>
    <w:rsid w:val="002823F3"/>
    <w:rsid w:val="00291286"/>
    <w:rsid w:val="00291D92"/>
    <w:rsid w:val="0029590D"/>
    <w:rsid w:val="00297E1C"/>
    <w:rsid w:val="002A1EE9"/>
    <w:rsid w:val="002B6CE4"/>
    <w:rsid w:val="002D0BF2"/>
    <w:rsid w:val="002D5CB7"/>
    <w:rsid w:val="002E02A4"/>
    <w:rsid w:val="003038CF"/>
    <w:rsid w:val="00307C34"/>
    <w:rsid w:val="00312978"/>
    <w:rsid w:val="00313531"/>
    <w:rsid w:val="00313E4E"/>
    <w:rsid w:val="00317318"/>
    <w:rsid w:val="00322D93"/>
    <w:rsid w:val="00324AD7"/>
    <w:rsid w:val="00331956"/>
    <w:rsid w:val="00333977"/>
    <w:rsid w:val="00334B8D"/>
    <w:rsid w:val="003379AB"/>
    <w:rsid w:val="00341448"/>
    <w:rsid w:val="0034716C"/>
    <w:rsid w:val="00347883"/>
    <w:rsid w:val="00353A89"/>
    <w:rsid w:val="00361A68"/>
    <w:rsid w:val="0036394E"/>
    <w:rsid w:val="00365EF7"/>
    <w:rsid w:val="00395F6E"/>
    <w:rsid w:val="00396585"/>
    <w:rsid w:val="003B20E6"/>
    <w:rsid w:val="003B2249"/>
    <w:rsid w:val="003B5439"/>
    <w:rsid w:val="003C3484"/>
    <w:rsid w:val="003C4B5B"/>
    <w:rsid w:val="003D06EA"/>
    <w:rsid w:val="003D1FB0"/>
    <w:rsid w:val="003D7599"/>
    <w:rsid w:val="003E2A1B"/>
    <w:rsid w:val="003F1145"/>
    <w:rsid w:val="003F3232"/>
    <w:rsid w:val="00400524"/>
    <w:rsid w:val="00402E9F"/>
    <w:rsid w:val="0040372A"/>
    <w:rsid w:val="00406A03"/>
    <w:rsid w:val="004079CF"/>
    <w:rsid w:val="00407AE5"/>
    <w:rsid w:val="004314E6"/>
    <w:rsid w:val="00434338"/>
    <w:rsid w:val="004349A1"/>
    <w:rsid w:val="00435287"/>
    <w:rsid w:val="00440F7D"/>
    <w:rsid w:val="00443F32"/>
    <w:rsid w:val="00451F17"/>
    <w:rsid w:val="00462453"/>
    <w:rsid w:val="004664CA"/>
    <w:rsid w:val="00482B78"/>
    <w:rsid w:val="004900BF"/>
    <w:rsid w:val="00491D21"/>
    <w:rsid w:val="004A35E6"/>
    <w:rsid w:val="004B0A2B"/>
    <w:rsid w:val="004B2179"/>
    <w:rsid w:val="004B39D0"/>
    <w:rsid w:val="004B40EF"/>
    <w:rsid w:val="004B4D27"/>
    <w:rsid w:val="004B58F1"/>
    <w:rsid w:val="004B7F17"/>
    <w:rsid w:val="004C0F92"/>
    <w:rsid w:val="004C1595"/>
    <w:rsid w:val="004D155D"/>
    <w:rsid w:val="004E2A0F"/>
    <w:rsid w:val="004E3E2D"/>
    <w:rsid w:val="004E6952"/>
    <w:rsid w:val="00501584"/>
    <w:rsid w:val="00503EE6"/>
    <w:rsid w:val="00504347"/>
    <w:rsid w:val="005045B9"/>
    <w:rsid w:val="00506E31"/>
    <w:rsid w:val="00511EDC"/>
    <w:rsid w:val="005127FC"/>
    <w:rsid w:val="005161A1"/>
    <w:rsid w:val="0051793D"/>
    <w:rsid w:val="005312FA"/>
    <w:rsid w:val="00533BCA"/>
    <w:rsid w:val="00534217"/>
    <w:rsid w:val="0053689E"/>
    <w:rsid w:val="0054594B"/>
    <w:rsid w:val="00553E08"/>
    <w:rsid w:val="00562280"/>
    <w:rsid w:val="00563389"/>
    <w:rsid w:val="00572A70"/>
    <w:rsid w:val="005818E0"/>
    <w:rsid w:val="00583B88"/>
    <w:rsid w:val="00585629"/>
    <w:rsid w:val="00591AB4"/>
    <w:rsid w:val="0059333C"/>
    <w:rsid w:val="0059738A"/>
    <w:rsid w:val="005A3D33"/>
    <w:rsid w:val="005A5A14"/>
    <w:rsid w:val="005A727E"/>
    <w:rsid w:val="005B0378"/>
    <w:rsid w:val="005B03F7"/>
    <w:rsid w:val="005B70B5"/>
    <w:rsid w:val="005C4337"/>
    <w:rsid w:val="005C6EA0"/>
    <w:rsid w:val="005D279F"/>
    <w:rsid w:val="005D62C8"/>
    <w:rsid w:val="005E4109"/>
    <w:rsid w:val="005F102C"/>
    <w:rsid w:val="005F3F5F"/>
    <w:rsid w:val="00600166"/>
    <w:rsid w:val="00601C41"/>
    <w:rsid w:val="00612454"/>
    <w:rsid w:val="00615192"/>
    <w:rsid w:val="0061759D"/>
    <w:rsid w:val="00637ACE"/>
    <w:rsid w:val="00640BB7"/>
    <w:rsid w:val="006429E5"/>
    <w:rsid w:val="006479DC"/>
    <w:rsid w:val="0065079A"/>
    <w:rsid w:val="00662B82"/>
    <w:rsid w:val="00670539"/>
    <w:rsid w:val="006731EA"/>
    <w:rsid w:val="006763D1"/>
    <w:rsid w:val="00682FB7"/>
    <w:rsid w:val="00686C6B"/>
    <w:rsid w:val="00687360"/>
    <w:rsid w:val="00697593"/>
    <w:rsid w:val="006A42A4"/>
    <w:rsid w:val="006A65AB"/>
    <w:rsid w:val="006A7B4C"/>
    <w:rsid w:val="006B462A"/>
    <w:rsid w:val="006C1095"/>
    <w:rsid w:val="006C1477"/>
    <w:rsid w:val="006C3363"/>
    <w:rsid w:val="006D190F"/>
    <w:rsid w:val="006D3CE2"/>
    <w:rsid w:val="006E24BA"/>
    <w:rsid w:val="006E25F0"/>
    <w:rsid w:val="006F7CED"/>
    <w:rsid w:val="00703F16"/>
    <w:rsid w:val="00707333"/>
    <w:rsid w:val="007120E2"/>
    <w:rsid w:val="007142A0"/>
    <w:rsid w:val="0071783B"/>
    <w:rsid w:val="0072164C"/>
    <w:rsid w:val="00723E8D"/>
    <w:rsid w:val="00724CD9"/>
    <w:rsid w:val="00734C96"/>
    <w:rsid w:val="0074408E"/>
    <w:rsid w:val="00760F0D"/>
    <w:rsid w:val="00765845"/>
    <w:rsid w:val="007669B2"/>
    <w:rsid w:val="00767D18"/>
    <w:rsid w:val="0077196D"/>
    <w:rsid w:val="00771BA1"/>
    <w:rsid w:val="00775012"/>
    <w:rsid w:val="0077665F"/>
    <w:rsid w:val="007832C0"/>
    <w:rsid w:val="00785E98"/>
    <w:rsid w:val="00791D62"/>
    <w:rsid w:val="00793A4E"/>
    <w:rsid w:val="007B2615"/>
    <w:rsid w:val="007B6C75"/>
    <w:rsid w:val="007C5AFA"/>
    <w:rsid w:val="007D0C78"/>
    <w:rsid w:val="007D1006"/>
    <w:rsid w:val="007D705D"/>
    <w:rsid w:val="007E174C"/>
    <w:rsid w:val="007E2F1D"/>
    <w:rsid w:val="007E5788"/>
    <w:rsid w:val="007E5E2B"/>
    <w:rsid w:val="007F32A6"/>
    <w:rsid w:val="007F66E3"/>
    <w:rsid w:val="007F7345"/>
    <w:rsid w:val="00801758"/>
    <w:rsid w:val="00807C86"/>
    <w:rsid w:val="0081003D"/>
    <w:rsid w:val="008146E1"/>
    <w:rsid w:val="00816E4A"/>
    <w:rsid w:val="00826828"/>
    <w:rsid w:val="0084078A"/>
    <w:rsid w:val="008409C9"/>
    <w:rsid w:val="00842E19"/>
    <w:rsid w:val="00844F44"/>
    <w:rsid w:val="00861587"/>
    <w:rsid w:val="008616A7"/>
    <w:rsid w:val="008619B7"/>
    <w:rsid w:val="008710D4"/>
    <w:rsid w:val="00873F49"/>
    <w:rsid w:val="00880CB6"/>
    <w:rsid w:val="0088231C"/>
    <w:rsid w:val="00884039"/>
    <w:rsid w:val="00884E3C"/>
    <w:rsid w:val="00893E6C"/>
    <w:rsid w:val="00895021"/>
    <w:rsid w:val="008A7FB4"/>
    <w:rsid w:val="008B1158"/>
    <w:rsid w:val="008C71B4"/>
    <w:rsid w:val="008D4BB5"/>
    <w:rsid w:val="008D5F6C"/>
    <w:rsid w:val="008E47FD"/>
    <w:rsid w:val="00905A7B"/>
    <w:rsid w:val="00914EF4"/>
    <w:rsid w:val="0091692E"/>
    <w:rsid w:val="00920DCF"/>
    <w:rsid w:val="00930C5F"/>
    <w:rsid w:val="0093652B"/>
    <w:rsid w:val="00947AD1"/>
    <w:rsid w:val="00952712"/>
    <w:rsid w:val="00952905"/>
    <w:rsid w:val="00954502"/>
    <w:rsid w:val="00974779"/>
    <w:rsid w:val="00975088"/>
    <w:rsid w:val="0099076C"/>
    <w:rsid w:val="00992583"/>
    <w:rsid w:val="00997580"/>
    <w:rsid w:val="009A4F32"/>
    <w:rsid w:val="009B43E4"/>
    <w:rsid w:val="009B5F1F"/>
    <w:rsid w:val="009C1F48"/>
    <w:rsid w:val="009D1336"/>
    <w:rsid w:val="009D51E7"/>
    <w:rsid w:val="009D61B3"/>
    <w:rsid w:val="009E00B2"/>
    <w:rsid w:val="009E0D6E"/>
    <w:rsid w:val="009E569A"/>
    <w:rsid w:val="009F32FA"/>
    <w:rsid w:val="00A10171"/>
    <w:rsid w:val="00A16E8D"/>
    <w:rsid w:val="00A30F5C"/>
    <w:rsid w:val="00A30FBE"/>
    <w:rsid w:val="00A31A34"/>
    <w:rsid w:val="00A33EC0"/>
    <w:rsid w:val="00A65A6F"/>
    <w:rsid w:val="00A65AC0"/>
    <w:rsid w:val="00A76EB7"/>
    <w:rsid w:val="00A84FFC"/>
    <w:rsid w:val="00A91FFA"/>
    <w:rsid w:val="00AA24B0"/>
    <w:rsid w:val="00AA263D"/>
    <w:rsid w:val="00AA605E"/>
    <w:rsid w:val="00AB541C"/>
    <w:rsid w:val="00AC08C0"/>
    <w:rsid w:val="00AC73C4"/>
    <w:rsid w:val="00AD689B"/>
    <w:rsid w:val="00AD76CC"/>
    <w:rsid w:val="00AF3322"/>
    <w:rsid w:val="00AF6A87"/>
    <w:rsid w:val="00B0342F"/>
    <w:rsid w:val="00B057ED"/>
    <w:rsid w:val="00B060BC"/>
    <w:rsid w:val="00B06A2F"/>
    <w:rsid w:val="00B1183D"/>
    <w:rsid w:val="00B125F5"/>
    <w:rsid w:val="00B1409E"/>
    <w:rsid w:val="00B25088"/>
    <w:rsid w:val="00B37DCC"/>
    <w:rsid w:val="00B40ACE"/>
    <w:rsid w:val="00B44ED9"/>
    <w:rsid w:val="00B50153"/>
    <w:rsid w:val="00B51530"/>
    <w:rsid w:val="00B530BB"/>
    <w:rsid w:val="00B55746"/>
    <w:rsid w:val="00B6094E"/>
    <w:rsid w:val="00B609DF"/>
    <w:rsid w:val="00B75181"/>
    <w:rsid w:val="00B77253"/>
    <w:rsid w:val="00B77B69"/>
    <w:rsid w:val="00B81176"/>
    <w:rsid w:val="00B8157E"/>
    <w:rsid w:val="00B82D6B"/>
    <w:rsid w:val="00B87AF7"/>
    <w:rsid w:val="00B96E85"/>
    <w:rsid w:val="00BA49A0"/>
    <w:rsid w:val="00BA55BC"/>
    <w:rsid w:val="00BB2352"/>
    <w:rsid w:val="00BB3597"/>
    <w:rsid w:val="00BB58F3"/>
    <w:rsid w:val="00BB6D5E"/>
    <w:rsid w:val="00BC102F"/>
    <w:rsid w:val="00BC4536"/>
    <w:rsid w:val="00BD2B00"/>
    <w:rsid w:val="00BD78C4"/>
    <w:rsid w:val="00BE4403"/>
    <w:rsid w:val="00BE7B3D"/>
    <w:rsid w:val="00BF065F"/>
    <w:rsid w:val="00BF0D43"/>
    <w:rsid w:val="00C01602"/>
    <w:rsid w:val="00C0281E"/>
    <w:rsid w:val="00C02D68"/>
    <w:rsid w:val="00C215F0"/>
    <w:rsid w:val="00C238B1"/>
    <w:rsid w:val="00C30724"/>
    <w:rsid w:val="00C30B29"/>
    <w:rsid w:val="00C33CAC"/>
    <w:rsid w:val="00C55F68"/>
    <w:rsid w:val="00C67366"/>
    <w:rsid w:val="00C84BB7"/>
    <w:rsid w:val="00C86528"/>
    <w:rsid w:val="00C87645"/>
    <w:rsid w:val="00C87ADA"/>
    <w:rsid w:val="00C87AF7"/>
    <w:rsid w:val="00C92FEE"/>
    <w:rsid w:val="00C979A7"/>
    <w:rsid w:val="00CA3218"/>
    <w:rsid w:val="00CA3C2E"/>
    <w:rsid w:val="00CC0F43"/>
    <w:rsid w:val="00CC1A90"/>
    <w:rsid w:val="00CC3EE2"/>
    <w:rsid w:val="00CC6EA3"/>
    <w:rsid w:val="00CC78CF"/>
    <w:rsid w:val="00CC7ACF"/>
    <w:rsid w:val="00CD271F"/>
    <w:rsid w:val="00CD2BCE"/>
    <w:rsid w:val="00CD350E"/>
    <w:rsid w:val="00CD3635"/>
    <w:rsid w:val="00CD3FF8"/>
    <w:rsid w:val="00CD494F"/>
    <w:rsid w:val="00CD77FC"/>
    <w:rsid w:val="00CE072F"/>
    <w:rsid w:val="00CE3C3A"/>
    <w:rsid w:val="00CE715E"/>
    <w:rsid w:val="00CF3DA2"/>
    <w:rsid w:val="00D01235"/>
    <w:rsid w:val="00D024A1"/>
    <w:rsid w:val="00D04289"/>
    <w:rsid w:val="00D119CF"/>
    <w:rsid w:val="00D12EE6"/>
    <w:rsid w:val="00D15C5A"/>
    <w:rsid w:val="00D222D9"/>
    <w:rsid w:val="00D236F7"/>
    <w:rsid w:val="00D24E1C"/>
    <w:rsid w:val="00D26563"/>
    <w:rsid w:val="00D35588"/>
    <w:rsid w:val="00D43762"/>
    <w:rsid w:val="00D55453"/>
    <w:rsid w:val="00D55CFE"/>
    <w:rsid w:val="00D65CEF"/>
    <w:rsid w:val="00D72F6B"/>
    <w:rsid w:val="00D7480D"/>
    <w:rsid w:val="00D80FB5"/>
    <w:rsid w:val="00D83B83"/>
    <w:rsid w:val="00D87494"/>
    <w:rsid w:val="00D9133A"/>
    <w:rsid w:val="00D91CBC"/>
    <w:rsid w:val="00D92B20"/>
    <w:rsid w:val="00D93F2A"/>
    <w:rsid w:val="00D951DE"/>
    <w:rsid w:val="00D952ED"/>
    <w:rsid w:val="00D96F6F"/>
    <w:rsid w:val="00DA630C"/>
    <w:rsid w:val="00DC575A"/>
    <w:rsid w:val="00DD1D50"/>
    <w:rsid w:val="00DD507B"/>
    <w:rsid w:val="00E01B66"/>
    <w:rsid w:val="00E10697"/>
    <w:rsid w:val="00E141F3"/>
    <w:rsid w:val="00E14498"/>
    <w:rsid w:val="00E15829"/>
    <w:rsid w:val="00E22FA2"/>
    <w:rsid w:val="00E253BD"/>
    <w:rsid w:val="00E30BE0"/>
    <w:rsid w:val="00E3703E"/>
    <w:rsid w:val="00E40348"/>
    <w:rsid w:val="00E45D71"/>
    <w:rsid w:val="00E463A5"/>
    <w:rsid w:val="00E46FDF"/>
    <w:rsid w:val="00E5024C"/>
    <w:rsid w:val="00E52B04"/>
    <w:rsid w:val="00E5382F"/>
    <w:rsid w:val="00E5762C"/>
    <w:rsid w:val="00E6021E"/>
    <w:rsid w:val="00E63C12"/>
    <w:rsid w:val="00E715B1"/>
    <w:rsid w:val="00E719BB"/>
    <w:rsid w:val="00E7438C"/>
    <w:rsid w:val="00E83F35"/>
    <w:rsid w:val="00E87DE4"/>
    <w:rsid w:val="00E9261B"/>
    <w:rsid w:val="00E959E2"/>
    <w:rsid w:val="00E95D8C"/>
    <w:rsid w:val="00EA4330"/>
    <w:rsid w:val="00EB236C"/>
    <w:rsid w:val="00EB6298"/>
    <w:rsid w:val="00EC71ED"/>
    <w:rsid w:val="00ED2E23"/>
    <w:rsid w:val="00ED4294"/>
    <w:rsid w:val="00ED4C2F"/>
    <w:rsid w:val="00ED621D"/>
    <w:rsid w:val="00ED6AC5"/>
    <w:rsid w:val="00ED701B"/>
    <w:rsid w:val="00ED7202"/>
    <w:rsid w:val="00EE6E98"/>
    <w:rsid w:val="00EF081C"/>
    <w:rsid w:val="00EF0B37"/>
    <w:rsid w:val="00EF2987"/>
    <w:rsid w:val="00EF2D26"/>
    <w:rsid w:val="00F0724C"/>
    <w:rsid w:val="00F07F69"/>
    <w:rsid w:val="00F20753"/>
    <w:rsid w:val="00F21432"/>
    <w:rsid w:val="00F33C69"/>
    <w:rsid w:val="00F33DA5"/>
    <w:rsid w:val="00F40459"/>
    <w:rsid w:val="00F42582"/>
    <w:rsid w:val="00F467D6"/>
    <w:rsid w:val="00F52B98"/>
    <w:rsid w:val="00F53110"/>
    <w:rsid w:val="00F57B52"/>
    <w:rsid w:val="00F6565F"/>
    <w:rsid w:val="00F75186"/>
    <w:rsid w:val="00F75F41"/>
    <w:rsid w:val="00F81732"/>
    <w:rsid w:val="00F86298"/>
    <w:rsid w:val="00F87A18"/>
    <w:rsid w:val="00F90A1B"/>
    <w:rsid w:val="00F91546"/>
    <w:rsid w:val="00F94815"/>
    <w:rsid w:val="00F96D76"/>
    <w:rsid w:val="00F97234"/>
    <w:rsid w:val="00F9745B"/>
    <w:rsid w:val="00FA09A1"/>
    <w:rsid w:val="00FA0CA8"/>
    <w:rsid w:val="00FA1272"/>
    <w:rsid w:val="00FA12B3"/>
    <w:rsid w:val="00FA65B3"/>
    <w:rsid w:val="00FA67D1"/>
    <w:rsid w:val="00FC05BF"/>
    <w:rsid w:val="00FC3EB5"/>
    <w:rsid w:val="00FC4382"/>
    <w:rsid w:val="00FD3CB8"/>
    <w:rsid w:val="00FE2506"/>
    <w:rsid w:val="00FE3C60"/>
    <w:rsid w:val="00FE3FFA"/>
    <w:rsid w:val="00FF1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10DFFCEF-B468-4217-975D-0C5BEABB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EA0"/>
    <w:rPr>
      <w:lang w:val="en-AU"/>
    </w:rPr>
  </w:style>
  <w:style w:type="paragraph" w:styleId="Heading1">
    <w:name w:val="heading 1"/>
    <w:basedOn w:val="Normal"/>
    <w:next w:val="Normal"/>
    <w:qFormat/>
    <w:rsid w:val="000E1EA0"/>
    <w:pPr>
      <w:keepNext/>
      <w:outlineLvl w:val="0"/>
    </w:pPr>
    <w:rPr>
      <w:sz w:val="28"/>
      <w:lang w:val="bg-BG"/>
    </w:rPr>
  </w:style>
  <w:style w:type="paragraph" w:styleId="Heading2">
    <w:name w:val="heading 2"/>
    <w:basedOn w:val="Normal"/>
    <w:next w:val="Normal"/>
    <w:link w:val="Heading2Char"/>
    <w:qFormat/>
    <w:rsid w:val="000E1EA0"/>
    <w:pPr>
      <w:keepNext/>
      <w:ind w:right="-7"/>
      <w:outlineLvl w:val="1"/>
    </w:pPr>
    <w:rPr>
      <w:sz w:val="24"/>
      <w:lang w:val="bg-BG"/>
    </w:rPr>
  </w:style>
  <w:style w:type="paragraph" w:styleId="Heading3">
    <w:name w:val="heading 3"/>
    <w:basedOn w:val="Normal"/>
    <w:next w:val="Normal"/>
    <w:qFormat/>
    <w:rsid w:val="000E1EA0"/>
    <w:pPr>
      <w:keepNext/>
      <w:jc w:val="center"/>
      <w:outlineLvl w:val="2"/>
    </w:pPr>
    <w:rPr>
      <w:sz w:val="24"/>
      <w:lang w:val="bg-BG"/>
    </w:rPr>
  </w:style>
  <w:style w:type="paragraph" w:styleId="Heading4">
    <w:name w:val="heading 4"/>
    <w:basedOn w:val="Normal"/>
    <w:next w:val="Normal"/>
    <w:qFormat/>
    <w:rsid w:val="000E1EA0"/>
    <w:pPr>
      <w:keepNext/>
      <w:ind w:firstLine="360"/>
      <w:outlineLvl w:val="3"/>
    </w:pPr>
    <w:rPr>
      <w:b/>
      <w:sz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EA0"/>
    <w:pPr>
      <w:tabs>
        <w:tab w:val="center" w:pos="4153"/>
        <w:tab w:val="right" w:pos="8306"/>
      </w:tabs>
    </w:pPr>
    <w:rPr>
      <w:sz w:val="24"/>
      <w:lang w:val="en-GB"/>
    </w:rPr>
  </w:style>
  <w:style w:type="paragraph" w:styleId="Footer">
    <w:name w:val="footer"/>
    <w:basedOn w:val="Normal"/>
    <w:rsid w:val="000E1EA0"/>
    <w:pPr>
      <w:tabs>
        <w:tab w:val="center" w:pos="4153"/>
        <w:tab w:val="right" w:pos="8306"/>
      </w:tabs>
    </w:pPr>
    <w:rPr>
      <w:sz w:val="24"/>
      <w:lang w:val="en-GB"/>
    </w:rPr>
  </w:style>
  <w:style w:type="character" w:styleId="PageNumber">
    <w:name w:val="page number"/>
    <w:basedOn w:val="DefaultParagraphFont"/>
    <w:rsid w:val="000E1EA0"/>
  </w:style>
  <w:style w:type="paragraph" w:styleId="BodyTextIndent">
    <w:name w:val="Body Text Indent"/>
    <w:basedOn w:val="Normal"/>
    <w:link w:val="BodyTextIndentChar"/>
    <w:rsid w:val="000E1EA0"/>
    <w:pPr>
      <w:ind w:firstLine="935"/>
      <w:jc w:val="both"/>
    </w:pPr>
    <w:rPr>
      <w:sz w:val="24"/>
      <w:lang w:val="bg-BG" w:eastAsia="en-US"/>
    </w:rPr>
  </w:style>
  <w:style w:type="paragraph" w:styleId="Caption">
    <w:name w:val="caption"/>
    <w:basedOn w:val="Normal"/>
    <w:next w:val="Normal"/>
    <w:qFormat/>
    <w:rsid w:val="00905A7B"/>
    <w:pPr>
      <w:spacing w:before="20" w:after="20"/>
      <w:jc w:val="center"/>
    </w:pPr>
    <w:rPr>
      <w:b/>
      <w:caps/>
      <w:spacing w:val="20"/>
      <w:sz w:val="24"/>
      <w:lang w:val="bg-BG" w:eastAsia="en-US"/>
    </w:rPr>
  </w:style>
  <w:style w:type="character" w:customStyle="1" w:styleId="FontStyle29">
    <w:name w:val="Font Style29"/>
    <w:rsid w:val="00331956"/>
    <w:rPr>
      <w:rFonts w:ascii="Times New Roman" w:hAnsi="Times New Roman" w:cs="Times New Roman"/>
      <w:spacing w:val="10"/>
      <w:sz w:val="24"/>
      <w:szCs w:val="24"/>
    </w:rPr>
  </w:style>
  <w:style w:type="character" w:customStyle="1" w:styleId="newdocreference1">
    <w:name w:val="newdocreference1"/>
    <w:rsid w:val="00331956"/>
    <w:rPr>
      <w:i w:val="0"/>
      <w:iCs w:val="0"/>
      <w:color w:val="0000FF"/>
      <w:u w:val="single"/>
    </w:rPr>
  </w:style>
  <w:style w:type="paragraph" w:customStyle="1" w:styleId="Default">
    <w:name w:val="Default"/>
    <w:rsid w:val="00C87ADA"/>
    <w:pPr>
      <w:autoSpaceDE w:val="0"/>
      <w:autoSpaceDN w:val="0"/>
      <w:adjustRightInd w:val="0"/>
    </w:pPr>
    <w:rPr>
      <w:color w:val="000000"/>
      <w:sz w:val="24"/>
      <w:szCs w:val="24"/>
    </w:rPr>
  </w:style>
  <w:style w:type="paragraph" w:styleId="BodyText">
    <w:name w:val="Body Text"/>
    <w:basedOn w:val="Normal"/>
    <w:rsid w:val="004664CA"/>
    <w:pPr>
      <w:spacing w:after="120"/>
    </w:pPr>
  </w:style>
  <w:style w:type="character" w:styleId="Hyperlink">
    <w:name w:val="Hyperlink"/>
    <w:uiPriority w:val="99"/>
    <w:rsid w:val="005B70B5"/>
    <w:rPr>
      <w:color w:val="0000FF"/>
      <w:u w:val="single"/>
    </w:rPr>
  </w:style>
  <w:style w:type="paragraph" w:styleId="DocumentMap">
    <w:name w:val="Document Map"/>
    <w:basedOn w:val="Normal"/>
    <w:semiHidden/>
    <w:rsid w:val="00EB6298"/>
    <w:pPr>
      <w:shd w:val="clear" w:color="auto" w:fill="000080"/>
    </w:pPr>
    <w:rPr>
      <w:rFonts w:ascii="Tahoma" w:hAnsi="Tahoma" w:cs="Tahoma"/>
    </w:rPr>
  </w:style>
  <w:style w:type="paragraph" w:styleId="BalloonText">
    <w:name w:val="Balloon Text"/>
    <w:basedOn w:val="Normal"/>
    <w:semiHidden/>
    <w:rsid w:val="00307C34"/>
    <w:rPr>
      <w:rFonts w:ascii="Tahoma" w:hAnsi="Tahoma" w:cs="Tahoma"/>
      <w:sz w:val="16"/>
      <w:szCs w:val="16"/>
    </w:rPr>
  </w:style>
  <w:style w:type="character" w:customStyle="1" w:styleId="Heading1Char">
    <w:name w:val="Heading 1 Char"/>
    <w:locked/>
    <w:rsid w:val="003E2A1B"/>
    <w:rPr>
      <w:rFonts w:eastAsia="Calibri"/>
      <w:b/>
      <w:bCs/>
      <w:noProof w:val="0"/>
      <w:sz w:val="28"/>
      <w:szCs w:val="28"/>
      <w:lang w:val="bg-BG" w:eastAsia="en-US" w:bidi="ar-SA"/>
    </w:rPr>
  </w:style>
  <w:style w:type="paragraph" w:styleId="Title">
    <w:name w:val="Title"/>
    <w:basedOn w:val="Normal"/>
    <w:link w:val="TitleChar"/>
    <w:qFormat/>
    <w:rsid w:val="003E2A1B"/>
    <w:pPr>
      <w:jc w:val="center"/>
    </w:pPr>
    <w:rPr>
      <w:rFonts w:eastAsia="Calibri"/>
      <w:b/>
      <w:bCs/>
      <w:sz w:val="36"/>
      <w:szCs w:val="36"/>
      <w:lang w:val="bg-BG" w:eastAsia="en-US"/>
    </w:rPr>
  </w:style>
  <w:style w:type="character" w:customStyle="1" w:styleId="TitleChar">
    <w:name w:val="Title Char"/>
    <w:link w:val="Title"/>
    <w:rsid w:val="003E2A1B"/>
    <w:rPr>
      <w:rFonts w:eastAsia="Calibri"/>
      <w:b/>
      <w:bCs/>
      <w:sz w:val="36"/>
      <w:szCs w:val="36"/>
      <w:lang w:eastAsia="en-US"/>
    </w:rPr>
  </w:style>
  <w:style w:type="paragraph" w:styleId="NormalWeb">
    <w:name w:val="Normal (Web)"/>
    <w:basedOn w:val="Normal"/>
    <w:rsid w:val="003E2A1B"/>
    <w:pPr>
      <w:spacing w:before="100" w:beforeAutospacing="1" w:after="100" w:afterAutospacing="1"/>
    </w:pPr>
    <w:rPr>
      <w:rFonts w:eastAsia="Calibri"/>
      <w:sz w:val="24"/>
      <w:szCs w:val="24"/>
      <w:lang w:val="en-GB" w:eastAsia="en-US"/>
    </w:rPr>
  </w:style>
  <w:style w:type="character" w:styleId="Strong">
    <w:name w:val="Strong"/>
    <w:qFormat/>
    <w:rsid w:val="003E2A1B"/>
    <w:rPr>
      <w:rFonts w:cs="Times New Roman"/>
      <w:b/>
      <w:bCs/>
    </w:rPr>
  </w:style>
  <w:style w:type="character" w:styleId="CommentReference">
    <w:name w:val="annotation reference"/>
    <w:uiPriority w:val="99"/>
    <w:rsid w:val="003E2A1B"/>
    <w:rPr>
      <w:sz w:val="16"/>
      <w:szCs w:val="16"/>
    </w:rPr>
  </w:style>
  <w:style w:type="paragraph" w:styleId="CommentText">
    <w:name w:val="annotation text"/>
    <w:basedOn w:val="Normal"/>
    <w:link w:val="CommentTextChar"/>
    <w:uiPriority w:val="99"/>
    <w:rsid w:val="003E2A1B"/>
    <w:rPr>
      <w:rFonts w:eastAsia="Calibri"/>
      <w:lang w:val="bg-BG" w:eastAsia="en-US"/>
    </w:rPr>
  </w:style>
  <w:style w:type="character" w:customStyle="1" w:styleId="CommentTextChar">
    <w:name w:val="Comment Text Char"/>
    <w:link w:val="CommentText"/>
    <w:uiPriority w:val="99"/>
    <w:rsid w:val="003E2A1B"/>
    <w:rPr>
      <w:rFonts w:eastAsia="Calibri"/>
      <w:lang w:eastAsia="en-US"/>
    </w:rPr>
  </w:style>
  <w:style w:type="paragraph" w:styleId="CommentSubject">
    <w:name w:val="annotation subject"/>
    <w:basedOn w:val="CommentText"/>
    <w:next w:val="CommentText"/>
    <w:link w:val="CommentSubjectChar"/>
    <w:rsid w:val="003E2A1B"/>
    <w:rPr>
      <w:b/>
      <w:bCs/>
    </w:rPr>
  </w:style>
  <w:style w:type="character" w:customStyle="1" w:styleId="CommentSubjectChar">
    <w:name w:val="Comment Subject Char"/>
    <w:link w:val="CommentSubject"/>
    <w:rsid w:val="003E2A1B"/>
    <w:rPr>
      <w:rFonts w:eastAsia="Calibri"/>
      <w:b/>
      <w:bCs/>
      <w:lang w:eastAsia="en-US"/>
    </w:rPr>
  </w:style>
  <w:style w:type="paragraph" w:styleId="Revision">
    <w:name w:val="Revision"/>
    <w:hidden/>
    <w:uiPriority w:val="99"/>
    <w:semiHidden/>
    <w:rsid w:val="003E2A1B"/>
    <w:rPr>
      <w:rFonts w:eastAsia="Calibri"/>
      <w:sz w:val="24"/>
      <w:szCs w:val="24"/>
      <w:lang w:eastAsia="en-US"/>
    </w:rPr>
  </w:style>
  <w:style w:type="paragraph" w:customStyle="1" w:styleId="Style">
    <w:name w:val="Style"/>
    <w:rsid w:val="003E2A1B"/>
    <w:pPr>
      <w:widowControl w:val="0"/>
      <w:autoSpaceDE w:val="0"/>
      <w:autoSpaceDN w:val="0"/>
      <w:adjustRightInd w:val="0"/>
      <w:ind w:left="140" w:right="140" w:firstLine="840"/>
      <w:jc w:val="both"/>
    </w:pPr>
    <w:rPr>
      <w:sz w:val="24"/>
      <w:szCs w:val="24"/>
    </w:rPr>
  </w:style>
  <w:style w:type="character" w:customStyle="1" w:styleId="Heading2Char">
    <w:name w:val="Heading 2 Char"/>
    <w:link w:val="Heading2"/>
    <w:rsid w:val="003E2A1B"/>
    <w:rPr>
      <w:sz w:val="24"/>
    </w:rPr>
  </w:style>
  <w:style w:type="character" w:customStyle="1" w:styleId="HeaderChar">
    <w:name w:val="Header Char"/>
    <w:link w:val="Header"/>
    <w:rsid w:val="003E2A1B"/>
    <w:rPr>
      <w:sz w:val="24"/>
      <w:lang w:val="en-GB"/>
    </w:rPr>
  </w:style>
  <w:style w:type="paragraph" w:styleId="ListParagraph">
    <w:name w:val="List Paragraph"/>
    <w:basedOn w:val="Normal"/>
    <w:uiPriority w:val="34"/>
    <w:qFormat/>
    <w:rsid w:val="001A6F6F"/>
    <w:pPr>
      <w:spacing w:after="200"/>
      <w:ind w:left="720"/>
      <w:contextualSpacing/>
    </w:pPr>
    <w:rPr>
      <w:rFonts w:ascii="Calibri" w:hAnsi="Calibri"/>
      <w:sz w:val="22"/>
      <w:szCs w:val="22"/>
      <w:lang w:val="bg-BG"/>
    </w:rPr>
  </w:style>
  <w:style w:type="paragraph" w:styleId="TOCHeading">
    <w:name w:val="TOC Heading"/>
    <w:basedOn w:val="Heading1"/>
    <w:next w:val="Normal"/>
    <w:uiPriority w:val="39"/>
    <w:unhideWhenUsed/>
    <w:qFormat/>
    <w:rsid w:val="00F467D6"/>
    <w:pPr>
      <w:keepLines/>
      <w:spacing w:before="480" w:line="276" w:lineRule="auto"/>
      <w:outlineLvl w:val="9"/>
    </w:pPr>
    <w:rPr>
      <w:rFonts w:ascii="Cambria" w:eastAsia="MS Gothic" w:hAnsi="Cambria"/>
      <w:b/>
      <w:bCs/>
      <w:color w:val="365F91"/>
      <w:szCs w:val="28"/>
      <w:lang w:val="en-US" w:eastAsia="ja-JP"/>
    </w:rPr>
  </w:style>
  <w:style w:type="paragraph" w:styleId="TOC2">
    <w:name w:val="toc 2"/>
    <w:basedOn w:val="Normal"/>
    <w:next w:val="Normal"/>
    <w:autoRedefine/>
    <w:uiPriority w:val="39"/>
    <w:unhideWhenUsed/>
    <w:qFormat/>
    <w:rsid w:val="00F467D6"/>
    <w:pPr>
      <w:spacing w:before="240"/>
    </w:pPr>
    <w:rPr>
      <w:rFonts w:asciiTheme="minorHAnsi" w:hAnsiTheme="minorHAnsi"/>
      <w:b/>
      <w:bCs/>
    </w:rPr>
  </w:style>
  <w:style w:type="paragraph" w:styleId="TOC1">
    <w:name w:val="toc 1"/>
    <w:basedOn w:val="Normal"/>
    <w:next w:val="Normal"/>
    <w:autoRedefine/>
    <w:uiPriority w:val="39"/>
    <w:unhideWhenUsed/>
    <w:qFormat/>
    <w:rsid w:val="00F467D6"/>
    <w:pPr>
      <w:spacing w:before="360"/>
    </w:pPr>
    <w:rPr>
      <w:rFonts w:asciiTheme="majorHAnsi" w:hAnsiTheme="majorHAnsi"/>
      <w:b/>
      <w:bCs/>
      <w:caps/>
      <w:sz w:val="24"/>
      <w:szCs w:val="24"/>
    </w:rPr>
  </w:style>
  <w:style w:type="paragraph" w:styleId="TOC3">
    <w:name w:val="toc 3"/>
    <w:basedOn w:val="Normal"/>
    <w:next w:val="Normal"/>
    <w:autoRedefine/>
    <w:uiPriority w:val="39"/>
    <w:unhideWhenUsed/>
    <w:qFormat/>
    <w:rsid w:val="00F467D6"/>
    <w:pPr>
      <w:ind w:left="200"/>
    </w:pPr>
    <w:rPr>
      <w:rFonts w:asciiTheme="minorHAnsi" w:hAnsiTheme="minorHAnsi"/>
    </w:rPr>
  </w:style>
  <w:style w:type="table" w:styleId="TableGrid">
    <w:name w:val="Table Grid"/>
    <w:basedOn w:val="TableNormal"/>
    <w:uiPriority w:val="59"/>
    <w:rsid w:val="0008612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nseQuote">
    <w:name w:val="Intense Quote"/>
    <w:basedOn w:val="Normal"/>
    <w:next w:val="Normal"/>
    <w:link w:val="IntenseQuoteChar"/>
    <w:uiPriority w:val="30"/>
    <w:qFormat/>
    <w:rsid w:val="00406A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6A03"/>
    <w:rPr>
      <w:b/>
      <w:bCs/>
      <w:i/>
      <w:iCs/>
      <w:color w:val="4F81BD" w:themeColor="accent1"/>
      <w:lang w:val="en-AU"/>
    </w:rPr>
  </w:style>
  <w:style w:type="paragraph" w:styleId="TOC4">
    <w:name w:val="toc 4"/>
    <w:basedOn w:val="Normal"/>
    <w:next w:val="Normal"/>
    <w:autoRedefine/>
    <w:rsid w:val="00451F17"/>
    <w:pPr>
      <w:ind w:left="400"/>
    </w:pPr>
    <w:rPr>
      <w:rFonts w:asciiTheme="minorHAnsi" w:hAnsiTheme="minorHAnsi"/>
    </w:rPr>
  </w:style>
  <w:style w:type="paragraph" w:styleId="TOC5">
    <w:name w:val="toc 5"/>
    <w:basedOn w:val="Normal"/>
    <w:next w:val="Normal"/>
    <w:autoRedefine/>
    <w:rsid w:val="00451F17"/>
    <w:pPr>
      <w:ind w:left="600"/>
    </w:pPr>
    <w:rPr>
      <w:rFonts w:asciiTheme="minorHAnsi" w:hAnsiTheme="minorHAnsi"/>
    </w:rPr>
  </w:style>
  <w:style w:type="paragraph" w:styleId="TOC6">
    <w:name w:val="toc 6"/>
    <w:basedOn w:val="Normal"/>
    <w:next w:val="Normal"/>
    <w:autoRedefine/>
    <w:rsid w:val="00451F17"/>
    <w:pPr>
      <w:ind w:left="800"/>
    </w:pPr>
    <w:rPr>
      <w:rFonts w:asciiTheme="minorHAnsi" w:hAnsiTheme="minorHAnsi"/>
    </w:rPr>
  </w:style>
  <w:style w:type="paragraph" w:styleId="TOC7">
    <w:name w:val="toc 7"/>
    <w:basedOn w:val="Normal"/>
    <w:next w:val="Normal"/>
    <w:autoRedefine/>
    <w:rsid w:val="00451F17"/>
    <w:pPr>
      <w:ind w:left="1000"/>
    </w:pPr>
    <w:rPr>
      <w:rFonts w:asciiTheme="minorHAnsi" w:hAnsiTheme="minorHAnsi"/>
    </w:rPr>
  </w:style>
  <w:style w:type="paragraph" w:styleId="TOC8">
    <w:name w:val="toc 8"/>
    <w:basedOn w:val="Normal"/>
    <w:next w:val="Normal"/>
    <w:autoRedefine/>
    <w:rsid w:val="00451F17"/>
    <w:pPr>
      <w:ind w:left="1200"/>
    </w:pPr>
    <w:rPr>
      <w:rFonts w:asciiTheme="minorHAnsi" w:hAnsiTheme="minorHAnsi"/>
    </w:rPr>
  </w:style>
  <w:style w:type="paragraph" w:styleId="TOC9">
    <w:name w:val="toc 9"/>
    <w:basedOn w:val="Normal"/>
    <w:next w:val="Normal"/>
    <w:autoRedefine/>
    <w:rsid w:val="00451F17"/>
    <w:pPr>
      <w:ind w:left="1400"/>
    </w:pPr>
    <w:rPr>
      <w:rFonts w:asciiTheme="minorHAnsi" w:hAnsiTheme="minorHAnsi"/>
    </w:rPr>
  </w:style>
  <w:style w:type="table" w:styleId="Table3Deffects3">
    <w:name w:val="Table 3D effects 3"/>
    <w:basedOn w:val="TableNormal"/>
    <w:rsid w:val="006C14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AHeading">
    <w:name w:val="toa heading"/>
    <w:basedOn w:val="Normal"/>
    <w:next w:val="Normal"/>
    <w:rsid w:val="008B1158"/>
    <w:pPr>
      <w:spacing w:before="120"/>
    </w:pPr>
    <w:rPr>
      <w:rFonts w:asciiTheme="majorHAnsi" w:eastAsiaTheme="majorEastAsia" w:hAnsiTheme="majorHAnsi" w:cstheme="majorBidi"/>
      <w:b/>
      <w:bCs/>
      <w:sz w:val="24"/>
      <w:szCs w:val="24"/>
    </w:rPr>
  </w:style>
  <w:style w:type="character" w:styleId="FollowedHyperlink">
    <w:name w:val="FollowedHyperlink"/>
    <w:basedOn w:val="DefaultParagraphFont"/>
    <w:semiHidden/>
    <w:unhideWhenUsed/>
    <w:rsid w:val="0021094B"/>
    <w:rPr>
      <w:color w:val="800080" w:themeColor="followedHyperlink"/>
      <w:u w:val="single"/>
    </w:rPr>
  </w:style>
  <w:style w:type="character" w:customStyle="1" w:styleId="BodyTextIndentChar">
    <w:name w:val="Body Text Indent Char"/>
    <w:basedOn w:val="DefaultParagraphFont"/>
    <w:link w:val="BodyTextIndent"/>
    <w:rsid w:val="00662B8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1384">
      <w:bodyDiv w:val="1"/>
      <w:marLeft w:val="0"/>
      <w:marRight w:val="0"/>
      <w:marTop w:val="0"/>
      <w:marBottom w:val="0"/>
      <w:divBdr>
        <w:top w:val="none" w:sz="0" w:space="0" w:color="auto"/>
        <w:left w:val="none" w:sz="0" w:space="0" w:color="auto"/>
        <w:bottom w:val="none" w:sz="0" w:space="0" w:color="auto"/>
        <w:right w:val="none" w:sz="0" w:space="0" w:color="auto"/>
      </w:divBdr>
    </w:div>
    <w:div w:id="1108350886">
      <w:bodyDiv w:val="1"/>
      <w:marLeft w:val="0"/>
      <w:marRight w:val="0"/>
      <w:marTop w:val="0"/>
      <w:marBottom w:val="0"/>
      <w:divBdr>
        <w:top w:val="none" w:sz="0" w:space="0" w:color="auto"/>
        <w:left w:val="none" w:sz="0" w:space="0" w:color="auto"/>
        <w:bottom w:val="none" w:sz="0" w:space="0" w:color="auto"/>
        <w:right w:val="none" w:sz="0" w:space="0" w:color="auto"/>
      </w:divBdr>
    </w:div>
    <w:div w:id="17966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s.bg/" TargetMode="External"/><Relationship Id="rId13" Type="http://schemas.openxmlformats.org/officeDocument/2006/relationships/hyperlink" Target="http://www.ides.bg/" TargetMode="External"/><Relationship Id="rId18" Type="http://schemas.openxmlformats.org/officeDocument/2006/relationships/hyperlink" Target="http://www.ides.bg/"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des.bg/" TargetMode="External"/><Relationship Id="rId17" Type="http://schemas.openxmlformats.org/officeDocument/2006/relationships/hyperlink" Target="http://www.ides.bg/" TargetMode="External"/><Relationship Id="rId2" Type="http://schemas.openxmlformats.org/officeDocument/2006/relationships/numbering" Target="numbering.xml"/><Relationship Id="rId16" Type="http://schemas.openxmlformats.org/officeDocument/2006/relationships/hyperlink" Target="http://www.ides.b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s.bg/" TargetMode="External"/><Relationship Id="rId5" Type="http://schemas.openxmlformats.org/officeDocument/2006/relationships/webSettings" Target="webSettings.xml"/><Relationship Id="rId15" Type="http://schemas.openxmlformats.org/officeDocument/2006/relationships/hyperlink" Target="http://www.ides.bg/" TargetMode="External"/><Relationship Id="rId23" Type="http://schemas.openxmlformats.org/officeDocument/2006/relationships/theme" Target="theme/theme1.xml"/><Relationship Id="rId10" Type="http://schemas.openxmlformats.org/officeDocument/2006/relationships/hyperlink" Target="http://www.ides.bg/" TargetMode="External"/><Relationship Id="rId19" Type="http://schemas.openxmlformats.org/officeDocument/2006/relationships/hyperlink" Target="http://www.ides.bg/" TargetMode="External"/><Relationship Id="rId4" Type="http://schemas.openxmlformats.org/officeDocument/2006/relationships/settings" Target="settings.xml"/><Relationship Id="rId9" Type="http://schemas.openxmlformats.org/officeDocument/2006/relationships/hyperlink" Target="http://www.ides.bg/" TargetMode="External"/><Relationship Id="rId14" Type="http://schemas.openxmlformats.org/officeDocument/2006/relationships/hyperlink" Target="http://www.ides.b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A74D1-CB96-4D00-96BF-54B2AED2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8155</Words>
  <Characters>43222</Characters>
  <Application>Microsoft Office Word</Application>
  <DocSecurity>0</DocSecurity>
  <Lines>960</Lines>
  <Paragraphs>513</Paragraphs>
  <ScaleCrop>false</ScaleCrop>
  <HeadingPairs>
    <vt:vector size="2" baseType="variant">
      <vt:variant>
        <vt:lpstr>Title</vt:lpstr>
      </vt:variant>
      <vt:variant>
        <vt:i4>1</vt:i4>
      </vt:variant>
    </vt:vector>
  </HeadingPairs>
  <TitlesOfParts>
    <vt:vector size="1" baseType="lpstr">
      <vt:lpstr>А К Т</vt:lpstr>
    </vt:vector>
  </TitlesOfParts>
  <Company>IUSBA</Company>
  <LinksUpToDate>false</LinksUpToDate>
  <CharactersWithSpaces>50864</CharactersWithSpaces>
  <SharedDoc>false</SharedDoc>
  <HLinks>
    <vt:vector size="96" baseType="variant">
      <vt:variant>
        <vt:i4>7208997</vt:i4>
      </vt:variant>
      <vt:variant>
        <vt:i4>63</vt:i4>
      </vt:variant>
      <vt:variant>
        <vt:i4>0</vt:i4>
      </vt:variant>
      <vt:variant>
        <vt:i4>5</vt:i4>
      </vt:variant>
      <vt:variant>
        <vt:lpwstr>http://www.ides.bg/</vt:lpwstr>
      </vt:variant>
      <vt:variant>
        <vt:lpwstr/>
      </vt:variant>
      <vt:variant>
        <vt:i4>7208997</vt:i4>
      </vt:variant>
      <vt:variant>
        <vt:i4>60</vt:i4>
      </vt:variant>
      <vt:variant>
        <vt:i4>0</vt:i4>
      </vt:variant>
      <vt:variant>
        <vt:i4>5</vt:i4>
      </vt:variant>
      <vt:variant>
        <vt:lpwstr>http://www.ides.bg/</vt:lpwstr>
      </vt:variant>
      <vt:variant>
        <vt:lpwstr/>
      </vt:variant>
      <vt:variant>
        <vt:i4>7208997</vt:i4>
      </vt:variant>
      <vt:variant>
        <vt:i4>57</vt:i4>
      </vt:variant>
      <vt:variant>
        <vt:i4>0</vt:i4>
      </vt:variant>
      <vt:variant>
        <vt:i4>5</vt:i4>
      </vt:variant>
      <vt:variant>
        <vt:lpwstr>http://www.ides.bg/</vt:lpwstr>
      </vt:variant>
      <vt:variant>
        <vt:lpwstr/>
      </vt:variant>
      <vt:variant>
        <vt:i4>7208997</vt:i4>
      </vt:variant>
      <vt:variant>
        <vt:i4>54</vt:i4>
      </vt:variant>
      <vt:variant>
        <vt:i4>0</vt:i4>
      </vt:variant>
      <vt:variant>
        <vt:i4>5</vt:i4>
      </vt:variant>
      <vt:variant>
        <vt:lpwstr>http://www.ides.bg/</vt:lpwstr>
      </vt:variant>
      <vt:variant>
        <vt:lpwstr/>
      </vt:variant>
      <vt:variant>
        <vt:i4>7208997</vt:i4>
      </vt:variant>
      <vt:variant>
        <vt:i4>51</vt:i4>
      </vt:variant>
      <vt:variant>
        <vt:i4>0</vt:i4>
      </vt:variant>
      <vt:variant>
        <vt:i4>5</vt:i4>
      </vt:variant>
      <vt:variant>
        <vt:lpwstr>http://www.ides.bg/</vt:lpwstr>
      </vt:variant>
      <vt:variant>
        <vt:lpwstr/>
      </vt:variant>
      <vt:variant>
        <vt:i4>7208997</vt:i4>
      </vt:variant>
      <vt:variant>
        <vt:i4>48</vt:i4>
      </vt:variant>
      <vt:variant>
        <vt:i4>0</vt:i4>
      </vt:variant>
      <vt:variant>
        <vt:i4>5</vt:i4>
      </vt:variant>
      <vt:variant>
        <vt:lpwstr>http://www.ides.bg/</vt:lpwstr>
      </vt:variant>
      <vt:variant>
        <vt:lpwstr/>
      </vt:variant>
      <vt:variant>
        <vt:i4>7208997</vt:i4>
      </vt:variant>
      <vt:variant>
        <vt:i4>45</vt:i4>
      </vt:variant>
      <vt:variant>
        <vt:i4>0</vt:i4>
      </vt:variant>
      <vt:variant>
        <vt:i4>5</vt:i4>
      </vt:variant>
      <vt:variant>
        <vt:lpwstr>http://www.ides.bg/</vt:lpwstr>
      </vt:variant>
      <vt:variant>
        <vt:lpwstr/>
      </vt:variant>
      <vt:variant>
        <vt:i4>7208997</vt:i4>
      </vt:variant>
      <vt:variant>
        <vt:i4>42</vt:i4>
      </vt:variant>
      <vt:variant>
        <vt:i4>0</vt:i4>
      </vt:variant>
      <vt:variant>
        <vt:i4>5</vt:i4>
      </vt:variant>
      <vt:variant>
        <vt:lpwstr>http://www.ides.bg/</vt:lpwstr>
      </vt:variant>
      <vt:variant>
        <vt:lpwstr/>
      </vt:variant>
      <vt:variant>
        <vt:i4>7208997</vt:i4>
      </vt:variant>
      <vt:variant>
        <vt:i4>39</vt:i4>
      </vt:variant>
      <vt:variant>
        <vt:i4>0</vt:i4>
      </vt:variant>
      <vt:variant>
        <vt:i4>5</vt:i4>
      </vt:variant>
      <vt:variant>
        <vt:lpwstr>http://www.ides.bg/</vt:lpwstr>
      </vt:variant>
      <vt:variant>
        <vt:lpwstr/>
      </vt:variant>
      <vt:variant>
        <vt:i4>7208997</vt:i4>
      </vt:variant>
      <vt:variant>
        <vt:i4>36</vt:i4>
      </vt:variant>
      <vt:variant>
        <vt:i4>0</vt:i4>
      </vt:variant>
      <vt:variant>
        <vt:i4>5</vt:i4>
      </vt:variant>
      <vt:variant>
        <vt:lpwstr>http://www.ides.bg/</vt:lpwstr>
      </vt:variant>
      <vt:variant>
        <vt:lpwstr/>
      </vt:variant>
      <vt:variant>
        <vt:i4>7208997</vt:i4>
      </vt:variant>
      <vt:variant>
        <vt:i4>33</vt:i4>
      </vt:variant>
      <vt:variant>
        <vt:i4>0</vt:i4>
      </vt:variant>
      <vt:variant>
        <vt:i4>5</vt:i4>
      </vt:variant>
      <vt:variant>
        <vt:lpwstr>http://www.ides.bg/</vt:lpwstr>
      </vt:variant>
      <vt:variant>
        <vt:lpwstr/>
      </vt:variant>
      <vt:variant>
        <vt:i4>1179699</vt:i4>
      </vt:variant>
      <vt:variant>
        <vt:i4>26</vt:i4>
      </vt:variant>
      <vt:variant>
        <vt:i4>0</vt:i4>
      </vt:variant>
      <vt:variant>
        <vt:i4>5</vt:i4>
      </vt:variant>
      <vt:variant>
        <vt:lpwstr/>
      </vt:variant>
      <vt:variant>
        <vt:lpwstr>_Toc535242764</vt:lpwstr>
      </vt:variant>
      <vt:variant>
        <vt:i4>1179699</vt:i4>
      </vt:variant>
      <vt:variant>
        <vt:i4>20</vt:i4>
      </vt:variant>
      <vt:variant>
        <vt:i4>0</vt:i4>
      </vt:variant>
      <vt:variant>
        <vt:i4>5</vt:i4>
      </vt:variant>
      <vt:variant>
        <vt:lpwstr/>
      </vt:variant>
      <vt:variant>
        <vt:lpwstr>_Toc535242763</vt:lpwstr>
      </vt:variant>
      <vt:variant>
        <vt:i4>1179699</vt:i4>
      </vt:variant>
      <vt:variant>
        <vt:i4>14</vt:i4>
      </vt:variant>
      <vt:variant>
        <vt:i4>0</vt:i4>
      </vt:variant>
      <vt:variant>
        <vt:i4>5</vt:i4>
      </vt:variant>
      <vt:variant>
        <vt:lpwstr/>
      </vt:variant>
      <vt:variant>
        <vt:lpwstr>_Toc535242762</vt:lpwstr>
      </vt:variant>
      <vt:variant>
        <vt:i4>1179699</vt:i4>
      </vt:variant>
      <vt:variant>
        <vt:i4>8</vt:i4>
      </vt:variant>
      <vt:variant>
        <vt:i4>0</vt:i4>
      </vt:variant>
      <vt:variant>
        <vt:i4>5</vt:i4>
      </vt:variant>
      <vt:variant>
        <vt:lpwstr/>
      </vt:variant>
      <vt:variant>
        <vt:lpwstr>_Toc535242761</vt:lpwstr>
      </vt:variant>
      <vt:variant>
        <vt:i4>1179699</vt:i4>
      </vt:variant>
      <vt:variant>
        <vt:i4>2</vt:i4>
      </vt:variant>
      <vt:variant>
        <vt:i4>0</vt:i4>
      </vt:variant>
      <vt:variant>
        <vt:i4>5</vt:i4>
      </vt:variant>
      <vt:variant>
        <vt:lpwstr/>
      </vt:variant>
      <vt:variant>
        <vt:lpwstr>_Toc535242760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PC08</dc:creator>
  <cp:lastModifiedBy>VS</cp:lastModifiedBy>
  <cp:revision>15</cp:revision>
  <cp:lastPrinted>2019-02-13T12:21:00Z</cp:lastPrinted>
  <dcterms:created xsi:type="dcterms:W3CDTF">2019-02-28T05:14:00Z</dcterms:created>
  <dcterms:modified xsi:type="dcterms:W3CDTF">2019-03-02T08:43:00Z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