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1" w:rsidRPr="00EA46C3" w:rsidRDefault="005A0371" w:rsidP="005A0371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EA46C3">
        <w:rPr>
          <w:rFonts w:eastAsia="Times New Roman" w:cs="Helvetica"/>
          <w:b/>
          <w:bCs/>
          <w:color w:val="FFFFFF"/>
          <w:kern w:val="36"/>
          <w:sz w:val="58"/>
          <w:szCs w:val="58"/>
        </w:rPr>
        <w:t>IASB Update February 2019</w:t>
      </w:r>
    </w:p>
    <w:p w:rsidR="005A0371" w:rsidRPr="00EA46C3" w:rsidRDefault="00EA46C3" w:rsidP="005A0371">
      <w:pPr>
        <w:shd w:val="clear" w:color="auto" w:fill="A41F35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</w:rPr>
      </w:pPr>
      <w:r w:rsidRPr="00EA46C3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февруари 2019 г.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</w:p>
    <w:p w:rsidR="005A0371" w:rsidRPr="00EA46C3" w:rsidRDefault="00EA46C3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 :МСФО стандарти (</w:t>
      </w:r>
      <w:r w:rsidRPr="00EA46C3">
        <w:rPr>
          <w:rFonts w:eastAsia="Times New Roman" w:cs="Helvetica"/>
          <w:color w:val="575757"/>
          <w:sz w:val="24"/>
          <w:szCs w:val="24"/>
        </w:rPr>
        <w:t>IFRS</w:t>
      </w:r>
      <w:r w:rsidRPr="00EA46C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A46C3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EA46C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A46C3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EA46C3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EA46C3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</w:t>
      </w:r>
      <w:r w:rsidRPr="00EA46C3">
        <w:rPr>
          <w:rFonts w:eastAsia="Times New Roman" w:cs="Helvetica"/>
          <w:color w:val="575757"/>
          <w:sz w:val="24"/>
          <w:szCs w:val="24"/>
        </w:rPr>
        <w:t>IFRS</w:t>
      </w:r>
      <w:r w:rsidRPr="00EA46C3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EA46C3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</w:t>
      </w:r>
      <w:r w:rsidRPr="00EA46C3">
        <w:rPr>
          <w:rFonts w:eastAsia="Times New Roman" w:cs="Helvetica"/>
          <w:color w:val="575757"/>
          <w:sz w:val="24"/>
          <w:szCs w:val="24"/>
        </w:rPr>
        <w:t>IFRS</w:t>
      </w:r>
      <w:r w:rsidRPr="00EA46C3">
        <w:rPr>
          <w:rFonts w:eastAsia="Times New Roman" w:cs="Helvetica"/>
          <w:color w:val="575757"/>
          <w:sz w:val="24"/>
          <w:szCs w:val="24"/>
          <w:lang w:val="bg-BG"/>
        </w:rPr>
        <w:t xml:space="preserve"> Interpretation Committee</w:t>
      </w:r>
      <w:r>
        <w:rPr>
          <w:rFonts w:eastAsia="Times New Roman" w:cs="Helvetica"/>
          <w:color w:val="575757"/>
          <w:sz w:val="24"/>
          <w:szCs w:val="24"/>
        </w:rPr>
        <w:t>.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br/>
      </w:r>
      <w:r w:rsidR="005A0371" w:rsidRPr="00EA46C3">
        <w:rPr>
          <w:rFonts w:eastAsia="Times New Roman" w:cs="Helvetica"/>
          <w:color w:val="575757"/>
          <w:sz w:val="24"/>
          <w:szCs w:val="24"/>
        </w:rPr>
        <w:br/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заседания на 7 февруари 2019 г., вторник, и 8 февруари 2019 г., сряда, в офисите на Фондация МСФО в Лондон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EA46C3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A46C3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441525" w:rsidRDefault="00441525" w:rsidP="005A03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</w:rPr>
      </w:pPr>
      <w:proofErr w:type="spellStart"/>
      <w:r w:rsidRPr="00441525">
        <w:rPr>
          <w:rFonts w:eastAsia="Times New Roman" w:cs="Helvetica"/>
          <w:color w:val="CD3333"/>
          <w:sz w:val="24"/>
          <w:szCs w:val="24"/>
          <w:u w:val="single"/>
        </w:rPr>
        <w:t>Стандарт</w:t>
      </w:r>
      <w:proofErr w:type="spellEnd"/>
      <w:r w:rsidRPr="00441525">
        <w:rPr>
          <w:rFonts w:eastAsia="Times New Roman" w:cs="Helvetica"/>
          <w:color w:val="CD3333"/>
          <w:sz w:val="24"/>
          <w:szCs w:val="24"/>
          <w:u w:val="single"/>
        </w:rPr>
        <w:t xml:space="preserve"> </w:t>
      </w:r>
      <w:hyperlink r:id="rId5" w:anchor="1" w:history="1">
        <w:r w:rsidR="00EA46C3" w:rsidRPr="00441525">
          <w:rPr>
            <w:rFonts w:eastAsia="Times New Roman" w:cs="Helvetica"/>
            <w:i/>
            <w:color w:val="CD3333"/>
            <w:sz w:val="24"/>
            <w:szCs w:val="24"/>
            <w:u w:val="single"/>
          </w:rPr>
          <w:t>МСФО</w:t>
        </w:r>
        <w:r w:rsidR="005A0371" w:rsidRPr="00441525">
          <w:rPr>
            <w:rFonts w:eastAsia="Times New Roman" w:cs="Helvetica"/>
            <w:i/>
            <w:color w:val="CD3333"/>
            <w:sz w:val="24"/>
            <w:szCs w:val="24"/>
            <w:u w:val="single"/>
          </w:rPr>
          <w:t xml:space="preserve"> </w:t>
        </w:r>
        <w:proofErr w:type="spellStart"/>
        <w:r w:rsidRPr="00441525">
          <w:rPr>
            <w:rFonts w:eastAsia="Times New Roman" w:cs="Helvetica"/>
            <w:i/>
            <w:color w:val="CD3333"/>
            <w:sz w:val="24"/>
            <w:szCs w:val="24"/>
            <w:u w:val="single"/>
          </w:rPr>
          <w:t>за</w:t>
        </w:r>
        <w:proofErr w:type="spellEnd"/>
        <w:r w:rsidRPr="00441525">
          <w:rPr>
            <w:rFonts w:eastAsia="Times New Roman" w:cs="Helvetica"/>
            <w:i/>
            <w:color w:val="CD3333"/>
            <w:sz w:val="24"/>
            <w:szCs w:val="24"/>
            <w:u w:val="single"/>
          </w:rPr>
          <w:t xml:space="preserve"> </w:t>
        </w:r>
        <w:r>
          <w:rPr>
            <w:rFonts w:eastAsia="Times New Roman" w:cs="Helvetica"/>
            <w:i/>
            <w:color w:val="CD3333"/>
            <w:sz w:val="24"/>
            <w:szCs w:val="24"/>
            <w:u w:val="single"/>
            <w:lang w:val="bg-BG"/>
          </w:rPr>
          <w:t>МСП</w:t>
        </w:r>
        <w:r w:rsidR="005A0371" w:rsidRPr="00441525">
          <w:rPr>
            <w:rFonts w:eastAsia="Times New Roman" w:cs="Helvetica"/>
            <w:color w:val="CD3333"/>
            <w:sz w:val="24"/>
            <w:szCs w:val="24"/>
            <w:u w:val="single"/>
          </w:rPr>
          <w:t>®</w:t>
        </w:r>
        <w:r w:rsidR="005A0371" w:rsidRPr="00EA46C3">
          <w:rPr>
            <w:rFonts w:eastAsia="Times New Roman" w:cs="Helvetica"/>
            <w:color w:val="CD3333"/>
            <w:sz w:val="24"/>
            <w:szCs w:val="24"/>
            <w:u w:val="single"/>
          </w:rPr>
          <w:t>—</w:t>
        </w:r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преглед и актуализация</w:t>
        </w:r>
      </w:hyperlink>
    </w:p>
    <w:p w:rsidR="005A0371" w:rsidRPr="00EA46C3" w:rsidRDefault="00D268D2" w:rsidP="005A03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6" w:anchor="2" w:history="1">
        <w:r w:rsidR="0044152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5A0371" w:rsidRPr="00EA46C3" w:rsidRDefault="00D268D2" w:rsidP="005A03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7" w:anchor="3" w:history="1">
        <w:r w:rsidR="0044152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5A0371" w:rsidRPr="00EA46C3" w:rsidRDefault="00D268D2" w:rsidP="005A03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hyperlink r:id="rId8" w:anchor="4" w:history="1">
        <w:r w:rsidR="00441525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5A0371" w:rsidRPr="00EA46C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</w:t>
        </w:r>
        <w:r w:rsidR="00EA46C3" w:rsidRPr="00EA46C3">
          <w:rPr>
            <w:rFonts w:eastAsia="Times New Roman" w:cs="Helvetica"/>
            <w:color w:val="CD3333"/>
            <w:sz w:val="24"/>
            <w:szCs w:val="24"/>
            <w:u w:val="single"/>
          </w:rPr>
          <w:t>МСФО</w:t>
        </w:r>
        <w:r w:rsidR="005A0371" w:rsidRPr="00EA46C3">
          <w:rPr>
            <w:rFonts w:eastAsia="Times New Roman" w:cs="Helvetica"/>
            <w:color w:val="CD3333"/>
            <w:sz w:val="24"/>
            <w:szCs w:val="24"/>
            <w:u w:val="single"/>
          </w:rPr>
          <w:t xml:space="preserve"> 17 </w:t>
        </w:r>
        <w:r w:rsidR="00441525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5A0371" w:rsidRPr="00441525" w:rsidRDefault="00441525" w:rsidP="005A037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CD3333"/>
          <w:sz w:val="24"/>
          <w:szCs w:val="24"/>
          <w:u w:val="single"/>
          <w:lang w:val="bg-BG"/>
        </w:rPr>
      </w:pPr>
      <w:r w:rsidRPr="00441525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Реформата във връзка с референтните лихвени проценти </w:t>
      </w:r>
      <w:hyperlink r:id="rId9" w:anchor="5" w:history="1"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 нейният ефект върху финансовото отчитане</w:t>
        </w:r>
      </w:hyperlink>
    </w:p>
    <w:p w:rsidR="005A0371" w:rsidRPr="00EA46C3" w:rsidRDefault="0059730B" w:rsidP="005A0371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5A0371" w:rsidRPr="00EA46C3" w:rsidRDefault="0059730B" w:rsidP="005A0371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Бъдещи заседания на Съвета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5A0371" w:rsidP="005A03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 xml:space="preserve">11–15 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>март</w:t>
      </w:r>
      <w:r w:rsidRPr="00EA46C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A0371" w:rsidRPr="00EA46C3" w:rsidRDefault="005A0371" w:rsidP="005A03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 xml:space="preserve">8–12 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>април</w:t>
      </w:r>
      <w:r w:rsidRPr="00EA46C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A0371" w:rsidRPr="00EA46C3" w:rsidRDefault="005A0371" w:rsidP="005A0371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 xml:space="preserve">13–17 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Pr="00EA46C3">
        <w:rPr>
          <w:rFonts w:eastAsia="Times New Roman" w:cs="Helvetica"/>
          <w:color w:val="575757"/>
          <w:sz w:val="24"/>
          <w:szCs w:val="24"/>
        </w:rPr>
        <w:t xml:space="preserve"> 2019</w:t>
      </w:r>
      <w:r w:rsidR="0059730B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5A0371" w:rsidRPr="00EA46C3" w:rsidRDefault="005A0371" w:rsidP="005A0371">
      <w:pPr>
        <w:shd w:val="clear" w:color="auto" w:fill="F6F6F6"/>
        <w:spacing w:after="0" w:line="240" w:lineRule="auto"/>
        <w:rPr>
          <w:rFonts w:eastAsia="Times New Roman" w:cs="Helvetica"/>
          <w:color w:val="575757"/>
          <w:sz w:val="24"/>
          <w:szCs w:val="24"/>
        </w:rPr>
      </w:pPr>
    </w:p>
    <w:p w:rsidR="005A0371" w:rsidRPr="00EA46C3" w:rsidRDefault="005A0371" w:rsidP="005A03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0" w:name="1"/>
      <w:r w:rsidRPr="00EA46C3">
        <w:rPr>
          <w:rFonts w:eastAsia="Times New Roman" w:cs="Helvetica"/>
          <w:b/>
          <w:bCs/>
          <w:color w:val="CD3333"/>
          <w:sz w:val="34"/>
          <w:szCs w:val="34"/>
        </w:rPr>
        <w:lastRenderedPageBreak/>
        <w:t> </w:t>
      </w:r>
      <w:r w:rsidR="0044152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Стандарт </w:t>
      </w:r>
      <w:r w:rsidR="00441525" w:rsidRPr="00441525">
        <w:rPr>
          <w:rFonts w:eastAsia="Times New Roman" w:cs="Helvetica"/>
          <w:b/>
          <w:bCs/>
          <w:i/>
          <w:iCs/>
          <w:color w:val="CD3333"/>
          <w:sz w:val="34"/>
          <w:szCs w:val="34"/>
        </w:rPr>
        <w:t xml:space="preserve">МСФО </w:t>
      </w:r>
      <w:r w:rsidR="00441525" w:rsidRPr="00441525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 МСП</w:t>
      </w:r>
      <w:r w:rsidR="00441525" w:rsidRPr="00441525">
        <w:rPr>
          <w:rFonts w:eastAsia="Times New Roman" w:cs="Helvetica"/>
          <w:b/>
          <w:bCs/>
          <w:i/>
          <w:iCs/>
          <w:color w:val="CD3333"/>
          <w:sz w:val="34"/>
          <w:szCs w:val="34"/>
          <w:vertAlign w:val="superscript"/>
        </w:rPr>
        <w:t>®</w:t>
      </w:r>
      <w:r w:rsidRPr="00EA46C3">
        <w:rPr>
          <w:rFonts w:eastAsia="Times New Roman" w:cs="Helvetica"/>
          <w:b/>
          <w:bCs/>
          <w:color w:val="CD3333"/>
          <w:sz w:val="34"/>
          <w:szCs w:val="34"/>
        </w:rPr>
        <w:t>—</w:t>
      </w:r>
      <w:r w:rsidR="00441525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преглед и актуализация</w:t>
      </w:r>
      <w:r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F06C9C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30)</w:t>
      </w:r>
      <w:bookmarkEnd w:id="0"/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7 февруари 2019 г. Съветът проведе заседание, за да обсъди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560D32">
        <w:rPr>
          <w:rFonts w:eastAsia="Times New Roman" w:cs="Helvetica"/>
          <w:color w:val="575757"/>
          <w:sz w:val="24"/>
          <w:szCs w:val="24"/>
          <w:lang w:val="bg-BG"/>
        </w:rPr>
        <w:t>всеобхватния преглед през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2019 </w:t>
      </w:r>
      <w:r w:rsidR="00560D32">
        <w:rPr>
          <w:rFonts w:eastAsia="Times New Roman" w:cs="Helvetica"/>
          <w:color w:val="575757"/>
          <w:sz w:val="24"/>
          <w:szCs w:val="24"/>
          <w:lang w:val="bg-BG"/>
        </w:rPr>
        <w:t>г. на стандарта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 w:rsidR="00EA46C3" w:rsidRPr="00EA46C3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560D3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30A, </w:t>
      </w:r>
      <w:r w:rsidR="00560D32">
        <w:rPr>
          <w:rFonts w:eastAsia="Times New Roman" w:cs="Helvetica"/>
          <w:color w:val="575757"/>
          <w:sz w:val="24"/>
          <w:szCs w:val="24"/>
          <w:lang w:val="bg-BG"/>
        </w:rPr>
        <w:t>който бе представен пред Съвета единствено с информационна цел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560D32">
        <w:rPr>
          <w:rFonts w:eastAsia="Times New Roman" w:cs="Helvetica"/>
          <w:color w:val="575757"/>
          <w:sz w:val="24"/>
          <w:szCs w:val="24"/>
          <w:lang w:val="bg-BG"/>
        </w:rPr>
        <w:t>описва разработването на стандарта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 w:rsidR="00EA46C3" w:rsidRPr="00EA46C3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 w:rsidR="00560D32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560D32">
        <w:rPr>
          <w:rFonts w:eastAsia="Times New Roman" w:cs="Helvetica"/>
          <w:color w:val="575757"/>
          <w:sz w:val="24"/>
          <w:szCs w:val="24"/>
          <w:lang w:val="bg-BG"/>
        </w:rPr>
        <w:t>включително първоначално направения от Съвета всеобхватен преглед през 2015 г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560D32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План на проекта за всеобхватен преглед през 2019 г. на стандарта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 </w:t>
      </w:r>
      <w:r w:rsidR="00EA46C3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МСФО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за МСП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30)</w:t>
      </w:r>
    </w:p>
    <w:p w:rsidR="005A0371" w:rsidRPr="00EA46C3" w:rsidRDefault="00ED2ECF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утвърди предложения график във връзка с проекта за всеобхватен преглед през 2019 г. на стандарта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 w:rsidR="00EA46C3" w:rsidRPr="00EA46C3">
        <w:rPr>
          <w:rFonts w:eastAsia="Times New Roman" w:cs="Helvetica"/>
          <w:i/>
          <w:iCs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i/>
          <w:iCs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D2ECF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ED2EC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ED2EC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865A8D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65A8D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D2ECF" w:rsidRPr="00865A8D">
        <w:rPr>
          <w:rFonts w:eastAsia="Times New Roman" w:cs="Helvetica"/>
          <w:color w:val="575757"/>
          <w:sz w:val="24"/>
          <w:szCs w:val="24"/>
          <w:lang w:val="bg-BG"/>
        </w:rPr>
        <w:t>, че Искането за предоставяне на информация следва да изиска конкретно предоставяне на виждания относно това дали и ако да, как, стандартът</w:t>
      </w:r>
      <w:r w:rsidR="005A0371" w:rsidRPr="00865A8D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EA46C3" w:rsidRPr="00865A8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5A0371" w:rsidRPr="00865A8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ED2ECF" w:rsidRPr="00865A8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5A0371" w:rsidRPr="00865A8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 </w:t>
      </w:r>
      <w:r w:rsidR="00ED2ECF" w:rsidRPr="00865A8D">
        <w:rPr>
          <w:rFonts w:eastAsia="Times New Roman" w:cs="Helvetica"/>
          <w:color w:val="575757"/>
          <w:sz w:val="24"/>
          <w:szCs w:val="24"/>
          <w:lang w:val="bg-BG"/>
        </w:rPr>
        <w:t>следва да бъде актуализиран, за да вземе под внимание пълните МСФО стандарти и изменения</w:t>
      </w:r>
      <w:r w:rsidR="00865A8D">
        <w:rPr>
          <w:rFonts w:eastAsia="Times New Roman" w:cs="Helvetica"/>
          <w:color w:val="575757"/>
          <w:sz w:val="24"/>
          <w:szCs w:val="24"/>
          <w:lang w:val="bg-BG"/>
        </w:rPr>
        <w:t>та в тях</w:t>
      </w:r>
      <w:r w:rsidR="00ED2ECF" w:rsidRPr="00865A8D">
        <w:rPr>
          <w:rFonts w:eastAsia="Times New Roman" w:cs="Helvetica"/>
          <w:color w:val="575757"/>
          <w:sz w:val="24"/>
          <w:szCs w:val="24"/>
          <w:lang w:val="bg-BG"/>
        </w:rPr>
        <w:t xml:space="preserve">, които понастоящем не са включени в стандарта </w:t>
      </w:r>
      <w:r w:rsidR="00ED2ECF" w:rsidRPr="00865A8D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 за МСП</w:t>
      </w:r>
      <w:r w:rsidR="005A0371" w:rsidRPr="00865A8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865A8D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65A8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865A8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865A8D" w:rsidRDefault="00865A8D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65A8D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кои теми да обсъди на бъдещи свои заседания</w:t>
      </w:r>
      <w:r w:rsidR="005A0371" w:rsidRPr="00865A8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865A8D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65A8D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865A8D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865A8D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865A8D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A0371" w:rsidRPr="00EA46C3" w:rsidRDefault="00865A8D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През март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2019 </w:t>
      </w:r>
      <w:r>
        <w:rPr>
          <w:rFonts w:eastAsia="Times New Roman" w:cs="Helvetica"/>
          <w:color w:val="575757"/>
          <w:sz w:val="24"/>
          <w:szCs w:val="24"/>
          <w:lang w:val="bg-BG"/>
        </w:rPr>
        <w:t>г. Съветът планира да обсъди обхвата на стандарта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 w:rsidR="00ED2ECF" w:rsidRPr="00ED2ECF">
        <w:rPr>
          <w:rFonts w:eastAsia="Times New Roman" w:cs="Helvetica"/>
          <w:i/>
          <w:iCs/>
          <w:color w:val="575757"/>
          <w:sz w:val="24"/>
          <w:szCs w:val="24"/>
        </w:rPr>
        <w:t xml:space="preserve">МСФО </w:t>
      </w:r>
      <w:r w:rsidR="00ED2ECF" w:rsidRPr="00ED2EC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 МСП</w:t>
      </w:r>
      <w:r w:rsidR="00ED2ECF" w:rsidRPr="00ED2ECF">
        <w:rPr>
          <w:rFonts w:eastAsia="Times New Roman" w:cs="Helvetica"/>
          <w:i/>
          <w:iCs/>
          <w:color w:val="575757"/>
          <w:sz w:val="24"/>
          <w:szCs w:val="24"/>
        </w:rPr>
        <w:t> 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както и взаимовръзката му с пълните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стандарти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> </w:t>
      </w:r>
    </w:p>
    <w:p w:rsidR="005A0371" w:rsidRPr="00EA46C3" w:rsidRDefault="00441525" w:rsidP="005A03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устна актуализация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>)</w:t>
      </w:r>
      <w:bookmarkEnd w:id="1"/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F06C9C">
        <w:rPr>
          <w:rFonts w:eastAsia="Times New Roman" w:cs="Helvetica"/>
          <w:color w:val="575757"/>
          <w:sz w:val="24"/>
          <w:szCs w:val="24"/>
          <w:lang w:val="bg-BG"/>
        </w:rPr>
        <w:t xml:space="preserve">На 7 февруари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бъде запознат с актуална информация</w:t>
      </w:r>
      <w:r w:rsidRPr="00F06C9C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hyperlink r:id="rId10" w:history="1">
        <w:r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този проект</w:t>
        </w:r>
      </w:hyperlink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и най-важните становища от заседанието на </w:t>
      </w: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Консултативната група във връзка с коментара на ръководството, което се проведе през януари 2019 г.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B624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624C3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A0371" w:rsidRPr="00B624C3" w:rsidRDefault="00B624C3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624C3">
        <w:rPr>
          <w:rFonts w:eastAsia="Times New Roman" w:cs="Helvetica"/>
          <w:color w:val="575757"/>
          <w:sz w:val="24"/>
          <w:szCs w:val="24"/>
          <w:lang w:val="bg-BG"/>
        </w:rPr>
        <w:t>Следващото заседание на Консултативната група ще се проведе през април 2019 г. Съветът очаква да продължи с обсъжданията по проекта по време на заседанието си през май.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> </w:t>
      </w:r>
    </w:p>
    <w:p w:rsidR="005A0371" w:rsidRPr="00EA46C3" w:rsidRDefault="00441525" w:rsidP="005A03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(</w:t>
      </w:r>
      <w:r w:rsidR="00F06C9C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21)</w:t>
      </w:r>
      <w:bookmarkEnd w:id="2"/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F06C9C">
        <w:rPr>
          <w:rFonts w:eastAsia="Times New Roman" w:cs="Helvetica"/>
          <w:color w:val="575757"/>
          <w:sz w:val="24"/>
          <w:szCs w:val="24"/>
          <w:lang w:val="bg-BG"/>
        </w:rPr>
        <w:t>На 7 февруари 2019 г. Съветът проведе заседание, за да обсъди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B624C3" w:rsidP="005A03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класификацията на приходи и разходи в отчета или отчетите за финансовото състояние на финансови предприятия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 обсъжданията, проведени по време на заседанието през септември 2018 г.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;</w:t>
      </w:r>
    </w:p>
    <w:p w:rsidR="005A0371" w:rsidRPr="00EA46C3" w:rsidRDefault="00B624C3" w:rsidP="005A03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два оставащи за разрешаване въпроса относно отчета за паричните потоци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B624C3" w:rsidP="005A037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допълнителни предложения относно агрегирането и дезагрегирането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B624C3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Класификация на приходи и разходи от финансови предприятия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21A)</w:t>
      </w:r>
    </w:p>
    <w:p w:rsidR="005A0371" w:rsidRPr="00EA46C3" w:rsidRDefault="00B624C3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Съветът обсъди този въпрос във връзка с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B624C3" w:rsidP="005A037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предприятия, които предоставят финансиране на клиенти като основна стопанска дейност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B624C3" w:rsidP="005A037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B624C3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предприятия, които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хода на основната си стопанска дейност инвестират в активи, генериращи възвръщаемост самостоятелно и до голяма степен независимо от останалите ресурси, държани от предприятието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B624C3" w:rsidRDefault="00B624C3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B624C3">
        <w:rPr>
          <w:rFonts w:eastAsia="Times New Roman" w:cs="Helvetica"/>
          <w:color w:val="575757"/>
          <w:sz w:val="24"/>
          <w:szCs w:val="24"/>
          <w:lang w:val="bg-BG"/>
        </w:rPr>
        <w:t>При преразглеждане на подхода, решение за който бе взето през септември 2018 г.</w:t>
      </w:r>
      <w:r w:rsidR="005A0371" w:rsidRPr="00B624C3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732816" w:rsidRPr="00B624C3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B624C3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5A0371" w:rsidRPr="00B624C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B624C3" w:rsidRDefault="00127780" w:rsidP="00B624C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 предприятие от вида, описан в точка</w:t>
      </w:r>
      <w:r w:rsidR="005A0371" w:rsidRPr="00B624C3">
        <w:rPr>
          <w:rFonts w:eastAsia="Times New Roman" w:cs="Helvetica"/>
          <w:color w:val="575757"/>
          <w:sz w:val="24"/>
          <w:szCs w:val="24"/>
          <w:lang w:val="bg-BG"/>
        </w:rPr>
        <w:t xml:space="preserve"> (a)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по-горе се изисква да включва в оперативната печалба</w:t>
      </w:r>
      <w:r w:rsidR="005A0371" w:rsidRPr="00B624C3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EA46C3" w:rsidRDefault="00127780" w:rsidP="005A0371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разходи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 дейности по финансиране и приходи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>те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от парични средства и парични еквиваленти, свързани с предоставянето на финансиране на клиентите;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5A0371" w:rsidRPr="00EA46C3" w:rsidRDefault="00127780" w:rsidP="005A0371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всички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127780">
        <w:rPr>
          <w:rFonts w:eastAsia="Times New Roman" w:cs="Helvetica"/>
          <w:color w:val="575757"/>
          <w:sz w:val="24"/>
          <w:szCs w:val="24"/>
          <w:lang w:val="bg-BG"/>
        </w:rPr>
        <w:t>разходи от дейности по финансиране и приходи от парични средства и парични еквиваленти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lastRenderedPageBreak/>
        <w:tab/>
      </w:r>
      <w:r w:rsidR="00732816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Pr="00EA46C3">
        <w:rPr>
          <w:rFonts w:eastAsia="Times New Roman" w:cs="Helvetica"/>
          <w:color w:val="575757"/>
          <w:sz w:val="24"/>
          <w:szCs w:val="24"/>
        </w:rPr>
        <w:t>.  </w:t>
      </w:r>
    </w:p>
    <w:p w:rsidR="005A0371" w:rsidRPr="007F1B40" w:rsidRDefault="005D2257" w:rsidP="007F1B4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5D2257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 от вида, описан в точка 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(a)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не следва да представя междинен сбор „печалба преди финансиране и данъци върху дохода“, ако предприятието не представя разходи от дейности по финансиране или приходи от парични средства и парични еквиваленти под оперативната печалба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Това е приложимо дори когато такова предприятие представя в отчета или отчетите за финансовите резултати от дейността си амортизацията на сконтото по пасиви, които не произтичат от дейности по финансиране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7F1B40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7F1B40" w:rsidRDefault="005D2257" w:rsidP="007F1B40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от </w:t>
      </w:r>
      <w:r w:rsidRPr="005D2257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 от вида, описан в точка 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>(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се изисква да включва в оперативната печалба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приходи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разходи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 инвестиции, направени в хода на основната стопанска дейност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7F1B40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7F1B40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5D2257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Оставащи за разрешаване въпроси относно отчета за паричните потоци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A0371" w:rsidRPr="004A4CAA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D2257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, че отправната точка за непрякото равняване на оперативните парични потоци </w:t>
      </w:r>
      <w:r w:rsidR="004A4CAA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по отношение на всички предприятия </w:t>
      </w:r>
      <w:r w:rsidR="005D2257" w:rsidRPr="004A4CAA">
        <w:rPr>
          <w:rFonts w:eastAsia="Times New Roman" w:cs="Helvetica"/>
          <w:color w:val="575757"/>
          <w:sz w:val="24"/>
          <w:szCs w:val="24"/>
          <w:lang w:val="bg-BG"/>
        </w:rPr>
        <w:t>е междинния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т</w:t>
      </w:r>
      <w:r w:rsidR="005D2257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 сбор на оперативната печалба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5D2257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изменяйки по този начин неокончателното си решение от заседанието през декември 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>2017</w:t>
      </w:r>
      <w:r w:rsidR="005D2257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4A4CAA" w:rsidRDefault="004A4CAA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</w:t>
      </w: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допълнение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732816" w:rsidRPr="004A4CAA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4A4CAA" w:rsidRDefault="004A4CAA" w:rsidP="005A0371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всички предприятия следва да класифицират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4A4CAA" w:rsidRDefault="004A4CAA" w:rsidP="005A0371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паричните потоци от платени дивиденти като парични потоци по финансиране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4A4CAA" w:rsidRDefault="004A4CAA" w:rsidP="005A0371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паричните потоци от дивиденти, получени от асоциирани и съвместни предприятия, отчитани счетоводно с помощта на метода на собствения капитал, като парични потоци от инвестиране</w:t>
      </w:r>
      <w:r w:rsidR="005A0371" w:rsidRPr="004A4CAA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4A4CAA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4A4CAA">
        <w:rPr>
          <w:rFonts w:eastAsia="Times New Roman" w:cs="Helvetica"/>
          <w:color w:val="575757"/>
          <w:sz w:val="24"/>
          <w:szCs w:val="24"/>
          <w:lang w:val="bg-BG"/>
        </w:rPr>
        <w:tab/>
      </w:r>
      <w:r w:rsidR="00732816" w:rsidRPr="004A4CAA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Pr="004A4CAA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F06C9C" w:rsidP="00732816">
      <w:pPr>
        <w:ind w:left="540" w:hanging="360"/>
      </w:pPr>
      <w:r w:rsidRPr="00732816">
        <w:rPr>
          <w:rFonts w:eastAsia="Times New Roman" w:cs="Helvetica"/>
          <w:color w:val="575757"/>
          <w:sz w:val="24"/>
          <w:szCs w:val="24"/>
        </w:rPr>
        <w:t xml:space="preserve">(б) </w:t>
      </w:r>
      <w:proofErr w:type="gramStart"/>
      <w:r w:rsidR="004A4CAA">
        <w:rPr>
          <w:rFonts w:eastAsia="Times New Roman" w:cs="Helvetica"/>
          <w:color w:val="575757"/>
          <w:sz w:val="24"/>
          <w:szCs w:val="24"/>
          <w:lang w:val="bg-BG"/>
        </w:rPr>
        <w:t>финансовите</w:t>
      </w:r>
      <w:proofErr w:type="gramEnd"/>
      <w:r w:rsidR="004A4CAA">
        <w:rPr>
          <w:rFonts w:eastAsia="Times New Roman" w:cs="Helvetica"/>
          <w:color w:val="575757"/>
          <w:sz w:val="24"/>
          <w:szCs w:val="24"/>
          <w:lang w:val="bg-BG"/>
        </w:rPr>
        <w:t xml:space="preserve"> предприятия</w:t>
      </w:r>
      <w:r w:rsidR="005A0371" w:rsidRPr="00732816">
        <w:rPr>
          <w:rFonts w:eastAsia="Times New Roman" w:cs="Helvetica"/>
          <w:color w:val="575757"/>
          <w:sz w:val="24"/>
          <w:szCs w:val="24"/>
        </w:rPr>
        <w:t xml:space="preserve"> (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предприятия, които предоставят финансиране на клиенти като своя основна стопанска дейност и</w:t>
      </w:r>
      <w:r w:rsidR="005A0371" w:rsidRPr="00732816">
        <w:rPr>
          <w:rFonts w:eastAsia="Times New Roman" w:cs="Helvetica"/>
          <w:color w:val="575757"/>
          <w:sz w:val="24"/>
          <w:szCs w:val="24"/>
        </w:rPr>
        <w:t>/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 xml:space="preserve">или инвестират в хода на основната си стопанска дейност в активи, </w:t>
      </w:r>
      <w:r w:rsidR="004A4CAA" w:rsidRPr="004A4CAA">
        <w:rPr>
          <w:rFonts w:eastAsia="Times New Roman" w:cs="Helvetica"/>
          <w:color w:val="575757"/>
          <w:sz w:val="24"/>
          <w:szCs w:val="24"/>
          <w:lang w:val="bg-BG"/>
        </w:rPr>
        <w:t>генериращи възвръщаемост самостоятелно и до голяма степен н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езависимо от останалите ресурси</w:t>
      </w:r>
      <w:r w:rsidR="005A0371" w:rsidRPr="00732816">
        <w:rPr>
          <w:rFonts w:eastAsia="Times New Roman" w:cs="Helvetica"/>
          <w:color w:val="575757"/>
          <w:sz w:val="24"/>
          <w:szCs w:val="24"/>
        </w:rPr>
        <w:t xml:space="preserve">) 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следва да класифицират паричните потоци от получени дивиденти</w:t>
      </w:r>
      <w:r w:rsidR="005A0371" w:rsidRPr="00732816">
        <w:rPr>
          <w:rFonts w:eastAsia="Times New Roman" w:cs="Helvetica"/>
          <w:color w:val="575757"/>
          <w:sz w:val="24"/>
          <w:szCs w:val="24"/>
        </w:rPr>
        <w:t xml:space="preserve">, 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 xml:space="preserve">платени лихви и получени лихви в един 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 xml:space="preserve">единствен 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раздел от отчета за паричните потоци</w:t>
      </w:r>
      <w:r w:rsidR="005A0371" w:rsidRPr="00732816">
        <w:rPr>
          <w:rFonts w:eastAsia="Times New Roman" w:cs="Helvetica"/>
          <w:color w:val="575757"/>
          <w:sz w:val="24"/>
          <w:szCs w:val="24"/>
        </w:rPr>
        <w:t xml:space="preserve">. </w:t>
      </w:r>
      <w:r w:rsidR="004A4CAA">
        <w:rPr>
          <w:rFonts w:eastAsia="Times New Roman" w:cs="Helvetica"/>
          <w:color w:val="575757"/>
          <w:sz w:val="24"/>
          <w:szCs w:val="24"/>
          <w:lang w:val="bg-BG"/>
        </w:rPr>
        <w:t>Финансовите предприятия следва да определят раздела, в който да класифицират тези парични потоци, както следва</w:t>
      </w:r>
      <w:r w:rsidR="005A0371" w:rsidRPr="00EA46C3">
        <w:t>:</w:t>
      </w:r>
    </w:p>
    <w:p w:rsidR="005A0371" w:rsidRPr="00EA46C3" w:rsidRDefault="00D44D27" w:rsidP="005A0371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ако предприятието представя свързаните с това приходи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разходи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 един 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 xml:space="preserve">единствен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раздел от отчета или отчетите за финансовите резултати от дейността, предприятието следва да представя свързаните с това парични потоци в този раздел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5A0371" w:rsidRPr="00EA46C3" w:rsidRDefault="00D44D27" w:rsidP="005A0371">
      <w:pPr>
        <w:numPr>
          <w:ilvl w:val="1"/>
          <w:numId w:val="8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 w:rsidRPr="00D44D27">
        <w:rPr>
          <w:rFonts w:eastAsia="Times New Roman" w:cs="Helvetica"/>
          <w:color w:val="575757"/>
          <w:sz w:val="24"/>
          <w:szCs w:val="24"/>
          <w:lang w:val="bg-BG"/>
        </w:rPr>
        <w:t>ако предприятието представя свързаните с това приходи</w:t>
      </w:r>
      <w:r w:rsidRPr="00D44D27">
        <w:rPr>
          <w:rFonts w:eastAsia="Times New Roman" w:cs="Helvetica"/>
          <w:color w:val="575757"/>
          <w:sz w:val="24"/>
          <w:szCs w:val="24"/>
        </w:rPr>
        <w:t xml:space="preserve"> (</w:t>
      </w:r>
      <w:r w:rsidRPr="00D44D27">
        <w:rPr>
          <w:rFonts w:eastAsia="Times New Roman" w:cs="Helvetica"/>
          <w:color w:val="575757"/>
          <w:sz w:val="24"/>
          <w:szCs w:val="24"/>
          <w:lang w:val="bg-BG"/>
        </w:rPr>
        <w:t>разходи</w:t>
      </w:r>
      <w:r w:rsidRPr="00D44D27">
        <w:rPr>
          <w:rFonts w:eastAsia="Times New Roman" w:cs="Helvetica"/>
          <w:color w:val="575757"/>
          <w:sz w:val="24"/>
          <w:szCs w:val="24"/>
        </w:rPr>
        <w:t xml:space="preserve">) </w:t>
      </w:r>
      <w:r w:rsidRPr="00D44D27">
        <w:rPr>
          <w:rFonts w:eastAsia="Times New Roman" w:cs="Helvetica"/>
          <w:color w:val="575757"/>
          <w:sz w:val="24"/>
          <w:szCs w:val="24"/>
          <w:lang w:val="bg-BG"/>
        </w:rPr>
        <w:t xml:space="preserve">в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повече от един раздел в </w:t>
      </w:r>
      <w:r w:rsidRPr="00D44D27">
        <w:rPr>
          <w:rFonts w:eastAsia="Times New Roman" w:cs="Helvetica"/>
          <w:color w:val="575757"/>
          <w:sz w:val="24"/>
          <w:szCs w:val="24"/>
          <w:lang w:val="bg-BG"/>
        </w:rPr>
        <w:t>отчета или отчетите за финансовите резултати от дейността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направи избор на счетоводна политика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относно раздела на отчета за паричните потоци, в който да представя свързаните с това парични потоци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Единадесет</w:t>
      </w:r>
      <w:r w:rsidRPr="00732816">
        <w:rPr>
          <w:rFonts w:eastAsia="Times New Roman" w:cs="Helvetica"/>
          <w:color w:val="575757"/>
          <w:sz w:val="24"/>
          <w:szCs w:val="24"/>
          <w:lang w:val="bg-BG"/>
        </w:rPr>
        <w:t xml:space="preserve"> от четиринадесетте членове на Съвета изразиха съгласие, а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трима</w:t>
      </w:r>
      <w:r w:rsidRPr="00732816">
        <w:rPr>
          <w:rFonts w:eastAsia="Times New Roman" w:cs="Helvetica"/>
          <w:color w:val="575757"/>
          <w:sz w:val="24"/>
          <w:szCs w:val="24"/>
          <w:lang w:val="bg-BG"/>
        </w:rPr>
        <w:t xml:space="preserve"> – несъгласие с това решение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D44D27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Д</w:t>
      </w:r>
      <w:r w:rsidRPr="00D44D27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опълнителни предложения относно агрегирането и дезагрегирането</w:t>
      </w:r>
      <w:r w:rsidRPr="00D44D27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21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A0371" w:rsidRPr="00EA46C3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proofErr w:type="spellStart"/>
      <w:r>
        <w:rPr>
          <w:rFonts w:eastAsia="Times New Roman" w:cs="Helvetica"/>
          <w:color w:val="575757"/>
          <w:sz w:val="24"/>
          <w:szCs w:val="24"/>
        </w:rPr>
        <w:t>Съветът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реши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в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порядък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на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работна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хипотеза</w:t>
      </w:r>
      <w:proofErr w:type="spellEnd"/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6934BB">
        <w:rPr>
          <w:rFonts w:eastAsia="Times New Roman" w:cs="Helvetica"/>
          <w:color w:val="575757"/>
          <w:sz w:val="24"/>
          <w:szCs w:val="24"/>
          <w:lang w:val="bg-BG"/>
        </w:rPr>
        <w:t>при условие че бъдат направени редакционни подобрения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6934BB">
        <w:rPr>
          <w:rFonts w:eastAsia="Times New Roman" w:cs="Helvetica"/>
          <w:color w:val="575757"/>
          <w:sz w:val="24"/>
          <w:szCs w:val="24"/>
          <w:lang w:val="bg-BG"/>
        </w:rPr>
        <w:t>да замени насоките, решение за които бе взето по време на заседанието на Съвета през март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2017 </w:t>
      </w:r>
      <w:r w:rsidR="006934BB">
        <w:rPr>
          <w:rFonts w:eastAsia="Times New Roman" w:cs="Helvetica"/>
          <w:color w:val="575757"/>
          <w:sz w:val="24"/>
          <w:szCs w:val="24"/>
          <w:lang w:val="bg-BG"/>
        </w:rPr>
        <w:t>г. относно стъпките, участващи при изготвянето на финансовия отчет с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6934BB" w:rsidP="005A0371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описание, че агрегирането и дезагрегирането включват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6934BB" w:rsidP="005A03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класифициране на ефекта от отделни сделки и операции в активи, пасиви, собствен капитал, приходи и разходи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;</w:t>
      </w:r>
    </w:p>
    <w:p w:rsidR="005A0371" w:rsidRPr="00EA46C3" w:rsidRDefault="006934BB" w:rsidP="005A03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разделяне на активите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пасивите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собствения капитал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приходите и разходите в групи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базата на техните характеристики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например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тяхното естество, тяхната функция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тяхната база за оценяване или друга характеристика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)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което води в резултат до представянето на позиции на отделни редове, които споделят поне една характеристика в основните финансови отчети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6934BB" w:rsidP="005A0371">
      <w:pPr>
        <w:numPr>
          <w:ilvl w:val="1"/>
          <w:numId w:val="9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разделяне на позициите на отделни редове, представени в основните финансови отчети на базата на допълнителни характеристики, водещо в резултат от отделно оповестяване на позиции в пояснителните приложения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ако тези позиции са съществени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6934BB" w:rsidP="005A0371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подкрепа за насоки съгласно положенията, разгледани 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F06C9C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21</w:t>
      </w:r>
      <w:r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6934BB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6934BB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6934BB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6934BB" w:rsidRDefault="006934BB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6934BB">
        <w:rPr>
          <w:rFonts w:eastAsia="Times New Roman" w:cs="Helvetica"/>
          <w:color w:val="575757"/>
          <w:sz w:val="24"/>
          <w:szCs w:val="24"/>
          <w:lang w:val="bg-BG"/>
        </w:rPr>
        <w:t>В допълнение</w:t>
      </w:r>
      <w:r w:rsidR="005A0371" w:rsidRPr="006934BB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732816" w:rsidRPr="006934BB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A0371" w:rsidRPr="006934BB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6934BB">
        <w:rPr>
          <w:rFonts w:eastAsia="Times New Roman" w:cs="Helvetica"/>
          <w:color w:val="575757"/>
          <w:sz w:val="24"/>
          <w:szCs w:val="24"/>
          <w:lang w:val="bg-BG"/>
        </w:rPr>
        <w:t>да предостави следните допълнителни насоки по отношение на съществените салда, съставени от несъществени позиции</w:t>
      </w:r>
      <w:r w:rsidR="005A0371" w:rsidRPr="006934BB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EA46C3" w:rsidRDefault="006934BB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Позициите, представени в основните финансови отчети или оповестени в пояснителните приложения, следва да бъдат описани по начин, който достоверно да представя </w:t>
      </w:r>
      <w:r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позициите, които са обединени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Достоверно представяне би могло да бъде постигнато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чрез използването на наименования на позицията, които описват споделените характеристики, формиращи базата за агрегирането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При изготвяне на финансовия отчет предприятието може да идентифицира позиции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които не изглежда да споделят характеристики с други позиции и не са съществени, но когато бъдат обединени биха довели в резултат до съществено салдо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Обозначаването на тези позиции с неописателно наименование, като например „други“ не би представило достоверно тези позиции без допълнителна информация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За да представи достоверно тези позиции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D827A6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72551F" w:rsidP="005A03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прецени отново дали несъществената позиция 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>/</w:t>
      </w:r>
      <w:r>
        <w:rPr>
          <w:rFonts w:eastAsia="Times New Roman" w:cs="Helvetica"/>
          <w:color w:val="575757"/>
          <w:sz w:val="24"/>
          <w:szCs w:val="24"/>
          <w:lang w:val="bg-BG"/>
        </w:rPr>
        <w:t>или позиции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>/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споделя сходни характеристики с друга несъществена позиция или позиции и може да бъде обединена, за да създаде съществена позиция, която да може да бъде описана по начин, който достоверно да представя обединените позиции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;</w:t>
      </w:r>
    </w:p>
    <w:p w:rsidR="005A0371" w:rsidRPr="00EA46C3" w:rsidRDefault="0072551F" w:rsidP="005A03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прецени дали обединените позиции могат да бъдат описани по начин, който достоверно да представя несходните позиции</w:t>
      </w:r>
      <w:r w:rsidR="00CE7A92">
        <w:rPr>
          <w:rFonts w:eastAsia="Times New Roman" w:cs="Helvetica"/>
          <w:color w:val="575757"/>
          <w:sz w:val="24"/>
          <w:szCs w:val="24"/>
          <w:lang w:val="bg-BG"/>
        </w:rPr>
        <w:t>,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без да променя нивото на агрегиране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72551F" w:rsidP="005A0371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ако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са практически неосъществими, да оповести информация в пояснителните приложения относно състава на обединената позиция, например, „салдото се състои от няколко несвързани помежду си несъществени суми, най-голямото салдо от които е 10 ВЕ, представляващи разход за поддръжка на имот“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732816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 етап</w:t>
      </w:r>
    </w:p>
    <w:p w:rsidR="005A0371" w:rsidRPr="00EA46C3" w:rsidRDefault="0072551F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продължи с обсъждането на темите, попадащи в обхвата на проекта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> </w:t>
      </w:r>
    </w:p>
    <w:p w:rsidR="005A0371" w:rsidRPr="00EA46C3" w:rsidRDefault="00441525" w:rsidP="005A03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EA46C3" w:rsidRPr="00EA46C3">
        <w:rPr>
          <w:rFonts w:eastAsia="Times New Roman" w:cs="Helvetica"/>
          <w:b/>
          <w:bCs/>
          <w:color w:val="CD3333"/>
          <w:sz w:val="34"/>
          <w:szCs w:val="34"/>
        </w:rPr>
        <w:t>МСФО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17 </w:t>
      </w:r>
      <w:r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> (</w:t>
      </w:r>
      <w:r w:rsidR="00F06C9C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2)</w:t>
      </w:r>
      <w:bookmarkEnd w:id="3"/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F06C9C">
        <w:rPr>
          <w:rFonts w:eastAsia="Times New Roman" w:cs="Helvetica"/>
          <w:color w:val="575757"/>
          <w:sz w:val="24"/>
          <w:szCs w:val="24"/>
          <w:lang w:val="bg-BG"/>
        </w:rPr>
        <w:t xml:space="preserve">На 7 февруари 2019 г. Съветът проведе заседание, за 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разгледа</w:t>
      </w:r>
      <w:r w:rsidRPr="00F06C9C">
        <w:rPr>
          <w:rFonts w:eastAsia="Times New Roman" w:cs="Helvetica"/>
          <w:color w:val="575757"/>
          <w:sz w:val="24"/>
          <w:szCs w:val="24"/>
        </w:rPr>
        <w:t xml:space="preserve"> 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възможни изменения на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17 </w:t>
      </w:r>
      <w:r w:rsidR="00251FF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договори,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отнасящи се до следните теми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251FF0" w:rsidP="005A037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кредити, които прехвърлят съществен застрахователен риск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—</w:t>
      </w:r>
      <w:r w:rsidR="00F06C9C">
        <w:rPr>
          <w:rFonts w:eastAsia="Times New Roman" w:cs="Helvetica"/>
          <w:color w:val="575757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2A;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FA0807" w:rsidP="005A0371">
      <w:pPr>
        <w:numPr>
          <w:ilvl w:val="0"/>
          <w:numId w:val="1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преминаване към стандарта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—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Документи по програмата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, 2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2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251FF0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Кредити, които прехвърлят съществен застрахователен риск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2A)</w:t>
      </w:r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251FF0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да измени обхвата на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251FF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251FF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9 </w:t>
      </w:r>
      <w:r w:rsidR="00251FF0" w:rsidRPr="00251FF0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по отношение на застрахователни договори, които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предоставят застрахователно покритие 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единствено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за уреждането задължението на притежателя на полицата, породено от договора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Тези изменения ще позволят на предприятията, издаващи такива договори да отчитат счетоводно тези договори, като прилагат или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251FF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>17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или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251FF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9.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>Изборът ще се извършва по портфейли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251FF0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използвайки дефиницията за портфейл в </w:t>
      </w:r>
      <w:r w:rsidR="00EA46C3" w:rsidRPr="00251FF0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251FF0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732816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FA0807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Преминаване към стандарта 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251FF0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Възможност за избор и сравнителна информация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 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="00F06C9C">
        <w:rPr>
          <w:rFonts w:eastAsia="Times New Roman" w:cs="Helvetica"/>
          <w:b/>
          <w:bCs/>
          <w:color w:val="333333"/>
          <w:sz w:val="24"/>
          <w:szCs w:val="2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 w:rsidR="00251FF0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A0371" w:rsidRPr="00FA0807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FA0807" w:rsidRDefault="00FA0807" w:rsidP="005A037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да запази изискванията при преминаване към </w:t>
      </w:r>
      <w:r w:rsidR="00EA46C3" w:rsidRPr="00FA080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, без да прави изменения, които биха намалили възможностите за избор, включени в тези изисквания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FA0807" w:rsidRDefault="00FA0807" w:rsidP="005A0371">
      <w:pPr>
        <w:numPr>
          <w:ilvl w:val="0"/>
          <w:numId w:val="12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да запази изискването в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FA080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за представяне на преизчислена сравнителна информация за годишния отчетен период, непосредствено предшестващ датата на първоначално прилагане на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FA080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17.</w:t>
      </w:r>
    </w:p>
    <w:p w:rsidR="005A0371" w:rsidRPr="00FA0807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FA0807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FA0807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Преминаване към стандарта 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Опция за смекчаване на риска и суми, натрупани в друг всеобхватен доход при преминаване към стандарта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 xml:space="preserve"> 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A0371" w:rsidRPr="00FA0807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FA0807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да запази изискването при преминаване към </w:t>
      </w:r>
      <w:r w:rsidR="00EA46C3" w:rsidRPr="00FA080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FA0807" w:rsidRPr="00FA0807">
        <w:rPr>
          <w:rFonts w:eastAsia="Times New Roman" w:cs="Helvetica"/>
          <w:color w:val="575757"/>
          <w:sz w:val="24"/>
          <w:szCs w:val="24"/>
          <w:lang w:val="bg-BG"/>
        </w:rPr>
        <w:t>, което забранява ретроспективно прилагане на опцията за смекчаване на риска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FA0807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FA0807" w:rsidRPr="00FA0807">
        <w:rPr>
          <w:rFonts w:eastAsia="Times New Roman" w:cs="Helvetica"/>
          <w:color w:val="575757"/>
          <w:sz w:val="24"/>
          <w:szCs w:val="24"/>
          <w:lang w:val="bg-BG"/>
        </w:rPr>
        <w:t>Съветът поиска от екипа да продължи да проучва алтернативни предложения, които биха адресирали опасенията на заинтересованите страни относно резултатите от това, че опцията няма да се прилага ретроспективно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FA0807" w:rsidRDefault="00FA0807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 в порядък на работна хипотеза да запази изискванията при преминаване към </w:t>
      </w:r>
      <w:r w:rsidR="00EA46C3" w:rsidRPr="00FA0807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, отнасящи се до кумулативните суми, включени в друг всеобхватен доход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FA0807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FA0807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FA0807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FA0807" w:rsidP="005A0371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</w:rPr>
      </w:pPr>
      <w:r w:rsidRPr="00FA0807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lastRenderedPageBreak/>
        <w:t xml:space="preserve">Преминаване към стандарта 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—</w:t>
      </w:r>
      <w:r w:rsidR="00525BB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Модифициран ретроспективен подход</w:t>
      </w:r>
      <w:r w:rsidR="005A0371" w:rsidRPr="00EA46C3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 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(</w:t>
      </w:r>
      <w:r w:rsidRPr="00FA0807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Pr="00FA0807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2</w:t>
      </w:r>
      <w:r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5A0371" w:rsidRPr="00EA46C3">
        <w:rPr>
          <w:rFonts w:eastAsia="Times New Roman" w:cs="Helvetica"/>
          <w:b/>
          <w:bCs/>
          <w:color w:val="333333"/>
          <w:sz w:val="24"/>
          <w:szCs w:val="24"/>
        </w:rPr>
        <w:t>)</w:t>
      </w:r>
    </w:p>
    <w:p w:rsidR="005A0371" w:rsidRPr="00EA46C3" w:rsidRDefault="00F06C9C" w:rsidP="005A0371">
      <w:pPr>
        <w:shd w:val="clear" w:color="auto" w:fill="FFFFFF"/>
        <w:spacing w:after="0" w:line="240" w:lineRule="auto"/>
        <w:rPr>
          <w:rFonts w:eastAsia="Times New Roman" w:cs="Helvetica"/>
          <w:color w:val="575757"/>
          <w:sz w:val="24"/>
          <w:szCs w:val="24"/>
        </w:rPr>
      </w:pPr>
      <w:proofErr w:type="spellStart"/>
      <w:r>
        <w:rPr>
          <w:rFonts w:eastAsia="Times New Roman" w:cs="Helvetica"/>
          <w:color w:val="575757"/>
          <w:sz w:val="24"/>
          <w:szCs w:val="24"/>
        </w:rPr>
        <w:t>Съветът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реши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в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порядък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на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работна</w:t>
      </w:r>
      <w:proofErr w:type="spellEnd"/>
      <w:r>
        <w:rPr>
          <w:rFonts w:eastAsia="Times New Roman" w:cs="Helvetica"/>
          <w:color w:val="575757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575757"/>
          <w:sz w:val="24"/>
          <w:szCs w:val="24"/>
        </w:rPr>
        <w:t>хипотеза</w:t>
      </w:r>
      <w:proofErr w:type="spellEnd"/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525BBF" w:rsidP="005A03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 изискванията за преминаване към стандарта в модифицирания ретроспективен подход, изложен 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</w:t>
      </w:r>
      <w:r>
        <w:rPr>
          <w:rFonts w:eastAsia="Times New Roman" w:cs="Helvetica"/>
          <w:color w:val="575757"/>
          <w:sz w:val="24"/>
          <w:szCs w:val="24"/>
          <w:lang w:val="bg-BG"/>
        </w:rPr>
        <w:t>, който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525BBF" w:rsidP="005A0371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забранява на предприятието да използва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B237A4">
        <w:rPr>
          <w:rFonts w:eastAsia="Times New Roman" w:cs="Helvetica"/>
          <w:color w:val="575757"/>
          <w:sz w:val="24"/>
          <w:szCs w:val="24"/>
          <w:lang w:val="bg-BG"/>
        </w:rPr>
        <w:t>специфична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модификация в степента, в която предприятието има разумна и можеща да бъде подкрепена информация да приложи съответното изискване 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ретроспективно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525BBF" w:rsidP="005A0371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разрешава</w:t>
      </w:r>
      <w:r w:rsidRPr="00525BBF">
        <w:rPr>
          <w:rFonts w:eastAsia="Times New Roman" w:cs="Helvetica"/>
          <w:color w:val="575757"/>
          <w:sz w:val="24"/>
          <w:szCs w:val="24"/>
          <w:lang w:val="bg-BG"/>
        </w:rPr>
        <w:t xml:space="preserve"> на предприятието да използва</w:t>
      </w:r>
      <w:r w:rsidRPr="00525BBF">
        <w:rPr>
          <w:rFonts w:eastAsia="Times New Roman" w:cs="Helvetica"/>
          <w:color w:val="575757"/>
          <w:sz w:val="24"/>
          <w:szCs w:val="24"/>
        </w:rPr>
        <w:t xml:space="preserve"> </w:t>
      </w:r>
      <w:r w:rsidR="00B237A4">
        <w:rPr>
          <w:rFonts w:eastAsia="Times New Roman" w:cs="Helvetica"/>
          <w:color w:val="575757"/>
          <w:sz w:val="24"/>
          <w:szCs w:val="24"/>
          <w:lang w:val="bg-BG"/>
        </w:rPr>
        <w:t>специфична</w:t>
      </w:r>
      <w:r w:rsidRPr="00525BBF">
        <w:rPr>
          <w:rFonts w:eastAsia="Times New Roman" w:cs="Helvetica"/>
          <w:color w:val="575757"/>
          <w:sz w:val="24"/>
          <w:szCs w:val="24"/>
          <w:lang w:val="bg-BG"/>
        </w:rPr>
        <w:t xml:space="preserve"> модификация </w:t>
      </w:r>
      <w:r>
        <w:rPr>
          <w:rFonts w:eastAsia="Times New Roman" w:cs="Helvetica"/>
          <w:color w:val="575757"/>
          <w:sz w:val="24"/>
          <w:szCs w:val="24"/>
          <w:lang w:val="bg-BG"/>
        </w:rPr>
        <w:t>само когато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25BBF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има разумна и можеща да бъде подкрепена информация да приложи </w:t>
      </w:r>
      <w:r>
        <w:rPr>
          <w:rFonts w:eastAsia="Times New Roman" w:cs="Helvetica"/>
          <w:color w:val="575757"/>
          <w:sz w:val="24"/>
          <w:szCs w:val="24"/>
          <w:lang w:val="bg-BG"/>
        </w:rPr>
        <w:t>тази модификация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525BBF" w:rsidP="005A03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525BBF">
        <w:rPr>
          <w:rFonts w:eastAsia="Times New Roman" w:cs="Helvetica"/>
          <w:color w:val="575757"/>
          <w:sz w:val="24"/>
          <w:szCs w:val="24"/>
          <w:lang w:val="bg-BG"/>
        </w:rPr>
        <w:t>да запази изискванията за преминаване към</w:t>
      </w:r>
      <w:r w:rsidRPr="00525BBF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Pr="00525BBF">
        <w:rPr>
          <w:rFonts w:eastAsia="Times New Roman" w:cs="Helvetica"/>
          <w:color w:val="575757"/>
          <w:sz w:val="24"/>
          <w:szCs w:val="24"/>
          <w:lang w:val="bg-BG"/>
        </w:rPr>
        <w:t>модифицирания ретроспективен подход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без изменението, което би позволило на предприятието да разработ</w:t>
      </w:r>
      <w:r w:rsidR="007D71AD">
        <w:rPr>
          <w:rFonts w:eastAsia="Times New Roman" w:cs="Helvetica"/>
          <w:color w:val="575757"/>
          <w:sz w:val="24"/>
          <w:szCs w:val="24"/>
          <w:lang w:val="bg-BG"/>
        </w:rPr>
        <w:t>ва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свои собствени модификации, които то счита за съответстващи на целта на модифицирания ретроспективен подход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Съветът от друга страна отбеляза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важното значение на пояснението в документа, че наличието на </w:t>
      </w:r>
      <w:r w:rsidR="00B237A4">
        <w:rPr>
          <w:rFonts w:eastAsia="Times New Roman" w:cs="Helvetica"/>
          <w:color w:val="575757"/>
          <w:sz w:val="24"/>
          <w:szCs w:val="24"/>
          <w:lang w:val="bg-BG"/>
        </w:rPr>
        <w:t>специфични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модификации не възпрепятства обичайното използване на техниките за приблизително оценяване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B237A4" w:rsidP="005A03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 w:rsidRPr="00B237A4">
        <w:rPr>
          <w:rFonts w:eastAsia="Times New Roman" w:cs="Helvetica"/>
          <w:color w:val="575757"/>
          <w:sz w:val="24"/>
          <w:szCs w:val="24"/>
          <w:lang w:val="bg-BG"/>
        </w:rPr>
        <w:t xml:space="preserve">да </w:t>
      </w:r>
      <w:r>
        <w:rPr>
          <w:rFonts w:eastAsia="Times New Roman" w:cs="Helvetica"/>
          <w:color w:val="575757"/>
          <w:sz w:val="24"/>
          <w:szCs w:val="24"/>
          <w:lang w:val="bg-BG"/>
        </w:rPr>
        <w:t>измени</w:t>
      </w:r>
      <w:r w:rsidRPr="00B237A4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изискванията за преминаване към</w:t>
      </w:r>
      <w:r w:rsidRPr="00B237A4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 </w:t>
      </w: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пасиви, които се отнасят до уреждане на претенции, понесени преди застрахователният договор да бъде придобит, както следва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B237A4" w:rsidP="005A0371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да добави специфична модификация към модифицирания ретроспективен подход, така че предприятието да класифицира такива пасиви като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пасив за понесени претенции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>
        <w:rPr>
          <w:rFonts w:eastAsia="Times New Roman" w:cs="Helvetica"/>
          <w:color w:val="575757"/>
          <w:sz w:val="24"/>
          <w:szCs w:val="24"/>
          <w:lang w:val="bg-BG"/>
        </w:rPr>
        <w:t>В съответствие с останалите специфични модификации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предприятието ще се разрешава да използва тази специфична модификация само в степента, в която предприятието няма разумн</w:t>
      </w:r>
      <w:r w:rsidR="007D71AD">
        <w:rPr>
          <w:rFonts w:eastAsia="Times New Roman" w:cs="Helvetica"/>
          <w:color w:val="575757"/>
          <w:sz w:val="24"/>
          <w:szCs w:val="24"/>
          <w:lang w:val="bg-BG"/>
        </w:rPr>
        <w:t>а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и можеща да бъде подкрепена информация да приложи ретроспективния подход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B237A4" w:rsidP="005A0371">
      <w:pPr>
        <w:numPr>
          <w:ilvl w:val="1"/>
          <w:numId w:val="13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позволи на предприятието да прилага подхода на справедливата стойност, за да избере да класифицира такива пасиви като пасив за понесени претенции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B237A4" w:rsidP="005A03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 без изменение специфичната модификация в модифицирания ретроспективен подход, отнасяща се до използването на паричните потоци, за които се знае, че са възникнали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>
        <w:rPr>
          <w:rFonts w:eastAsia="Times New Roman" w:cs="Helvetica"/>
          <w:color w:val="575757"/>
          <w:sz w:val="24"/>
          <w:szCs w:val="24"/>
          <w:lang w:val="bg-BG"/>
        </w:rPr>
        <w:t>вместо приблизително да оценява ретроспективно парични потоци, които е било очаквано да възникнат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EA46C3" w:rsidRDefault="00B237A4" w:rsidP="005A0371">
      <w:pPr>
        <w:numPr>
          <w:ilvl w:val="0"/>
          <w:numId w:val="1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да запази модифицирания ретроспективен подход по отношение на застрахователни договори с характеристики на пряко участие в разпределението на печалбата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, </w:t>
      </w:r>
      <w:r>
        <w:rPr>
          <w:rFonts w:eastAsia="Times New Roman" w:cs="Helvetica"/>
          <w:color w:val="575757"/>
          <w:sz w:val="24"/>
          <w:szCs w:val="24"/>
          <w:lang w:val="bg-BG"/>
        </w:rPr>
        <w:t>без изменението, което би позволило на предприятието да прилага по отношение на такива договори специфичните модификации, позволени по отношение на застрахователни договори без характеристики на пряко участие в разпределението на печалбата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6E2EBC" w:rsidRDefault="00732816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6E2EBC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Всичките четиринадесет членове на Съвета изразиха съгласие с това решение</w:t>
      </w:r>
      <w:r w:rsidR="005A0371" w:rsidRPr="006E2EBC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5A0371" w:rsidRPr="00EA46C3" w:rsidRDefault="00E025A2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бъдещи свои заседания Съветът ще продължи с обсъжданията във връзка с възможните изменения в М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17.</w:t>
      </w:r>
    </w:p>
    <w:p w:rsidR="005A0371" w:rsidRPr="00EA46C3" w:rsidRDefault="005A037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EA46C3">
        <w:rPr>
          <w:rFonts w:eastAsia="Times New Roman" w:cs="Helvetica"/>
          <w:color w:val="575757"/>
          <w:sz w:val="24"/>
          <w:szCs w:val="24"/>
        </w:rPr>
        <w:t> </w:t>
      </w:r>
    </w:p>
    <w:p w:rsidR="005A0371" w:rsidRPr="00EA46C3" w:rsidRDefault="00441525" w:rsidP="005A0371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</w:rPr>
      </w:pPr>
      <w:bookmarkStart w:id="4" w:name="5"/>
      <w:r w:rsidRPr="00441525">
        <w:rPr>
          <w:rFonts w:eastAsia="Times New Roman" w:cs="Helvetica"/>
          <w:b/>
          <w:color w:val="CD3333"/>
          <w:sz w:val="34"/>
          <w:szCs w:val="34"/>
          <w:lang w:val="bg-BG"/>
        </w:rPr>
        <w:t xml:space="preserve">Реформата във връзка с референтните лихвени проценти </w:t>
      </w:r>
      <w:hyperlink r:id="rId11" w:anchor="5" w:history="1">
        <w:r w:rsidRPr="00441525">
          <w:rPr>
            <w:rFonts w:eastAsia="Times New Roman" w:cs="Helvetica"/>
            <w:b/>
            <w:color w:val="CD3333"/>
            <w:sz w:val="34"/>
            <w:szCs w:val="34"/>
            <w:lang w:val="bg-BG"/>
          </w:rPr>
          <w:t>и нейният ефект върху финансовото отчитане</w:t>
        </w:r>
      </w:hyperlink>
      <w:r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>(</w:t>
      </w:r>
      <w:r w:rsidR="00F06C9C">
        <w:rPr>
          <w:rFonts w:eastAsia="Times New Roman" w:cs="Helvetica"/>
          <w:b/>
          <w:bCs/>
          <w:color w:val="CD3333"/>
          <w:sz w:val="34"/>
          <w:szCs w:val="34"/>
        </w:rPr>
        <w:t>Документ по програмата</w:t>
      </w:r>
      <w:r w:rsidR="005A0371" w:rsidRPr="00EA46C3">
        <w:rPr>
          <w:rFonts w:eastAsia="Times New Roman" w:cs="Helvetica"/>
          <w:b/>
          <w:bCs/>
          <w:color w:val="CD3333"/>
          <w:sz w:val="34"/>
          <w:szCs w:val="34"/>
        </w:rPr>
        <w:t xml:space="preserve"> 14)</w:t>
      </w:r>
      <w:bookmarkEnd w:id="4"/>
    </w:p>
    <w:p w:rsidR="005A0371" w:rsidRPr="00EA46C3" w:rsidRDefault="00F06C9C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 w:rsidRPr="00F06C9C">
        <w:rPr>
          <w:rFonts w:eastAsia="Times New Roman" w:cs="Helvetica"/>
          <w:color w:val="575757"/>
          <w:sz w:val="24"/>
          <w:szCs w:val="24"/>
          <w:lang w:val="bg-BG"/>
        </w:rPr>
        <w:t xml:space="preserve">На </w:t>
      </w:r>
      <w:r>
        <w:rPr>
          <w:rFonts w:eastAsia="Times New Roman" w:cs="Helvetica"/>
          <w:color w:val="575757"/>
          <w:sz w:val="24"/>
          <w:szCs w:val="24"/>
          <w:lang w:val="bg-BG"/>
        </w:rPr>
        <w:t>8</w:t>
      </w:r>
      <w:r w:rsidRPr="00F06C9C">
        <w:rPr>
          <w:rFonts w:eastAsia="Times New Roman" w:cs="Helvetica"/>
          <w:color w:val="575757"/>
          <w:sz w:val="24"/>
          <w:szCs w:val="24"/>
          <w:lang w:val="bg-BG"/>
        </w:rPr>
        <w:t xml:space="preserve"> февруари 2019 г. Съветът проведе заседание, за да обсъди</w:t>
      </w:r>
      <w:r w:rsidRPr="00F06C9C">
        <w:rPr>
          <w:rFonts w:eastAsia="Times New Roman" w:cs="Helvetica"/>
          <w:color w:val="575757"/>
          <w:sz w:val="24"/>
          <w:szCs w:val="24"/>
        </w:rPr>
        <w:t xml:space="preserve"> </w:t>
      </w:r>
      <w:r w:rsidR="00D81741">
        <w:rPr>
          <w:rFonts w:eastAsia="Times New Roman" w:cs="Helvetica"/>
          <w:color w:val="575757"/>
          <w:sz w:val="24"/>
          <w:szCs w:val="24"/>
          <w:lang w:val="bg-BG"/>
        </w:rPr>
        <w:t>предложените изменения в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D81741">
        <w:rPr>
          <w:rFonts w:eastAsia="Times New Roman" w:cs="Helvetica"/>
          <w:color w:val="575757"/>
          <w:sz w:val="24"/>
          <w:szCs w:val="24"/>
          <w:lang w:val="bg-BG"/>
        </w:rPr>
        <w:t xml:space="preserve">стандартите, които биха адресирали опасенията, които е възможно да възникнат във връзка с реформирането на референтните лихвени проценти. Въпросите, които ще засегнат финансовото отчитане, когато реформата на референтните лихвени проценти </w:t>
      </w:r>
      <w:r w:rsidR="007D71AD">
        <w:rPr>
          <w:rFonts w:eastAsia="Times New Roman" w:cs="Helvetica"/>
          <w:color w:val="575757"/>
          <w:sz w:val="24"/>
          <w:szCs w:val="24"/>
          <w:lang w:val="bg-BG"/>
        </w:rPr>
        <w:t>влезе</w:t>
      </w:r>
      <w:r w:rsidR="00D81741">
        <w:rPr>
          <w:rFonts w:eastAsia="Times New Roman" w:cs="Helvetica"/>
          <w:color w:val="575757"/>
          <w:sz w:val="24"/>
          <w:szCs w:val="24"/>
          <w:lang w:val="bg-BG"/>
        </w:rPr>
        <w:t xml:space="preserve"> в сила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 w:rsidR="00D81741">
        <w:rPr>
          <w:rFonts w:eastAsia="Times New Roman" w:cs="Helvetica"/>
          <w:color w:val="575757"/>
          <w:sz w:val="24"/>
          <w:szCs w:val="24"/>
          <w:lang w:val="bg-BG"/>
        </w:rPr>
        <w:t>т.е., когато договорите бъдат действително изменени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)</w:t>
      </w:r>
      <w:r w:rsidR="007D71AD">
        <w:rPr>
          <w:rFonts w:eastAsia="Times New Roman" w:cs="Helvetica"/>
          <w:color w:val="575757"/>
          <w:sz w:val="24"/>
          <w:szCs w:val="24"/>
          <w:lang w:val="bg-BG"/>
        </w:rPr>
        <w:t>,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D81741">
        <w:rPr>
          <w:rFonts w:eastAsia="Times New Roman" w:cs="Helvetica"/>
          <w:color w:val="575757"/>
          <w:sz w:val="24"/>
          <w:szCs w:val="24"/>
          <w:lang w:val="bg-BG"/>
        </w:rPr>
        <w:t>ще бъдат дискутирани по време на втората фаза на проекта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5A0371" w:rsidRPr="00D81741" w:rsidRDefault="00D81741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D81741">
        <w:rPr>
          <w:rFonts w:eastAsia="Times New Roman" w:cs="Helvetica"/>
          <w:color w:val="575757"/>
          <w:sz w:val="24"/>
          <w:szCs w:val="24"/>
          <w:lang w:val="bg-BG"/>
        </w:rPr>
        <w:t>Когато Съветът се съгласи да измени</w:t>
      </w:r>
      <w:r w:rsidR="005A0371" w:rsidRPr="00D8174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D81741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D81741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81741">
        <w:rPr>
          <w:rFonts w:eastAsia="Times New Roman" w:cs="Helvetica"/>
          <w:color w:val="575757"/>
          <w:sz w:val="24"/>
          <w:szCs w:val="24"/>
          <w:lang w:val="bg-BG"/>
        </w:rPr>
        <w:t>стандартите, за да адресира опасенията, свързани с елементите на несигурност, произтичащи от реформата на референтните лихвени проценти, Съветът подчерта, че стоящият в основата икономически ефект, произтичащ от реформирането на референтните лихвени проценти, следва да бъде представен във финансовото отчитане</w:t>
      </w:r>
      <w:r w:rsidR="005A0371" w:rsidRPr="00D81741">
        <w:rPr>
          <w:rFonts w:eastAsia="Times New Roman" w:cs="Helvetica"/>
          <w:color w:val="575757"/>
          <w:sz w:val="24"/>
          <w:szCs w:val="24"/>
          <w:lang w:val="bg-BG"/>
        </w:rPr>
        <w:t>. </w:t>
      </w:r>
      <w:r w:rsidRPr="00D81741">
        <w:rPr>
          <w:rFonts w:eastAsia="Times New Roman" w:cs="Helvetica"/>
          <w:color w:val="575757"/>
          <w:sz w:val="24"/>
          <w:szCs w:val="24"/>
          <w:lang w:val="bg-BG"/>
        </w:rPr>
        <w:t>По-конкретно</w:t>
      </w:r>
      <w:r w:rsidR="005A0371" w:rsidRPr="00D81741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732816" w:rsidRPr="00D81741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81741">
        <w:rPr>
          <w:rFonts w:eastAsia="Times New Roman" w:cs="Helvetica"/>
          <w:color w:val="575757"/>
          <w:sz w:val="24"/>
          <w:szCs w:val="24"/>
          <w:lang w:val="bg-BG"/>
        </w:rPr>
        <w:t>, че</w:t>
      </w:r>
      <w:r w:rsidR="005A0371" w:rsidRPr="00D81741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5A0371" w:rsidRPr="00DB2DC2" w:rsidRDefault="000F31E2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 изискването, свързано с „много вероятно“</w:t>
      </w:r>
      <w:r w:rsidR="007D71AD">
        <w:rPr>
          <w:rFonts w:eastAsia="Times New Roman" w:cs="Helvetica"/>
          <w:color w:val="575757"/>
          <w:sz w:val="24"/>
          <w:szCs w:val="24"/>
          <w:lang w:val="bg-BG"/>
        </w:rPr>
        <w:t xml:space="preserve"> -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че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МСФО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9 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</w:t>
      </w:r>
      <w:r w:rsidR="00EA46C3" w:rsidRPr="00EA46C3">
        <w:rPr>
          <w:rFonts w:eastAsia="Times New Roman" w:cs="Helvetica"/>
          <w:color w:val="575757"/>
          <w:sz w:val="24"/>
          <w:szCs w:val="24"/>
        </w:rPr>
        <w:t>МСС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39 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5A0371" w:rsidRPr="00EA46C3">
        <w:rPr>
          <w:rFonts w:eastAsia="Times New Roman" w:cs="Helvetica"/>
          <w:i/>
          <w:iCs/>
          <w:color w:val="575757"/>
          <w:sz w:val="24"/>
          <w:szCs w:val="24"/>
        </w:rPr>
        <w:t xml:space="preserve">: </w:t>
      </w:r>
      <w:r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признаване и оценяване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 </w:t>
      </w:r>
      <w:r>
        <w:rPr>
          <w:rFonts w:eastAsia="Times New Roman" w:cs="Helvetica"/>
          <w:color w:val="575757"/>
          <w:sz w:val="24"/>
          <w:szCs w:val="24"/>
          <w:lang w:val="bg-BG"/>
        </w:rPr>
        <w:t>следва да бъдат изменени, така че да предоставят облекчение от ефекта от несигурността във връзка с общите условия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 (</w:t>
      </w:r>
      <w:r>
        <w:rPr>
          <w:rFonts w:eastAsia="Times New Roman" w:cs="Helvetica"/>
          <w:color w:val="575757"/>
          <w:sz w:val="24"/>
          <w:szCs w:val="24"/>
          <w:lang w:val="bg-BG"/>
        </w:rPr>
        <w:t>време и специфика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) </w:t>
      </w:r>
      <w:r>
        <w:rPr>
          <w:rFonts w:eastAsia="Times New Roman" w:cs="Helvetica"/>
          <w:color w:val="575757"/>
          <w:sz w:val="24"/>
          <w:szCs w:val="24"/>
          <w:lang w:val="bg-BG"/>
        </w:rPr>
        <w:t>на потенциалното заместване на</w:t>
      </w:r>
      <w:r w:rsid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референтните лихвени проценти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. </w:t>
      </w:r>
      <w:r w:rsidR="00DB2DC2">
        <w:rPr>
          <w:rFonts w:eastAsia="Times New Roman" w:cs="Helvetica"/>
          <w:color w:val="575757"/>
          <w:sz w:val="24"/>
          <w:szCs w:val="24"/>
          <w:lang w:val="bg-BG"/>
        </w:rPr>
        <w:t>По-специално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DB2DC2">
        <w:rPr>
          <w:rFonts w:eastAsia="Times New Roman" w:cs="Helvetica"/>
          <w:color w:val="575757"/>
          <w:sz w:val="24"/>
          <w:szCs w:val="24"/>
          <w:lang w:val="bg-BG"/>
        </w:rPr>
        <w:t>когато оценява вероятността от възникване на прогнозна сделка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, </w:t>
      </w:r>
      <w:r w:rsidR="00DB2DC2">
        <w:rPr>
          <w:rFonts w:eastAsia="Times New Roman" w:cs="Helvetica"/>
          <w:color w:val="575757"/>
          <w:sz w:val="24"/>
          <w:szCs w:val="24"/>
          <w:lang w:val="bg-BG"/>
        </w:rPr>
        <w:t xml:space="preserve">предприятието може да допусне, че договорните условия, базирани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на референтните лихвени проценти, ще останат без изменение.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732816" w:rsidRPr="00DB2DC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DB2DC2" w:rsidRDefault="007D71AD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по отношение на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съществуването на икономическа взаимовръзка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съгласно изискваното от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DB2DC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9)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и очакване, че хеджирането ще бъде много ефективно при постигане на компенсиране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съгласно изискваното от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DB2DC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39)</w:t>
      </w:r>
      <w:r>
        <w:rPr>
          <w:rFonts w:eastAsia="Times New Roman" w:cs="Helvetica"/>
          <w:color w:val="575757"/>
          <w:sz w:val="24"/>
          <w:szCs w:val="24"/>
          <w:lang w:val="bg-BG"/>
        </w:rPr>
        <w:t xml:space="preserve"> -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че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DB2DC2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9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EA46C3" w:rsidRPr="00DB2DC2">
        <w:rPr>
          <w:rFonts w:eastAsia="Times New Roman" w:cs="Helvetica"/>
          <w:color w:val="575757"/>
          <w:sz w:val="24"/>
          <w:szCs w:val="24"/>
          <w:lang w:val="bg-BG"/>
        </w:rPr>
        <w:t>МСС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39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>следва да бъдат изменени, така че да предоставят облекчение от ефекта от несигурността във връзка с общите условия (време и специфика) на потенциалното заместване на референтните лихвени проценти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По-специално, когато извършва тези оценявания, предприятието следва да ги базира на съществуващите договорни </w:t>
      </w:r>
      <w:r w:rsidR="00DB2DC2" w:rsidRPr="00DB2DC2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парични потоци от хеджиращия инструмент и хеджираната позиция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DB2DC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DB2DC2" w:rsidRDefault="00DB2DC2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DB2DC2">
        <w:rPr>
          <w:rFonts w:eastAsia="Times New Roman" w:cs="Helvetica"/>
          <w:color w:val="575757"/>
          <w:sz w:val="24"/>
          <w:szCs w:val="24"/>
          <w:lang w:val="bg-BG"/>
        </w:rPr>
        <w:t>на предприятието следва да бъде разрешено да продължи счетоводното отчитане на хеджиране, когато рисковият компонент на референтния лихвен процент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DB2DC2">
        <w:rPr>
          <w:rFonts w:eastAsia="Times New Roman" w:cs="Helvetica"/>
          <w:color w:val="575757"/>
          <w:sz w:val="24"/>
          <w:szCs w:val="24"/>
          <w:lang w:val="bg-BG"/>
        </w:rPr>
        <w:t>отговаря на изискването за „отделно разграничим“ в началото на хеджиращото взаимоотношение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DB2DC2">
        <w:rPr>
          <w:rFonts w:eastAsia="Times New Roman" w:cs="Helvetica"/>
          <w:color w:val="575757"/>
          <w:sz w:val="24"/>
          <w:szCs w:val="24"/>
          <w:lang w:val="bg-BG"/>
        </w:rPr>
        <w:t>макар да е възможно разграничимостта да бъде засегната от реформата на референ</w:t>
      </w:r>
      <w:bookmarkStart w:id="5" w:name="_GoBack"/>
      <w:bookmarkEnd w:id="5"/>
      <w:r w:rsidRPr="00DB2DC2">
        <w:rPr>
          <w:rFonts w:eastAsia="Times New Roman" w:cs="Helvetica"/>
          <w:color w:val="575757"/>
          <w:sz w:val="24"/>
          <w:szCs w:val="24"/>
          <w:lang w:val="bg-BG"/>
        </w:rPr>
        <w:t>тните лихвени проценти в бъдеще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DB2DC2">
        <w:rPr>
          <w:rFonts w:eastAsia="Times New Roman" w:cs="Helvetica"/>
          <w:color w:val="575757"/>
          <w:sz w:val="24"/>
          <w:szCs w:val="24"/>
          <w:lang w:val="bg-BG"/>
        </w:rPr>
        <w:t>В допълнение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732816" w:rsidRPr="00DB2DC2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Pr="00DB2DC2">
        <w:rPr>
          <w:rFonts w:eastAsia="Times New Roman" w:cs="Helvetica"/>
          <w:color w:val="575757"/>
          <w:sz w:val="24"/>
          <w:szCs w:val="24"/>
          <w:lang w:val="bg-BG"/>
        </w:rPr>
        <w:t>, че облекчение не следва да се предоставя по отношение на рискови компоненти, които не са отделно разграничими в началото на хеджиращото взаимоотношение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DB2DC2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DB2DC2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5B7F25" w:rsidRDefault="00DB2DC2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преустанови прилагането на предложеното облекчение, когато естеството и времето на възникване на определените бъдещи парични потоци са сигурни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5B7F2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5B7F25" w:rsidRDefault="005B7F25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предостави конкретни оповестявания относно степента, в която то прилага предложеното облекчение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5B7F25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5B7F25" w:rsidRDefault="005B7F25" w:rsidP="005A0371">
      <w:pPr>
        <w:numPr>
          <w:ilvl w:val="0"/>
          <w:numId w:val="1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предприятието следва да прилага предложените изменения ретроспективно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Предлаганата дата на влизане в сила на измененията е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 1 </w:t>
      </w: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януари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5B7F25">
        <w:rPr>
          <w:rFonts w:eastAsia="Times New Roman" w:cs="Helvetica"/>
          <w:color w:val="575757"/>
          <w:sz w:val="24"/>
          <w:szCs w:val="24"/>
          <w:lang w:val="bg-BG"/>
        </w:rPr>
        <w:t>г., като по-ранното прилагане е разрешено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732816" w:rsidRPr="005B7F25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– несъгласие с това решение</w:t>
      </w:r>
      <w:r w:rsidR="005A0371" w:rsidRPr="005B7F25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5A0371" w:rsidRPr="00EA46C3" w:rsidRDefault="00F06C9C" w:rsidP="00732816">
      <w:pPr>
        <w:shd w:val="clear" w:color="auto" w:fill="FFFFFF"/>
        <w:tabs>
          <w:tab w:val="left" w:pos="8150"/>
        </w:tabs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>Следващи етапи</w:t>
      </w:r>
      <w:r w:rsidR="00732816">
        <w:rPr>
          <w:rFonts w:eastAsia="Times New Roman" w:cs="Helvetica"/>
          <w:b/>
          <w:bCs/>
          <w:i/>
          <w:iCs/>
          <w:color w:val="575757"/>
          <w:sz w:val="24"/>
          <w:szCs w:val="24"/>
        </w:rPr>
        <w:tab/>
      </w:r>
    </w:p>
    <w:p w:rsidR="005A0371" w:rsidRPr="00EA46C3" w:rsidRDefault="005B7F25" w:rsidP="005A0371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следните теми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:</w:t>
      </w:r>
    </w:p>
    <w:p w:rsidR="005A0371" w:rsidRPr="00EA46C3" w:rsidRDefault="005B7F25" w:rsidP="005A0371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възможност за избор по отношение прилагането на предложеното облекчение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 xml:space="preserve">; </w:t>
      </w:r>
      <w:r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5A0371" w:rsidRPr="00EA46C3" w:rsidRDefault="005B7F25" w:rsidP="005A0371">
      <w:pPr>
        <w:numPr>
          <w:ilvl w:val="0"/>
          <w:numId w:val="1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</w:rPr>
      </w:pPr>
      <w:r>
        <w:rPr>
          <w:rFonts w:eastAsia="Times New Roman" w:cs="Helvetica"/>
          <w:color w:val="575757"/>
          <w:sz w:val="24"/>
          <w:szCs w:val="24"/>
          <w:lang w:val="bg-BG"/>
        </w:rPr>
        <w:t>сигурност относно естеството и момента на възникване на бъдещите парични потоци и нейното взаимодействие с преустановяване на предложеното облекчение</w:t>
      </w:r>
      <w:r w:rsidR="005A0371" w:rsidRPr="00EA46C3">
        <w:rPr>
          <w:rFonts w:eastAsia="Times New Roman" w:cs="Helvetica"/>
          <w:color w:val="575757"/>
          <w:sz w:val="24"/>
          <w:szCs w:val="24"/>
        </w:rPr>
        <w:t>.</w:t>
      </w:r>
    </w:p>
    <w:p w:rsidR="00A66662" w:rsidRPr="00EA46C3" w:rsidRDefault="00A66662"/>
    <w:sectPr w:rsidR="00A66662" w:rsidRPr="00EA4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A08"/>
    <w:multiLevelType w:val="multilevel"/>
    <w:tmpl w:val="F27E5C6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B6C36"/>
    <w:multiLevelType w:val="multilevel"/>
    <w:tmpl w:val="D6FE8DD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D5C69"/>
    <w:multiLevelType w:val="multilevel"/>
    <w:tmpl w:val="C4FEBD5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706CC"/>
    <w:multiLevelType w:val="multilevel"/>
    <w:tmpl w:val="F6F4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F3D3A"/>
    <w:multiLevelType w:val="multilevel"/>
    <w:tmpl w:val="1CEC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09586B"/>
    <w:multiLevelType w:val="multilevel"/>
    <w:tmpl w:val="076E798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4012F"/>
    <w:multiLevelType w:val="multilevel"/>
    <w:tmpl w:val="C99CFF0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53ADF"/>
    <w:multiLevelType w:val="multilevel"/>
    <w:tmpl w:val="6FC4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E01D5"/>
    <w:multiLevelType w:val="multilevel"/>
    <w:tmpl w:val="E3BA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7B4C71"/>
    <w:multiLevelType w:val="multilevel"/>
    <w:tmpl w:val="8A58B33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24861"/>
    <w:multiLevelType w:val="multilevel"/>
    <w:tmpl w:val="18E8E08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4343E"/>
    <w:multiLevelType w:val="multilevel"/>
    <w:tmpl w:val="F51E134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D5BBF"/>
    <w:multiLevelType w:val="multilevel"/>
    <w:tmpl w:val="6BE2580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9005CD"/>
    <w:multiLevelType w:val="multilevel"/>
    <w:tmpl w:val="57A2568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F4654"/>
    <w:multiLevelType w:val="multilevel"/>
    <w:tmpl w:val="BC220F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71"/>
    <w:rsid w:val="000F31E2"/>
    <w:rsid w:val="00127780"/>
    <w:rsid w:val="00251FF0"/>
    <w:rsid w:val="00324458"/>
    <w:rsid w:val="00371E24"/>
    <w:rsid w:val="003D6BBC"/>
    <w:rsid w:val="00441525"/>
    <w:rsid w:val="004A4CAA"/>
    <w:rsid w:val="00525BBF"/>
    <w:rsid w:val="00540832"/>
    <w:rsid w:val="00560D32"/>
    <w:rsid w:val="0059730B"/>
    <w:rsid w:val="005A0371"/>
    <w:rsid w:val="005B7F25"/>
    <w:rsid w:val="005D2257"/>
    <w:rsid w:val="005E1D7E"/>
    <w:rsid w:val="0068318A"/>
    <w:rsid w:val="006934BB"/>
    <w:rsid w:val="006E2EBC"/>
    <w:rsid w:val="0072551F"/>
    <w:rsid w:val="00732816"/>
    <w:rsid w:val="00764CE1"/>
    <w:rsid w:val="007D71AD"/>
    <w:rsid w:val="007F1B40"/>
    <w:rsid w:val="00865A8D"/>
    <w:rsid w:val="00926CEB"/>
    <w:rsid w:val="00A66662"/>
    <w:rsid w:val="00B237A4"/>
    <w:rsid w:val="00B624C3"/>
    <w:rsid w:val="00CE7A92"/>
    <w:rsid w:val="00D268D2"/>
    <w:rsid w:val="00D44D27"/>
    <w:rsid w:val="00D81741"/>
    <w:rsid w:val="00D827A6"/>
    <w:rsid w:val="00DB2DC2"/>
    <w:rsid w:val="00E025A2"/>
    <w:rsid w:val="00EA46C3"/>
    <w:rsid w:val="00ED2ECF"/>
    <w:rsid w:val="00F06C9C"/>
    <w:rsid w:val="00F8288C"/>
    <w:rsid w:val="00FA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9DA71-D7EF-4416-8655-23CBF971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0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4351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february-20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february-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february-2019/" TargetMode="External"/><Relationship Id="rId11" Type="http://schemas.openxmlformats.org/officeDocument/2006/relationships/hyperlink" Target="https://www.ifrs.org/news-and-events/updates/iasb-updates/february-2019/" TargetMode="External"/><Relationship Id="rId5" Type="http://schemas.openxmlformats.org/officeDocument/2006/relationships/hyperlink" Target="https://www.ifrs.org/news-and-events/updates/iasb-updates/february-2019/" TargetMode="External"/><Relationship Id="rId10" Type="http://schemas.openxmlformats.org/officeDocument/2006/relationships/hyperlink" Target="https://www.ifrs.org/projects/work-plan/management-comment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february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2894</Words>
  <Characters>17571</Characters>
  <Application>Microsoft Office Word</Application>
  <DocSecurity>0</DocSecurity>
  <Lines>344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33</cp:revision>
  <dcterms:created xsi:type="dcterms:W3CDTF">2019-03-02T08:45:00Z</dcterms:created>
  <dcterms:modified xsi:type="dcterms:W3CDTF">2019-03-04T07:36:00Z</dcterms:modified>
</cp:coreProperties>
</file>