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B8" w:rsidRPr="00D13A11" w:rsidRDefault="005066B8" w:rsidP="005066B8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</w:rPr>
      </w:pPr>
      <w:r w:rsidRPr="00D13A11">
        <w:rPr>
          <w:rFonts w:eastAsia="Times New Roman" w:cs="Helvetica"/>
          <w:b/>
          <w:bCs/>
          <w:color w:val="FFFFFF"/>
          <w:kern w:val="36"/>
          <w:sz w:val="58"/>
          <w:szCs w:val="58"/>
        </w:rPr>
        <w:t>IASB Update January 2019</w:t>
      </w:r>
    </w:p>
    <w:p w:rsidR="005066B8" w:rsidRPr="00D13A11" w:rsidRDefault="00D13A11" w:rsidP="005066B8">
      <w:pPr>
        <w:shd w:val="clear" w:color="auto" w:fill="A41F35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</w:rPr>
      </w:pPr>
      <w:r w:rsidRPr="00D13A11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Информационен бюлетин на Съвета по международни счетоводни стандарти (IASB) – януари 2019 г.</w:t>
      </w:r>
    </w:p>
    <w:p w:rsidR="005066B8" w:rsidRPr="00D13A11" w:rsidRDefault="005066B8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</w:p>
    <w:p w:rsidR="005066B8" w:rsidRPr="00D13A11" w:rsidRDefault="00D13A11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713D6E">
        <w:rPr>
          <w:rFonts w:eastAsia="Times New Roman" w:cs="Helvetica"/>
          <w:color w:val="575757"/>
          <w:sz w:val="24"/>
          <w:szCs w:val="24"/>
          <w:lang w:val="bg-BG"/>
        </w:rPr>
        <w:t>Настоящият бюлетин на Съвета по международни счетоводни стандарти (IASB) (”Съветът”) представя предварителните решения на Съвета. Окончателните решения на Съвета по международни счетоводни стандарти относно :МСФО стандарти (</w:t>
      </w:r>
      <w:r>
        <w:rPr>
          <w:rFonts w:eastAsia="Times New Roman" w:cs="Helvetica"/>
          <w:color w:val="575757"/>
          <w:sz w:val="24"/>
          <w:szCs w:val="24"/>
        </w:rPr>
        <w:t>IFRS</w:t>
      </w:r>
      <w:r w:rsidRPr="00713D6E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713D6E">
        <w:rPr>
          <w:rFonts w:eastAsia="Times New Roman" w:cs="Helvetica"/>
          <w:color w:val="575757"/>
          <w:sz w:val="24"/>
          <w:szCs w:val="24"/>
          <w:lang w:val="bg-BG"/>
        </w:rPr>
        <w:t> Standards), Изменения и Разяснения (IFRIC</w:t>
      </w:r>
      <w:r w:rsidRPr="00713D6E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713D6E">
        <w:rPr>
          <w:rFonts w:eastAsia="Times New Roman" w:cs="Helvetica"/>
          <w:color w:val="575757"/>
          <w:sz w:val="24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713D6E">
        <w:rPr>
          <w:rFonts w:eastAsia="Times New Roman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713D6E">
        <w:rPr>
          <w:rFonts w:eastAsia="Times New Roman" w:cs="Helvetica"/>
          <w:color w:val="575757"/>
          <w:sz w:val="24"/>
          <w:szCs w:val="24"/>
          <w:lang w:val="bg-BG"/>
        </w:rPr>
        <w:t xml:space="preserve"> на Фондация МСФО (</w:t>
      </w:r>
      <w:r>
        <w:rPr>
          <w:rFonts w:eastAsia="Times New Roman" w:cs="Helvetica"/>
          <w:color w:val="575757"/>
          <w:sz w:val="24"/>
          <w:szCs w:val="24"/>
        </w:rPr>
        <w:t>IFRS</w:t>
      </w:r>
      <w:r w:rsidRPr="00713D6E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713D6E">
        <w:rPr>
          <w:rFonts w:eastAsia="Times New Roman" w:cs="Helvetica"/>
          <w:color w:val="575757"/>
          <w:sz w:val="24"/>
          <w:szCs w:val="24"/>
          <w:lang w:val="bg-BG"/>
        </w:rPr>
        <w:t xml:space="preserve"> Foundation) и Комитета по разясненията на МСФО (</w:t>
      </w:r>
      <w:r>
        <w:rPr>
          <w:rFonts w:eastAsia="Times New Roman" w:cs="Helvetica"/>
          <w:color w:val="575757"/>
          <w:sz w:val="24"/>
          <w:szCs w:val="24"/>
        </w:rPr>
        <w:t>IFRS</w:t>
      </w:r>
      <w:r w:rsidRPr="00713D6E">
        <w:rPr>
          <w:rFonts w:eastAsia="Times New Roman" w:cs="Helvetica"/>
          <w:color w:val="575757"/>
          <w:sz w:val="24"/>
          <w:szCs w:val="24"/>
          <w:lang w:val="bg-BG"/>
        </w:rPr>
        <w:t xml:space="preserve"> Interpretation Committee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br/>
      </w:r>
      <w:r w:rsidR="005066B8" w:rsidRPr="00D13A11">
        <w:rPr>
          <w:rFonts w:eastAsia="Times New Roman" w:cs="Helvetica"/>
          <w:color w:val="575757"/>
          <w:sz w:val="24"/>
          <w:szCs w:val="24"/>
        </w:rPr>
        <w:br/>
      </w:r>
      <w:r w:rsidRPr="00713D6E">
        <w:rPr>
          <w:rFonts w:eastAsia="Times New Roman" w:cs="Helvetica"/>
          <w:color w:val="575757"/>
          <w:sz w:val="24"/>
          <w:szCs w:val="24"/>
          <w:lang w:val="bg-BG"/>
        </w:rPr>
        <w:t>Съветът проведе заседани</w:t>
      </w:r>
      <w:r>
        <w:rPr>
          <w:rFonts w:eastAsia="Times New Roman" w:cs="Helvetica"/>
          <w:color w:val="575757"/>
          <w:sz w:val="24"/>
          <w:szCs w:val="24"/>
          <w:lang w:val="bg-BG"/>
        </w:rPr>
        <w:t>е</w:t>
      </w:r>
      <w:r w:rsidRPr="00713D6E">
        <w:rPr>
          <w:rFonts w:eastAsia="Times New Roman" w:cs="Helvetica"/>
          <w:color w:val="575757"/>
          <w:sz w:val="24"/>
          <w:szCs w:val="24"/>
          <w:lang w:val="bg-BG"/>
        </w:rPr>
        <w:t xml:space="preserve"> на </w:t>
      </w:r>
      <w:r>
        <w:rPr>
          <w:rFonts w:eastAsia="Times New Roman" w:cs="Helvetica"/>
          <w:color w:val="575757"/>
          <w:sz w:val="24"/>
          <w:szCs w:val="24"/>
          <w:lang w:val="bg-BG"/>
        </w:rPr>
        <w:t>23</w:t>
      </w:r>
      <w:r w:rsidRPr="00713D6E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януари</w:t>
      </w:r>
      <w:r w:rsidRPr="00713D6E">
        <w:rPr>
          <w:rFonts w:eastAsia="Times New Roman" w:cs="Helvetica"/>
          <w:color w:val="575757"/>
          <w:sz w:val="24"/>
          <w:szCs w:val="24"/>
          <w:lang w:val="bg-BG"/>
        </w:rPr>
        <w:t xml:space="preserve"> 201</w:t>
      </w:r>
      <w:r>
        <w:rPr>
          <w:rFonts w:eastAsia="Times New Roman" w:cs="Helvetica"/>
          <w:color w:val="575757"/>
          <w:sz w:val="24"/>
          <w:szCs w:val="24"/>
          <w:lang w:val="bg-BG"/>
        </w:rPr>
        <w:t>9</w:t>
      </w:r>
      <w:r w:rsidRPr="00713D6E">
        <w:rPr>
          <w:rFonts w:eastAsia="Times New Roman" w:cs="Helvetica"/>
          <w:color w:val="575757"/>
          <w:sz w:val="24"/>
          <w:szCs w:val="24"/>
          <w:lang w:val="bg-BG"/>
        </w:rPr>
        <w:t xml:space="preserve"> г.,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сряда</w:t>
      </w:r>
      <w:r w:rsidRPr="00713D6E">
        <w:rPr>
          <w:rFonts w:eastAsia="Times New Roman" w:cs="Helvetica"/>
          <w:color w:val="575757"/>
          <w:sz w:val="24"/>
          <w:szCs w:val="24"/>
          <w:lang w:val="bg-BG"/>
        </w:rPr>
        <w:t>, в офисите на Фондация МСФО в Лондон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</w:p>
    <w:p w:rsidR="005066B8" w:rsidRPr="00D13A11" w:rsidRDefault="00D13A11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713D6E">
        <w:rPr>
          <w:rFonts w:eastAsia="Times New Roman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:</w:t>
      </w:r>
    </w:p>
    <w:p w:rsidR="005066B8" w:rsidRPr="00D13A11" w:rsidRDefault="00745A37" w:rsidP="005066B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5" w:anchor="1" w:history="1">
        <w:r w:rsidR="00D13A1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Изменение на</w:t>
        </w:r>
        <w:r w:rsidR="005066B8" w:rsidRPr="00D13A11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</w:t>
        </w:r>
        <w:r w:rsidR="00D13A11">
          <w:rPr>
            <w:rFonts w:eastAsia="Times New Roman" w:cs="Helvetica"/>
            <w:color w:val="CD3333"/>
            <w:sz w:val="24"/>
            <w:szCs w:val="24"/>
            <w:u w:val="single"/>
          </w:rPr>
          <w:t>МСФО</w:t>
        </w:r>
        <w:r w:rsidR="005066B8" w:rsidRPr="00D13A11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17 </w:t>
        </w:r>
        <w:r w:rsidR="00D13A11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>Застрахователни договори</w:t>
        </w:r>
      </w:hyperlink>
    </w:p>
    <w:p w:rsidR="005066B8" w:rsidRPr="00D13A11" w:rsidRDefault="00745A37" w:rsidP="005066B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6" w:anchor="2" w:history="1">
        <w:r w:rsidR="00D13A1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Добивни дейности</w:t>
        </w:r>
      </w:hyperlink>
    </w:p>
    <w:p w:rsidR="005066B8" w:rsidRPr="00D13A11" w:rsidRDefault="00745A37" w:rsidP="005066B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7" w:anchor="3" w:history="1">
        <w:r w:rsidR="00D13A1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Дейности с регулирани цени</w:t>
        </w:r>
      </w:hyperlink>
    </w:p>
    <w:p w:rsidR="005066B8" w:rsidRPr="00D13A11" w:rsidRDefault="00745A37" w:rsidP="005066B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CD3333"/>
          <w:sz w:val="24"/>
          <w:szCs w:val="24"/>
          <w:u w:val="single"/>
          <w:lang w:val="bg-BG"/>
        </w:rPr>
      </w:pPr>
      <w:hyperlink r:id="rId8" w:anchor="4" w:history="1">
        <w:r w:rsidR="00D13A1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Въвеждане</w:t>
        </w:r>
      </w:hyperlink>
      <w:r w:rsidR="00D13A11" w:rsidRPr="00D13A11">
        <w:rPr>
          <w:rFonts w:eastAsia="Times New Roman" w:cs="Helvetica"/>
          <w:color w:val="CD3333"/>
          <w:sz w:val="24"/>
          <w:szCs w:val="24"/>
          <w:u w:val="single"/>
          <w:lang w:val="bg-BG"/>
        </w:rPr>
        <w:t xml:space="preserve"> и прилагане</w:t>
      </w:r>
    </w:p>
    <w:p w:rsidR="005066B8" w:rsidRPr="00D13A11" w:rsidRDefault="00D13A11" w:rsidP="005066B8">
      <w:pPr>
        <w:shd w:val="clear" w:color="auto" w:fill="F6F6F6"/>
        <w:spacing w:before="225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Допълнителна информация</w:t>
      </w:r>
    </w:p>
    <w:p w:rsidR="005066B8" w:rsidRPr="00D13A11" w:rsidRDefault="00D13A11" w:rsidP="005066B8">
      <w:pPr>
        <w:shd w:val="clear" w:color="auto" w:fill="F6F6F6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Бъдещи заседания на Съвета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:</w:t>
      </w:r>
    </w:p>
    <w:p w:rsidR="005066B8" w:rsidRPr="00D13A11" w:rsidRDefault="005066B8" w:rsidP="005066B8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D13A11">
        <w:rPr>
          <w:rFonts w:eastAsia="Times New Roman" w:cs="Helvetica"/>
          <w:color w:val="575757"/>
          <w:sz w:val="24"/>
          <w:szCs w:val="24"/>
        </w:rPr>
        <w:t xml:space="preserve">6–8 </w:t>
      </w:r>
      <w:r w:rsidR="00D13A11">
        <w:rPr>
          <w:rFonts w:eastAsia="Times New Roman" w:cs="Helvetica"/>
          <w:color w:val="575757"/>
          <w:sz w:val="24"/>
          <w:szCs w:val="24"/>
          <w:lang w:val="bg-BG"/>
        </w:rPr>
        <w:t>февруари</w:t>
      </w:r>
      <w:r w:rsidRPr="00D13A11">
        <w:rPr>
          <w:rFonts w:eastAsia="Times New Roman" w:cs="Helvetica"/>
          <w:color w:val="575757"/>
          <w:sz w:val="24"/>
          <w:szCs w:val="24"/>
        </w:rPr>
        <w:t xml:space="preserve"> 2019</w:t>
      </w:r>
      <w:r w:rsidR="00D13A11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5066B8" w:rsidRPr="00D13A11" w:rsidRDefault="005066B8" w:rsidP="005066B8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D13A11">
        <w:rPr>
          <w:rFonts w:eastAsia="Times New Roman" w:cs="Helvetica"/>
          <w:color w:val="575757"/>
          <w:sz w:val="24"/>
          <w:szCs w:val="24"/>
        </w:rPr>
        <w:t xml:space="preserve">11–15 </w:t>
      </w:r>
      <w:r w:rsidR="00D13A11">
        <w:rPr>
          <w:rFonts w:eastAsia="Times New Roman" w:cs="Helvetica"/>
          <w:color w:val="575757"/>
          <w:sz w:val="24"/>
          <w:szCs w:val="24"/>
          <w:lang w:val="bg-BG"/>
        </w:rPr>
        <w:t>март</w:t>
      </w:r>
      <w:r w:rsidRPr="00D13A11">
        <w:rPr>
          <w:rFonts w:eastAsia="Times New Roman" w:cs="Helvetica"/>
          <w:color w:val="575757"/>
          <w:sz w:val="24"/>
          <w:szCs w:val="24"/>
        </w:rPr>
        <w:t xml:space="preserve"> 2019</w:t>
      </w:r>
      <w:r w:rsidR="00D13A11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5066B8" w:rsidRPr="00D13A11" w:rsidRDefault="005066B8" w:rsidP="005066B8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D13A11">
        <w:rPr>
          <w:rFonts w:eastAsia="Times New Roman" w:cs="Helvetica"/>
          <w:color w:val="575757"/>
          <w:sz w:val="24"/>
          <w:szCs w:val="24"/>
        </w:rPr>
        <w:t xml:space="preserve">8–12 </w:t>
      </w:r>
      <w:r w:rsidR="00D13A11">
        <w:rPr>
          <w:rFonts w:eastAsia="Times New Roman" w:cs="Helvetica"/>
          <w:color w:val="575757"/>
          <w:sz w:val="24"/>
          <w:szCs w:val="24"/>
          <w:lang w:val="bg-BG"/>
        </w:rPr>
        <w:t>април</w:t>
      </w:r>
      <w:r w:rsidRPr="00D13A11">
        <w:rPr>
          <w:rFonts w:eastAsia="Times New Roman" w:cs="Helvetica"/>
          <w:color w:val="575757"/>
          <w:sz w:val="24"/>
          <w:szCs w:val="24"/>
        </w:rPr>
        <w:t xml:space="preserve"> 2019</w:t>
      </w:r>
      <w:r w:rsidR="00D13A11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5066B8" w:rsidRPr="00D13A11" w:rsidRDefault="00D13A11" w:rsidP="005066B8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0" w:name="1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Изменение на </w:t>
      </w:r>
      <w:r>
        <w:rPr>
          <w:rFonts w:eastAsia="Times New Roman" w:cs="Helvetica"/>
          <w:b/>
          <w:bCs/>
          <w:color w:val="CD3333"/>
          <w:sz w:val="34"/>
          <w:szCs w:val="34"/>
        </w:rPr>
        <w:t>МСФО</w:t>
      </w:r>
      <w:r w:rsidR="005066B8" w:rsidRPr="00D13A11">
        <w:rPr>
          <w:rFonts w:eastAsia="Times New Roman" w:cs="Helvetica"/>
          <w:b/>
          <w:bCs/>
          <w:color w:val="CD3333"/>
          <w:sz w:val="34"/>
          <w:szCs w:val="34"/>
        </w:rPr>
        <w:t xml:space="preserve"> 17</w:t>
      </w:r>
      <w:r w:rsidR="004C0EBA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>Застрахователни договори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 w:rsidR="005066B8" w:rsidRPr="00D13A11">
        <w:rPr>
          <w:rFonts w:eastAsia="Times New Roman" w:cs="Helvetica"/>
          <w:b/>
          <w:bCs/>
          <w:color w:val="CD3333"/>
          <w:sz w:val="34"/>
          <w:szCs w:val="34"/>
        </w:rPr>
        <w:t>(</w:t>
      </w:r>
      <w:r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5066B8" w:rsidRPr="00D13A11">
        <w:rPr>
          <w:rFonts w:eastAsia="Times New Roman" w:cs="Helvetica"/>
          <w:b/>
          <w:bCs/>
          <w:color w:val="CD3333"/>
          <w:sz w:val="34"/>
          <w:szCs w:val="34"/>
        </w:rPr>
        <w:t xml:space="preserve"> 2)</w:t>
      </w:r>
      <w:bookmarkEnd w:id="0"/>
    </w:p>
    <w:p w:rsidR="005066B8" w:rsidRPr="00D13A11" w:rsidRDefault="004F58EC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На 23 януари 2019 г. Съветът проведе заседание, за да разгледа възможни изменения в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D13A11">
        <w:rPr>
          <w:rFonts w:eastAsia="Times New Roman" w:cs="Helvetica"/>
          <w:color w:val="575757"/>
          <w:sz w:val="24"/>
          <w:szCs w:val="24"/>
        </w:rPr>
        <w:t>МСФО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17</w:t>
      </w:r>
      <w:r w:rsidR="00745A37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bookmarkStart w:id="1" w:name="_GoBack"/>
      <w:bookmarkEnd w:id="1"/>
      <w:r w:rsidR="00D13A1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Застрахователни договори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отнасящи се до следните теми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:</w:t>
      </w:r>
    </w:p>
    <w:p w:rsidR="005066B8" w:rsidRPr="00D13A11" w:rsidRDefault="004F58EC" w:rsidP="005066B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парични потоци при придобиване на застрахова</w:t>
      </w:r>
      <w:r w:rsidR="003F3423">
        <w:rPr>
          <w:rFonts w:eastAsia="Times New Roman" w:cs="Helvetica"/>
          <w:color w:val="575757"/>
          <w:sz w:val="24"/>
          <w:szCs w:val="24"/>
          <w:lang w:val="bg-BG"/>
        </w:rPr>
        <w:t>не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—</w:t>
      </w:r>
      <w:r w:rsidR="00D13A11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2A;</w:t>
      </w:r>
    </w:p>
    <w:p w:rsidR="005066B8" w:rsidRPr="00D13A11" w:rsidRDefault="004F58EC" w:rsidP="005066B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държани презастрахователни договори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—</w:t>
      </w:r>
      <w:r w:rsidR="00D13A11">
        <w:rPr>
          <w:rFonts w:eastAsia="Times New Roman" w:cs="Helvetica"/>
          <w:color w:val="575757"/>
          <w:sz w:val="24"/>
          <w:szCs w:val="24"/>
        </w:rPr>
        <w:t>Документ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и </w:t>
      </w:r>
      <w:r w:rsidR="00D13A11">
        <w:rPr>
          <w:rFonts w:eastAsia="Times New Roman" w:cs="Helvetica"/>
          <w:color w:val="575757"/>
          <w:sz w:val="24"/>
          <w:szCs w:val="24"/>
        </w:rPr>
        <w:t>по програмата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2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, 2</w:t>
      </w:r>
      <w:r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2</w:t>
      </w:r>
      <w:r>
        <w:rPr>
          <w:rFonts w:eastAsia="Times New Roman" w:cs="Helvetica"/>
          <w:color w:val="575757"/>
          <w:sz w:val="24"/>
          <w:szCs w:val="24"/>
          <w:lang w:val="bg-BG"/>
        </w:rPr>
        <w:t>Г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066B8" w:rsidRPr="00D13A11" w:rsidRDefault="004F58EC" w:rsidP="005066B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признаване на маржа на договорената услуга в печалбата или загубата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—</w:t>
      </w:r>
      <w:r w:rsidR="00D13A11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2</w:t>
      </w:r>
      <w:r>
        <w:rPr>
          <w:rFonts w:eastAsia="Times New Roman" w:cs="Helvetica"/>
          <w:color w:val="575757"/>
          <w:sz w:val="24"/>
          <w:szCs w:val="24"/>
          <w:lang w:val="bg-BG"/>
        </w:rPr>
        <w:t>Д</w:t>
      </w:r>
      <w:r w:rsidR="005066B8" w:rsidRPr="00D13A11">
        <w:rPr>
          <w:rFonts w:eastAsia="Times New Roman" w:cs="Helvetica"/>
          <w:i/>
          <w:iCs/>
          <w:color w:val="575757"/>
          <w:sz w:val="24"/>
          <w:szCs w:val="24"/>
        </w:rPr>
        <w:t>.</w:t>
      </w:r>
    </w:p>
    <w:p w:rsidR="005066B8" w:rsidRPr="00D13A11" w:rsidRDefault="0056048E" w:rsidP="005066B8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</w:t>
      </w:r>
      <w:r w:rsidRPr="0056048E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арични потоци при придобиване на застраховане</w:t>
      </w:r>
      <w:r w:rsidRPr="0056048E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за подновявания извън границите на договора </w:t>
      </w:r>
      <w:r w:rsidR="005066B8" w:rsidRPr="00D13A11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D13A11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5066B8" w:rsidRPr="00D13A11">
        <w:rPr>
          <w:rFonts w:eastAsia="Times New Roman" w:cs="Helvetica"/>
          <w:b/>
          <w:bCs/>
          <w:color w:val="333333"/>
          <w:sz w:val="24"/>
          <w:szCs w:val="24"/>
        </w:rPr>
        <w:t xml:space="preserve"> 2A)</w:t>
      </w:r>
    </w:p>
    <w:p w:rsidR="005066B8" w:rsidRPr="00D13A11" w:rsidRDefault="005D4E86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да измени</w:t>
      </w:r>
      <w:r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</w:rPr>
        <w:t>МСФО</w:t>
      </w:r>
      <w:r w:rsidRPr="00D13A11">
        <w:rPr>
          <w:rFonts w:eastAsia="Times New Roman" w:cs="Helvetica"/>
          <w:color w:val="575757"/>
          <w:sz w:val="24"/>
          <w:szCs w:val="24"/>
        </w:rPr>
        <w:t xml:space="preserve"> 17</w:t>
      </w:r>
      <w:r>
        <w:rPr>
          <w:rFonts w:eastAsia="Times New Roman" w:cs="Helvetica"/>
          <w:color w:val="575757"/>
          <w:sz w:val="24"/>
          <w:szCs w:val="24"/>
          <w:lang w:val="bg-BG"/>
        </w:rPr>
        <w:t>, така че да изисква предприятието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:</w:t>
      </w:r>
    </w:p>
    <w:p w:rsidR="005066B8" w:rsidRPr="00D13A11" w:rsidRDefault="005D4E86" w:rsidP="005066B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разпределя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56048E">
        <w:rPr>
          <w:rFonts w:eastAsia="Times New Roman" w:cs="Helvetica"/>
          <w:color w:val="575757"/>
          <w:sz w:val="24"/>
          <w:szCs w:val="24"/>
          <w:lang w:val="bg-BG"/>
        </w:rPr>
        <w:t>към очакваните подновявания на договори съответната част от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56048E">
        <w:rPr>
          <w:rFonts w:eastAsia="Times New Roman" w:cs="Helvetica"/>
          <w:color w:val="575757"/>
          <w:sz w:val="24"/>
          <w:szCs w:val="24"/>
          <w:lang w:val="bg-BG"/>
        </w:rPr>
        <w:t>паричните потоци при придобиване на застраховане, която може да бъде директно отнесена към новоиздадените договори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</w:p>
    <w:p w:rsidR="005066B8" w:rsidRPr="00D13A11" w:rsidRDefault="005D4E86" w:rsidP="005066B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признава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56048E">
        <w:rPr>
          <w:rFonts w:eastAsia="Times New Roman" w:cs="Helvetica"/>
          <w:color w:val="575757"/>
          <w:sz w:val="24"/>
          <w:szCs w:val="24"/>
          <w:lang w:val="bg-BG"/>
        </w:rPr>
        <w:t>паричните потоци при придобиване на застраховане, разпределени към очакваните подновявания на договори като активи, прилагайки параграф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27 </w:t>
      </w:r>
      <w:r w:rsidR="0056048E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D13A11">
        <w:rPr>
          <w:rFonts w:eastAsia="Times New Roman" w:cs="Helvetica"/>
          <w:color w:val="575757"/>
          <w:sz w:val="24"/>
          <w:szCs w:val="24"/>
        </w:rPr>
        <w:t>МСФО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17 </w:t>
      </w:r>
      <w:r w:rsidR="0056048E">
        <w:rPr>
          <w:rFonts w:eastAsia="Times New Roman" w:cs="Helvetica"/>
          <w:color w:val="575757"/>
          <w:sz w:val="24"/>
          <w:szCs w:val="24"/>
          <w:lang w:val="bg-BG"/>
        </w:rPr>
        <w:t>до момента, когато подновените договори биват признати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</w:p>
    <w:p w:rsidR="005066B8" w:rsidRPr="00D13A11" w:rsidRDefault="005D4E86" w:rsidP="005066B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оценява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56048E">
        <w:rPr>
          <w:rFonts w:eastAsia="Times New Roman" w:cs="Helvetica"/>
          <w:color w:val="575757"/>
          <w:sz w:val="24"/>
          <w:szCs w:val="24"/>
          <w:lang w:val="bg-BG"/>
        </w:rPr>
        <w:t>възстановимостта на всеки актив, признат, прилагайки параграф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27 </w:t>
      </w:r>
      <w:r w:rsidR="0056048E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D13A11">
        <w:rPr>
          <w:rFonts w:eastAsia="Times New Roman" w:cs="Helvetica"/>
          <w:color w:val="575757"/>
          <w:sz w:val="24"/>
          <w:szCs w:val="24"/>
        </w:rPr>
        <w:t>МСФО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17</w:t>
      </w:r>
      <w:r w:rsidR="0056048E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56048E">
        <w:rPr>
          <w:rFonts w:eastAsia="Times New Roman" w:cs="Helvetica"/>
          <w:color w:val="575757"/>
          <w:sz w:val="24"/>
          <w:szCs w:val="24"/>
          <w:lang w:val="bg-BG"/>
        </w:rPr>
        <w:t>всеки период преди съответните договори да бъдат признати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. </w:t>
      </w:r>
      <w:r w:rsidR="0056048E">
        <w:rPr>
          <w:rFonts w:eastAsia="Times New Roman" w:cs="Helvetica"/>
          <w:color w:val="575757"/>
          <w:sz w:val="24"/>
          <w:szCs w:val="24"/>
          <w:lang w:val="bg-BG"/>
        </w:rPr>
        <w:t>Оценката на възстановимостта ще бъде базирана на очакваните парични потоци при изпълнение на съответната група договори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</w:p>
    <w:p w:rsidR="005066B8" w:rsidRPr="00D13A11" w:rsidRDefault="005D4E86" w:rsidP="005066B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признава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56048E">
        <w:rPr>
          <w:rFonts w:eastAsia="Times New Roman" w:cs="Helvetica"/>
          <w:color w:val="575757"/>
          <w:sz w:val="24"/>
          <w:szCs w:val="24"/>
          <w:lang w:val="bg-BG"/>
        </w:rPr>
        <w:t>загуба в печалбата или загубата за всяка невъзстановима балансова стойност на актива,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56048E">
        <w:rPr>
          <w:rFonts w:eastAsia="Times New Roman" w:cs="Helvetica"/>
          <w:color w:val="575757"/>
          <w:sz w:val="24"/>
          <w:szCs w:val="24"/>
          <w:lang w:val="bg-BG"/>
        </w:rPr>
        <w:t>признат, прилагайки параграф</w:t>
      </w:r>
      <w:r w:rsidR="0056048E" w:rsidRPr="00D13A11">
        <w:rPr>
          <w:rFonts w:eastAsia="Times New Roman" w:cs="Helvetica"/>
          <w:color w:val="575757"/>
          <w:sz w:val="24"/>
          <w:szCs w:val="24"/>
        </w:rPr>
        <w:t xml:space="preserve"> 27 </w:t>
      </w:r>
      <w:r w:rsidR="0056048E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56048E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56048E">
        <w:rPr>
          <w:rFonts w:eastAsia="Times New Roman" w:cs="Helvetica"/>
          <w:color w:val="575757"/>
          <w:sz w:val="24"/>
          <w:szCs w:val="24"/>
        </w:rPr>
        <w:t>МСФО</w:t>
      </w:r>
      <w:r w:rsidR="0056048E" w:rsidRPr="00D13A11">
        <w:rPr>
          <w:rFonts w:eastAsia="Times New Roman" w:cs="Helvetica"/>
          <w:color w:val="575757"/>
          <w:sz w:val="24"/>
          <w:szCs w:val="24"/>
        </w:rPr>
        <w:t xml:space="preserve"> 17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</w:p>
    <w:p w:rsidR="005066B8" w:rsidRPr="00D13A11" w:rsidRDefault="005D4E86" w:rsidP="005066B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признава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56048E">
        <w:rPr>
          <w:rFonts w:eastAsia="Times New Roman" w:cs="Helvetica"/>
          <w:color w:val="575757"/>
          <w:sz w:val="24"/>
          <w:szCs w:val="24"/>
          <w:lang w:val="bg-BG"/>
        </w:rPr>
        <w:t>в печалбата или загубата обратното възстановяване на цялата или част от такава загуба, която преди това е била призната, когато условията за обезценка вече не са налице или са се подобрили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</w:p>
    <w:p w:rsidR="005066B8" w:rsidRPr="00D13A11" w:rsidRDefault="005D4E86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– несъгласие с това решение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</w:p>
    <w:p w:rsidR="005066B8" w:rsidRPr="00D13A11" w:rsidRDefault="0056048E" w:rsidP="005066B8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Държани презастрахователни договори </w:t>
      </w:r>
      <w:r w:rsidR="005066B8" w:rsidRPr="00D13A11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D13A11">
        <w:rPr>
          <w:rFonts w:eastAsia="Times New Roman" w:cs="Helvetica"/>
          <w:b/>
          <w:bCs/>
          <w:color w:val="333333"/>
          <w:sz w:val="24"/>
          <w:szCs w:val="24"/>
        </w:rPr>
        <w:t>Документ</w:t>
      </w:r>
      <w:r w:rsidR="004F58EC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и</w:t>
      </w:r>
      <w:r w:rsidR="00D13A11">
        <w:rPr>
          <w:rFonts w:eastAsia="Times New Roman" w:cs="Helvetica"/>
          <w:b/>
          <w:bCs/>
          <w:color w:val="333333"/>
          <w:sz w:val="24"/>
          <w:szCs w:val="24"/>
        </w:rPr>
        <w:t xml:space="preserve"> по програмата</w:t>
      </w:r>
      <w:r w:rsidR="005066B8" w:rsidRPr="00D13A11">
        <w:rPr>
          <w:rFonts w:eastAsia="Times New Roman" w:cs="Helvetica"/>
          <w:b/>
          <w:bCs/>
          <w:color w:val="333333"/>
          <w:sz w:val="24"/>
          <w:szCs w:val="24"/>
        </w:rPr>
        <w:t xml:space="preserve"> 2</w:t>
      </w:r>
      <w:r w:rsidR="004F58EC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5066B8" w:rsidRPr="00D13A11">
        <w:rPr>
          <w:rFonts w:eastAsia="Times New Roman" w:cs="Helvetica"/>
          <w:b/>
          <w:bCs/>
          <w:color w:val="333333"/>
          <w:sz w:val="24"/>
          <w:szCs w:val="24"/>
        </w:rPr>
        <w:t>–2</w:t>
      </w:r>
      <w:r w:rsidR="004F58EC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5066B8" w:rsidRPr="00D13A11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5066B8" w:rsidRPr="00D13A11" w:rsidRDefault="005D4E86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да измени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D13A11">
        <w:rPr>
          <w:rFonts w:eastAsia="Times New Roman" w:cs="Helvetica"/>
          <w:color w:val="575757"/>
          <w:sz w:val="24"/>
          <w:szCs w:val="24"/>
        </w:rPr>
        <w:t>МСФО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17</w:t>
      </w:r>
      <w:r>
        <w:rPr>
          <w:rFonts w:eastAsia="Times New Roman" w:cs="Helvetica"/>
          <w:color w:val="575757"/>
          <w:sz w:val="24"/>
          <w:szCs w:val="24"/>
          <w:lang w:val="bg-BG"/>
        </w:rPr>
        <w:t>, за да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:</w:t>
      </w:r>
    </w:p>
    <w:p w:rsidR="005066B8" w:rsidRPr="00D13A11" w:rsidRDefault="0056048E" w:rsidP="005066B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разшири обхвата на изключението в параграф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66(</w:t>
      </w:r>
      <w:r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)(ii)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D13A11">
        <w:rPr>
          <w:rFonts w:eastAsia="Times New Roman" w:cs="Helvetica"/>
          <w:color w:val="575757"/>
          <w:sz w:val="24"/>
          <w:szCs w:val="24"/>
        </w:rPr>
        <w:t>МСФО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17</w:t>
      </w:r>
      <w:r>
        <w:rPr>
          <w:rFonts w:eastAsia="Times New Roman" w:cs="Helvetica"/>
          <w:color w:val="575757"/>
          <w:sz w:val="24"/>
          <w:szCs w:val="24"/>
          <w:lang w:val="bg-BG"/>
        </w:rPr>
        <w:t>, така че да изисква предприятието да признава печалба в печалбата или загубата, когато предприятието признава загуби по обременяващи основни договори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до степента, в която държан презастрахователен договор </w:t>
      </w:r>
      <w:r w:rsidR="00E240FA">
        <w:rPr>
          <w:rFonts w:eastAsia="Times New Roman" w:cs="Helvetica"/>
          <w:color w:val="575757"/>
          <w:sz w:val="24"/>
          <w:szCs w:val="24"/>
          <w:lang w:val="bg-BG"/>
        </w:rPr>
        <w:t>покрива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загубите от всеки договор</w:t>
      </w:r>
      <w:r w:rsidR="00E240FA">
        <w:rPr>
          <w:rFonts w:eastAsia="Times New Roman" w:cs="Helvetica"/>
          <w:color w:val="575757"/>
          <w:sz w:val="24"/>
          <w:szCs w:val="24"/>
          <w:lang w:val="bg-BG"/>
        </w:rPr>
        <w:t xml:space="preserve"> на пропорционална база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; </w:t>
      </w:r>
      <w:r w:rsidR="00E240FA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066B8" w:rsidRPr="00D13A11" w:rsidRDefault="00E240FA" w:rsidP="005066B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изисква предприятието да прилага разширеното изключение, когато предприятието оценява договори, прилагайки подхода за разпределяне на премията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</w:p>
    <w:p w:rsidR="005066B8" w:rsidRPr="000C2DA1" w:rsidRDefault="00D13A11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0C2DA1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Всички членове на Съвета изразиха съгласие с това решение</w:t>
      </w:r>
      <w:r w:rsidR="005066B8" w:rsidRPr="000C2DA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066B8" w:rsidRPr="000C2DA1" w:rsidRDefault="005D4E86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0C2DA1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също така в порядък на работна хипотеза </w:t>
      </w:r>
      <w:r w:rsidR="000C2DA1" w:rsidRPr="000C2DA1">
        <w:rPr>
          <w:rFonts w:eastAsia="Times New Roman" w:cs="Helvetica"/>
          <w:color w:val="575757"/>
          <w:sz w:val="24"/>
          <w:szCs w:val="24"/>
          <w:lang w:val="bg-BG"/>
        </w:rPr>
        <w:t>да измени</w:t>
      </w:r>
      <w:r w:rsidR="005066B8" w:rsidRPr="000C2DA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D13A11" w:rsidRPr="000C2DA1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066B8" w:rsidRPr="000C2DA1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="000C2DA1" w:rsidRPr="000C2DA1">
        <w:rPr>
          <w:rFonts w:eastAsia="Times New Roman" w:cs="Helvetica"/>
          <w:color w:val="575757"/>
          <w:sz w:val="24"/>
          <w:szCs w:val="24"/>
          <w:lang w:val="bg-BG"/>
        </w:rPr>
        <w:t>, за да разшири обхвата на изключението във връзка със смекчаване на риска</w:t>
      </w:r>
      <w:r w:rsidR="005066B8" w:rsidRPr="000C2DA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C2DA1" w:rsidRPr="000C2DA1">
        <w:rPr>
          <w:rFonts w:eastAsia="Times New Roman" w:cs="Helvetica"/>
          <w:color w:val="575757"/>
          <w:sz w:val="24"/>
          <w:szCs w:val="24"/>
          <w:lang w:val="bg-BG"/>
        </w:rPr>
        <w:t>по отношение на застрахователни договори с характеристики на пряко участие в разпределението на печалбата в параграф</w:t>
      </w:r>
      <w:r w:rsidR="005066B8" w:rsidRPr="000C2DA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C2DA1" w:rsidRPr="000C2DA1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5066B8" w:rsidRPr="000C2DA1">
        <w:rPr>
          <w:rFonts w:eastAsia="Times New Roman" w:cs="Helvetica"/>
          <w:color w:val="575757"/>
          <w:sz w:val="24"/>
          <w:szCs w:val="24"/>
          <w:lang w:val="bg-BG"/>
        </w:rPr>
        <w:t xml:space="preserve">115 </w:t>
      </w:r>
      <w:r w:rsidR="000C2DA1" w:rsidRPr="000C2DA1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5066B8" w:rsidRPr="000C2DA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D13A11" w:rsidRPr="000C2DA1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066B8" w:rsidRPr="000C2DA1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="000C2DA1" w:rsidRPr="000C2DA1">
        <w:rPr>
          <w:rFonts w:eastAsia="Times New Roman" w:cs="Helvetica"/>
          <w:color w:val="575757"/>
          <w:sz w:val="24"/>
          <w:szCs w:val="24"/>
          <w:lang w:val="bg-BG"/>
        </w:rPr>
        <w:t>, така че</w:t>
      </w:r>
      <w:r w:rsidR="005066B8" w:rsidRPr="000C2DA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C2DA1" w:rsidRPr="000C2DA1">
        <w:rPr>
          <w:rFonts w:eastAsia="Times New Roman" w:cs="Helvetica"/>
          <w:color w:val="575757"/>
          <w:sz w:val="24"/>
          <w:szCs w:val="24"/>
          <w:lang w:val="bg-BG"/>
        </w:rPr>
        <w:t>изключението да бъде приложимо, когато предприятието използва дериватив или презастрахователен договор, държан за смекчаване на финансовия риск</w:t>
      </w:r>
      <w:r w:rsidR="005066B8" w:rsidRPr="000C2DA1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0C2DA1" w:rsidRPr="000C2DA1">
        <w:rPr>
          <w:rFonts w:eastAsia="Times New Roman" w:cs="Helvetica"/>
          <w:color w:val="575757"/>
          <w:sz w:val="24"/>
          <w:szCs w:val="24"/>
          <w:lang w:val="bg-BG"/>
        </w:rPr>
        <w:t>до степента, в която предприятието удовлетворява условията в параграф</w:t>
      </w:r>
      <w:r w:rsidR="005066B8" w:rsidRPr="000C2DA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C2DA1" w:rsidRPr="000C2DA1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5066B8" w:rsidRPr="000C2DA1">
        <w:rPr>
          <w:rFonts w:eastAsia="Times New Roman" w:cs="Helvetica"/>
          <w:color w:val="575757"/>
          <w:sz w:val="24"/>
          <w:szCs w:val="24"/>
          <w:lang w:val="bg-BG"/>
        </w:rPr>
        <w:t xml:space="preserve">116 </w:t>
      </w:r>
      <w:r w:rsidR="000C2DA1" w:rsidRPr="000C2DA1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5066B8" w:rsidRPr="000C2DA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D13A11" w:rsidRPr="000C2DA1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066B8" w:rsidRPr="000C2DA1">
        <w:rPr>
          <w:rFonts w:eastAsia="Times New Roman" w:cs="Helvetica"/>
          <w:color w:val="575757"/>
          <w:sz w:val="24"/>
          <w:szCs w:val="24"/>
          <w:lang w:val="bg-BG"/>
        </w:rPr>
        <w:t xml:space="preserve"> 17.</w:t>
      </w:r>
    </w:p>
    <w:p w:rsidR="005066B8" w:rsidRPr="000C2DA1" w:rsidRDefault="00D13A11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0C2DA1">
        <w:rPr>
          <w:rFonts w:eastAsia="Times New Roman" w:cs="Helvetica"/>
          <w:color w:val="575757"/>
          <w:sz w:val="24"/>
          <w:szCs w:val="24"/>
          <w:lang w:val="bg-BG"/>
        </w:rPr>
        <w:t>Всички членове на Съвета изразиха съгласие с това решение</w:t>
      </w:r>
      <w:r w:rsidR="005066B8" w:rsidRPr="000C2DA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066B8" w:rsidRPr="00D13A11" w:rsidRDefault="007D7A6F" w:rsidP="005066B8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Признаване на маржа на договорената услуга в печалбата или загубата</w:t>
      </w:r>
      <w:r w:rsidR="005066B8" w:rsidRPr="00D13A11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в общия модел </w:t>
      </w:r>
      <w:r w:rsidR="005066B8" w:rsidRPr="00D13A11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D13A11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5066B8" w:rsidRPr="00D13A11">
        <w:rPr>
          <w:rFonts w:eastAsia="Times New Roman" w:cs="Helvetica"/>
          <w:b/>
          <w:bCs/>
          <w:color w:val="333333"/>
          <w:sz w:val="24"/>
          <w:szCs w:val="24"/>
        </w:rPr>
        <w:t xml:space="preserve"> 2</w:t>
      </w:r>
      <w:r w:rsidR="004F58EC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</w:t>
      </w:r>
      <w:r w:rsidR="005066B8" w:rsidRPr="00D13A11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5066B8" w:rsidRPr="00D13A11" w:rsidRDefault="005D4E86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:</w:t>
      </w:r>
    </w:p>
    <w:p w:rsidR="005066B8" w:rsidRPr="00D13A11" w:rsidRDefault="007D7A6F" w:rsidP="005066B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измени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D13A11">
        <w:rPr>
          <w:rFonts w:eastAsia="Times New Roman" w:cs="Helvetica"/>
          <w:color w:val="575757"/>
          <w:sz w:val="24"/>
          <w:szCs w:val="24"/>
        </w:rPr>
        <w:t>МСФО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17</w:t>
      </w:r>
      <w:r>
        <w:rPr>
          <w:rFonts w:eastAsia="Times New Roman" w:cs="Helvetica"/>
          <w:color w:val="575757"/>
          <w:sz w:val="24"/>
          <w:szCs w:val="24"/>
          <w:lang w:val="bg-BG"/>
        </w:rPr>
        <w:t>, така че в общия модел маржът на договорената услуга да бъде признаван в печалбата или загубата на базата на единици покритие, които се определят като се вземат под внимание както застрахователното покритие, така и услугата по възвръщаемост на инвестицията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ако има такава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;</w:t>
      </w:r>
    </w:p>
    <w:p w:rsidR="005066B8" w:rsidRPr="00D13A11" w:rsidRDefault="007D7A6F" w:rsidP="005066B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7D7A6F">
        <w:rPr>
          <w:rFonts w:eastAsia="Times New Roman" w:cs="Helvetica"/>
          <w:color w:val="575757"/>
          <w:sz w:val="24"/>
          <w:szCs w:val="24"/>
          <w:lang w:val="bg-BG"/>
        </w:rPr>
        <w:t>да измени</w:t>
      </w:r>
      <w:r w:rsidRPr="007D7A6F">
        <w:rPr>
          <w:rFonts w:eastAsia="Times New Roman" w:cs="Helvetica"/>
          <w:color w:val="575757"/>
          <w:sz w:val="24"/>
          <w:szCs w:val="24"/>
        </w:rPr>
        <w:t xml:space="preserve"> МСФО 17</w:t>
      </w:r>
      <w:r w:rsidRPr="007D7A6F">
        <w:rPr>
          <w:rFonts w:eastAsia="Times New Roman" w:cs="Helvetica"/>
          <w:color w:val="575757"/>
          <w:sz w:val="24"/>
          <w:szCs w:val="24"/>
          <w:lang w:val="bg-BG"/>
        </w:rPr>
        <w:t xml:space="preserve">, така че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да </w:t>
      </w:r>
      <w:r w:rsidR="00C1471B">
        <w:rPr>
          <w:rFonts w:eastAsia="Times New Roman" w:cs="Helvetica"/>
          <w:color w:val="575757"/>
          <w:sz w:val="24"/>
          <w:szCs w:val="24"/>
          <w:lang w:val="bg-BG"/>
        </w:rPr>
        <w:t>посочи</w:t>
      </w:r>
      <w:r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Pr="007D7A6F">
        <w:rPr>
          <w:rFonts w:eastAsia="Times New Roman" w:cs="Helvetica"/>
          <w:color w:val="575757"/>
          <w:sz w:val="24"/>
          <w:szCs w:val="24"/>
          <w:lang w:val="bg-BG"/>
        </w:rPr>
        <w:t>услуга по възвръщаемост на инвестицията</w:t>
      </w:r>
      <w:r w:rsidRPr="007D7A6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е налице само когато застрахователният договор съдържа инвестиционен компонент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;</w:t>
      </w:r>
    </w:p>
    <w:p w:rsidR="005066B8" w:rsidRPr="00D13A11" w:rsidRDefault="007D7A6F" w:rsidP="005066B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7D7A6F">
        <w:rPr>
          <w:rFonts w:eastAsia="Times New Roman" w:cs="Helvetica"/>
          <w:color w:val="575757"/>
          <w:sz w:val="24"/>
          <w:szCs w:val="24"/>
          <w:lang w:val="bg-BG"/>
        </w:rPr>
        <w:t>да измени</w:t>
      </w:r>
      <w:r w:rsidRPr="007D7A6F">
        <w:rPr>
          <w:rFonts w:eastAsia="Times New Roman" w:cs="Helvetica"/>
          <w:color w:val="575757"/>
          <w:sz w:val="24"/>
          <w:szCs w:val="24"/>
        </w:rPr>
        <w:t xml:space="preserve"> МСФО 17</w:t>
      </w:r>
      <w:r w:rsidRPr="007D7A6F">
        <w:rPr>
          <w:rFonts w:eastAsia="Times New Roman" w:cs="Helvetica"/>
          <w:color w:val="575757"/>
          <w:sz w:val="24"/>
          <w:szCs w:val="24"/>
          <w:lang w:val="bg-BG"/>
        </w:rPr>
        <w:t xml:space="preserve">, така че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да изисква предприятието да използва прилагана последователно преценка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при вземане на решение дали е налице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Pr="007D7A6F">
        <w:rPr>
          <w:rFonts w:eastAsia="Times New Roman" w:cs="Helvetica"/>
          <w:color w:val="575757"/>
          <w:sz w:val="24"/>
          <w:szCs w:val="24"/>
          <w:lang w:val="bg-BG"/>
        </w:rPr>
        <w:t>услуга по възвръщаемост на инвестицията</w:t>
      </w:r>
      <w:r>
        <w:rPr>
          <w:rFonts w:eastAsia="Times New Roman" w:cs="Helvetica"/>
          <w:color w:val="575757"/>
          <w:sz w:val="24"/>
          <w:szCs w:val="24"/>
          <w:lang w:val="bg-BG"/>
        </w:rPr>
        <w:t>, когато определя единиците покритие и да не предоставя цел или критерии за това определяне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. </w:t>
      </w:r>
      <w:r w:rsidR="00C1471B">
        <w:rPr>
          <w:rFonts w:eastAsia="Times New Roman" w:cs="Helvetica"/>
          <w:color w:val="575757"/>
          <w:sz w:val="24"/>
          <w:szCs w:val="24"/>
          <w:lang w:val="bg-BG"/>
        </w:rPr>
        <w:t>Съветът обаче даде указания на екипа да обмисли включване в Основанието за заключения на част от анализа, съдържащ се в документа за Съвета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, </w:t>
      </w:r>
      <w:r w:rsidR="00C1471B">
        <w:rPr>
          <w:rFonts w:eastAsia="Times New Roman" w:cs="Helvetica"/>
          <w:color w:val="575757"/>
          <w:sz w:val="24"/>
          <w:szCs w:val="24"/>
          <w:lang w:val="bg-BG"/>
        </w:rPr>
        <w:t>за да се дадат индикации какво тези преценки биха могли да включват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;</w:t>
      </w:r>
    </w:p>
    <w:p w:rsidR="005066B8" w:rsidRPr="00D13A11" w:rsidRDefault="007D7A6F" w:rsidP="005066B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7D7A6F">
        <w:rPr>
          <w:rFonts w:eastAsia="Times New Roman" w:cs="Helvetica"/>
          <w:color w:val="575757"/>
          <w:sz w:val="24"/>
          <w:szCs w:val="24"/>
          <w:lang w:val="bg-BG"/>
        </w:rPr>
        <w:t>да измени</w:t>
      </w:r>
      <w:r w:rsidRPr="007D7A6F">
        <w:rPr>
          <w:rFonts w:eastAsia="Times New Roman" w:cs="Helvetica"/>
          <w:color w:val="575757"/>
          <w:sz w:val="24"/>
          <w:szCs w:val="24"/>
        </w:rPr>
        <w:t xml:space="preserve"> МСФО 17</w:t>
      </w:r>
      <w:r w:rsidRPr="007D7A6F">
        <w:rPr>
          <w:rFonts w:eastAsia="Times New Roman" w:cs="Helvetica"/>
          <w:color w:val="575757"/>
          <w:sz w:val="24"/>
          <w:szCs w:val="24"/>
          <w:lang w:val="bg-BG"/>
        </w:rPr>
        <w:t xml:space="preserve">, така че </w:t>
      </w:r>
      <w:r w:rsidR="00C1471B">
        <w:rPr>
          <w:rFonts w:eastAsia="Times New Roman" w:cs="Helvetica"/>
          <w:color w:val="575757"/>
          <w:sz w:val="24"/>
          <w:szCs w:val="24"/>
          <w:lang w:val="bg-BG"/>
        </w:rPr>
        <w:t>да посочи, че периодът на услугите по възвръщаемост на инвестицията следва да бъде считан за приключващ, когато предприятието е извършило всички плащания по инвестиционните компоненти към притежателите на полиците по договора, като този период не следва да включва период на плащания към бъдещи притежатели на полици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;</w:t>
      </w:r>
    </w:p>
    <w:p w:rsidR="005066B8" w:rsidRPr="00D13A11" w:rsidRDefault="007D7A6F" w:rsidP="005066B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7D7A6F">
        <w:rPr>
          <w:rFonts w:eastAsia="Times New Roman" w:cs="Helvetica"/>
          <w:color w:val="575757"/>
          <w:sz w:val="24"/>
          <w:szCs w:val="24"/>
          <w:lang w:val="bg-BG"/>
        </w:rPr>
        <w:t>да измени</w:t>
      </w:r>
      <w:r w:rsidRPr="007D7A6F">
        <w:rPr>
          <w:rFonts w:eastAsia="Times New Roman" w:cs="Helvetica"/>
          <w:color w:val="575757"/>
          <w:sz w:val="24"/>
          <w:szCs w:val="24"/>
        </w:rPr>
        <w:t xml:space="preserve"> МСФО 17</w:t>
      </w:r>
      <w:r w:rsidRPr="007D7A6F">
        <w:rPr>
          <w:rFonts w:eastAsia="Times New Roman" w:cs="Helvetica"/>
          <w:color w:val="575757"/>
          <w:sz w:val="24"/>
          <w:szCs w:val="24"/>
          <w:lang w:val="bg-BG"/>
        </w:rPr>
        <w:t xml:space="preserve">, така че </w:t>
      </w:r>
      <w:r w:rsidR="00C1471B">
        <w:rPr>
          <w:rFonts w:eastAsia="Times New Roman" w:cs="Helvetica"/>
          <w:color w:val="575757"/>
          <w:sz w:val="24"/>
          <w:szCs w:val="24"/>
          <w:lang w:val="bg-BG"/>
        </w:rPr>
        <w:t>да изисква оценяването на относителното тегло на ползите, предоставяни от застрахователното покритие и услугите по възвръщаемост на инвестицията и модела им на предоставяне да се извършва на систематична и рационална база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;</w:t>
      </w:r>
    </w:p>
    <w:p w:rsidR="005066B8" w:rsidRPr="00D13A11" w:rsidRDefault="00C1471B" w:rsidP="005066B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потвърди, че прилагайки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D13A11">
        <w:rPr>
          <w:rFonts w:eastAsia="Times New Roman" w:cs="Helvetica"/>
          <w:color w:val="575757"/>
          <w:sz w:val="24"/>
          <w:szCs w:val="24"/>
        </w:rPr>
        <w:t>МСФО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17,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паричните потоци, отнасящи се до изпълнението на услугите по възвръщаемост на инвестицията се включват в оценката на застрахователния договор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;</w:t>
      </w:r>
    </w:p>
    <w:p w:rsidR="005066B8" w:rsidRPr="00D13A11" w:rsidRDefault="00C1471B" w:rsidP="005066B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да не променя изискванията на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D13A11">
        <w:rPr>
          <w:rFonts w:eastAsia="Times New Roman" w:cs="Helvetica"/>
          <w:color w:val="575757"/>
          <w:sz w:val="24"/>
          <w:szCs w:val="24"/>
        </w:rPr>
        <w:t>МСФО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17</w:t>
      </w:r>
      <w:r>
        <w:rPr>
          <w:rFonts w:eastAsia="Times New Roman" w:cs="Helvetica"/>
          <w:color w:val="575757"/>
          <w:sz w:val="24"/>
          <w:szCs w:val="24"/>
          <w:lang w:val="bg-BG"/>
        </w:rPr>
        <w:t>, отнасящи се до промени в паричните потоци при изпълнение</w:t>
      </w:r>
      <w:r w:rsidR="004C0EBA">
        <w:rPr>
          <w:rFonts w:eastAsia="Times New Roman" w:cs="Helvetica"/>
          <w:color w:val="575757"/>
          <w:sz w:val="24"/>
          <w:szCs w:val="24"/>
          <w:lang w:val="bg-BG"/>
        </w:rPr>
        <w:t>, които коригират маржа на договорената услуга в общия модел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; </w:t>
      </w:r>
      <w:r w:rsidR="004C0EBA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066B8" w:rsidRPr="00D13A11" w:rsidRDefault="007D7A6F" w:rsidP="005066B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7D7A6F">
        <w:rPr>
          <w:rFonts w:eastAsia="Times New Roman" w:cs="Helvetica"/>
          <w:color w:val="575757"/>
          <w:sz w:val="24"/>
          <w:szCs w:val="24"/>
          <w:lang w:val="bg-BG"/>
        </w:rPr>
        <w:t>да измени</w:t>
      </w:r>
      <w:r w:rsidRPr="007D7A6F">
        <w:rPr>
          <w:rFonts w:eastAsia="Times New Roman" w:cs="Helvetica"/>
          <w:color w:val="575757"/>
          <w:sz w:val="24"/>
          <w:szCs w:val="24"/>
        </w:rPr>
        <w:t xml:space="preserve"> МСФО 17</w:t>
      </w:r>
      <w:r w:rsidRPr="007D7A6F">
        <w:rPr>
          <w:rFonts w:eastAsia="Times New Roman" w:cs="Helvetica"/>
          <w:color w:val="575757"/>
          <w:sz w:val="24"/>
          <w:szCs w:val="24"/>
          <w:lang w:val="bg-BG"/>
        </w:rPr>
        <w:t xml:space="preserve">, така че </w:t>
      </w:r>
      <w:r w:rsidR="004C0EBA">
        <w:rPr>
          <w:rFonts w:eastAsia="Times New Roman" w:cs="Helvetica"/>
          <w:color w:val="575757"/>
          <w:sz w:val="24"/>
          <w:szCs w:val="24"/>
          <w:lang w:val="bg-BG"/>
        </w:rPr>
        <w:t>да посочи, че критерият за едногодишна допустимост по отношение на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4C0EBA">
        <w:rPr>
          <w:rFonts w:eastAsia="Times New Roman" w:cs="Helvetica"/>
          <w:color w:val="575757"/>
          <w:sz w:val="24"/>
          <w:szCs w:val="24"/>
          <w:lang w:val="bg-BG"/>
        </w:rPr>
        <w:t>подхода на разпределяне на премията следва да бъде оценяван, като се вземат под внимание застрахователното покритие и услугата по възвръщаемост на инвестицията, ако има такава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</w:p>
    <w:p w:rsidR="005066B8" w:rsidRPr="00D13A11" w:rsidRDefault="00D13A11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– несъгласие с тези решения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</w:p>
    <w:p w:rsidR="005066B8" w:rsidRPr="00D13A11" w:rsidRDefault="00D13A11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Следващи етапи</w:t>
      </w:r>
    </w:p>
    <w:p w:rsidR="005066B8" w:rsidRPr="00D13A11" w:rsidRDefault="000809FE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бъдещи свои заседания Съветът ще разгледа темите от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D13A11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2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Г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Опасения и предизвикателства при въвеждане и прилагане </w:t>
      </w:r>
      <w:r>
        <w:rPr>
          <w:rFonts w:eastAsia="Times New Roman" w:cs="Helvetica"/>
          <w:color w:val="575757"/>
          <w:sz w:val="24"/>
          <w:szCs w:val="24"/>
          <w:lang w:val="bg-BG"/>
        </w:rPr>
        <w:t>за заседанието на Съвета през октомври 2018 г., които все още не са обсъдени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След като Съветът разгледа всяка една тема поотделно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Съветът възнамерява да разгледа пакета изменения на бъдещо свое заседание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 това заседание Съветът ще прецени дали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:</w:t>
      </w:r>
    </w:p>
    <w:p w:rsidR="005066B8" w:rsidRPr="00D13A11" w:rsidRDefault="000809FE" w:rsidP="005066B8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 резултат на измененията, решени от Съвета в порядък на работна хипотеза, се изискват някакви изменения в изискванията за оповестяване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;</w:t>
      </w:r>
    </w:p>
    <w:p w:rsidR="005066B8" w:rsidRPr="00D13A11" w:rsidRDefault="000809FE" w:rsidP="005066B8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като цяло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ползите от измененията надвишават разходите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066B8" w:rsidRPr="00D13A11" w:rsidRDefault="000809FE" w:rsidP="005066B8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0809FE">
        <w:rPr>
          <w:rFonts w:eastAsia="Times New Roman" w:cs="Helvetica"/>
          <w:color w:val="575757"/>
          <w:sz w:val="24"/>
          <w:szCs w:val="24"/>
          <w:lang w:val="bg-BG"/>
        </w:rPr>
        <w:t>като цяло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измененията не пречат неправомерна на прилагането на стандарта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</w:p>
    <w:p w:rsidR="005066B8" w:rsidRPr="00D13A11" w:rsidRDefault="005066B8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D13A11">
        <w:rPr>
          <w:rFonts w:eastAsia="Times New Roman" w:cs="Helvetica"/>
          <w:color w:val="575757"/>
          <w:sz w:val="24"/>
          <w:szCs w:val="24"/>
        </w:rPr>
        <w:t> </w:t>
      </w:r>
    </w:p>
    <w:p w:rsidR="005066B8" w:rsidRPr="00D13A11" w:rsidRDefault="004F58EC" w:rsidP="005066B8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2" w:name="2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Добивни дейности</w:t>
      </w:r>
      <w:r w:rsidR="005066B8" w:rsidRPr="00D13A11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устно представена актуална информация</w:t>
      </w:r>
      <w:r w:rsidR="005066B8" w:rsidRPr="00D13A11">
        <w:rPr>
          <w:rFonts w:eastAsia="Times New Roman" w:cs="Helvetica"/>
          <w:b/>
          <w:bCs/>
          <w:color w:val="CD3333"/>
          <w:sz w:val="34"/>
          <w:szCs w:val="34"/>
        </w:rPr>
        <w:t>)</w:t>
      </w:r>
      <w:bookmarkEnd w:id="2"/>
    </w:p>
    <w:p w:rsidR="005066B8" w:rsidRPr="00D13A11" w:rsidRDefault="004F58EC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23 януари 2019 г. Съветът проведе заседание, за да бъде запознат с устна актуална информация</w:t>
      </w:r>
      <w:r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 екипа относно напредъка във връзка с проекта, посветен на добивните дейности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. </w:t>
      </w:r>
      <w:r w:rsidR="005D4E86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</w:p>
    <w:p w:rsidR="005066B8" w:rsidRPr="00D13A11" w:rsidRDefault="005066B8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D13A11">
        <w:rPr>
          <w:rFonts w:eastAsia="Times New Roman" w:cs="Helvetica"/>
          <w:color w:val="575757"/>
          <w:sz w:val="24"/>
          <w:szCs w:val="24"/>
        </w:rPr>
        <w:t> </w:t>
      </w:r>
    </w:p>
    <w:p w:rsidR="005066B8" w:rsidRPr="00D13A11" w:rsidRDefault="004F58EC" w:rsidP="005066B8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3" w:name="3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Дейности с регулирани цени</w:t>
      </w:r>
      <w:r w:rsidR="005066B8" w:rsidRPr="00D13A11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устно представена актуална информация</w:t>
      </w:r>
      <w:r w:rsidR="005066B8" w:rsidRPr="00D13A11">
        <w:rPr>
          <w:rFonts w:eastAsia="Times New Roman" w:cs="Helvetica"/>
          <w:b/>
          <w:bCs/>
          <w:color w:val="CD3333"/>
          <w:sz w:val="34"/>
          <w:szCs w:val="34"/>
        </w:rPr>
        <w:t>)</w:t>
      </w:r>
      <w:bookmarkEnd w:id="3"/>
    </w:p>
    <w:p w:rsidR="005066B8" w:rsidRPr="00D13A11" w:rsidRDefault="004F58EC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бе запознат с устна актуална информация</w:t>
      </w:r>
      <w:r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 екипа относно напредъка във връзка с проекта, посветен на</w:t>
      </w:r>
      <w:r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дейностите с регулирани цени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D4E86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</w:p>
    <w:p w:rsidR="005066B8" w:rsidRPr="00D13A11" w:rsidRDefault="00D13A11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5066B8" w:rsidRDefault="004F58EC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Екипът преразгледа плана за бъдещи обсъждания със Съвета и сега има за цел да представи обобщение, описващо модела, на заседанието на Съвета, което ще се проведе през март 2019 г.</w:t>
      </w:r>
    </w:p>
    <w:p w:rsidR="004F58EC" w:rsidRPr="00D13A11" w:rsidRDefault="004F58EC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</w:p>
    <w:p w:rsidR="005066B8" w:rsidRPr="00D13A11" w:rsidRDefault="005D4E86" w:rsidP="005066B8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4" w:name="4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Въвеждане и прилагане</w:t>
      </w:r>
      <w:r w:rsidR="005066B8" w:rsidRPr="00D13A11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D13A11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5066B8" w:rsidRPr="00D13A11">
        <w:rPr>
          <w:rFonts w:eastAsia="Times New Roman" w:cs="Helvetica"/>
          <w:b/>
          <w:bCs/>
          <w:color w:val="CD3333"/>
          <w:sz w:val="34"/>
          <w:szCs w:val="34"/>
        </w:rPr>
        <w:t xml:space="preserve"> 12)</w:t>
      </w:r>
      <w:bookmarkEnd w:id="4"/>
    </w:p>
    <w:p w:rsidR="005066B8" w:rsidRPr="00D13A11" w:rsidRDefault="005D4E86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23 януари 2019 г. Съветът проведе заседание, за да обсъди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проекти, свързани с въвеждането, прилагането и поддържането на стандартите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</w:p>
    <w:p w:rsidR="005066B8" w:rsidRPr="00D13A11" w:rsidRDefault="005D4E86" w:rsidP="005066B8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Актуална информация от КРМСФО </w:t>
      </w:r>
      <w:r w:rsidR="005066B8" w:rsidRPr="00D13A11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D13A11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5066B8" w:rsidRPr="00D13A11">
        <w:rPr>
          <w:rFonts w:eastAsia="Times New Roman" w:cs="Helvetica"/>
          <w:b/>
          <w:bCs/>
          <w:color w:val="333333"/>
          <w:sz w:val="24"/>
          <w:szCs w:val="24"/>
        </w:rPr>
        <w:t xml:space="preserve"> 12)</w:t>
      </w:r>
    </w:p>
    <w:p w:rsidR="005066B8" w:rsidRPr="00D13A11" w:rsidRDefault="005D4E86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бе запознат с актуална информация от проведеното през ноември 2018 г. заседание на Комитета по разясненията на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D13A11">
        <w:rPr>
          <w:rFonts w:eastAsia="Times New Roman" w:cs="Helvetica"/>
          <w:color w:val="575757"/>
          <w:sz w:val="24"/>
          <w:szCs w:val="24"/>
        </w:rPr>
        <w:t>МСФО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Подробности за това заседание са публикувани в бюлетина с актуална информация на Комитета по разясненията на МСФО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</w:rPr>
        <w:t>(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IFRIC</w:t>
      </w:r>
      <w:r>
        <w:rPr>
          <w:rFonts w:eastAsia="Times New Roman" w:cs="Helvetica"/>
          <w:color w:val="575757"/>
          <w:sz w:val="24"/>
          <w:szCs w:val="24"/>
        </w:rPr>
        <w:t xml:space="preserve"> </w:t>
      </w:r>
      <w:r w:rsidR="005066B8" w:rsidRPr="00D13A11">
        <w:rPr>
          <w:rFonts w:eastAsia="Times New Roman" w:cs="Helvetica"/>
          <w:i/>
          <w:iCs/>
          <w:color w:val="575757"/>
          <w:sz w:val="24"/>
          <w:szCs w:val="24"/>
        </w:rPr>
        <w:t>Update</w:t>
      </w:r>
      <w:r>
        <w:rPr>
          <w:rFonts w:eastAsia="Times New Roman" w:cs="Helvetica"/>
          <w:i/>
          <w:iCs/>
          <w:color w:val="575757"/>
          <w:sz w:val="24"/>
          <w:szCs w:val="24"/>
        </w:rPr>
        <w:t xml:space="preserve">) 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(</w:t>
      </w:r>
      <w:r w:rsidR="00D13A11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12).</w:t>
      </w:r>
    </w:p>
    <w:p w:rsidR="005066B8" w:rsidRPr="00D13A11" w:rsidRDefault="005D4E86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</w:p>
    <w:p w:rsidR="005066B8" w:rsidRPr="00D13A11" w:rsidRDefault="000809FE" w:rsidP="005066B8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Отсрочени данъци, отнасящи се до активи и пасиви, произтичащи от</w:t>
      </w:r>
      <w:r w:rsidR="005066B8" w:rsidRPr="00D13A11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една-единствена сделка</w:t>
      </w:r>
      <w:r w:rsidR="005066B8" w:rsidRPr="00D13A11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—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предложение за изменения в</w:t>
      </w:r>
      <w:r w:rsidR="005066B8" w:rsidRPr="00D13A11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7A0B8E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МСС</w:t>
      </w:r>
      <w:r w:rsidR="005066B8" w:rsidRPr="00D13A11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12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5066B8" w:rsidRPr="00D13A11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D13A11">
        <w:rPr>
          <w:rFonts w:eastAsia="Times New Roman" w:cs="Helvetica"/>
          <w:b/>
          <w:bCs/>
          <w:color w:val="333333"/>
          <w:sz w:val="24"/>
          <w:szCs w:val="24"/>
        </w:rPr>
        <w:t>Документ</w:t>
      </w:r>
      <w:r w:rsidR="005D4E8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и</w:t>
      </w:r>
      <w:r w:rsidR="00D13A11">
        <w:rPr>
          <w:rFonts w:eastAsia="Times New Roman" w:cs="Helvetica"/>
          <w:b/>
          <w:bCs/>
          <w:color w:val="333333"/>
          <w:sz w:val="24"/>
          <w:szCs w:val="24"/>
        </w:rPr>
        <w:t xml:space="preserve"> по програмата</w:t>
      </w:r>
      <w:r w:rsidR="005066B8" w:rsidRPr="00D13A11">
        <w:rPr>
          <w:rFonts w:eastAsia="Times New Roman" w:cs="Helvetica"/>
          <w:b/>
          <w:bCs/>
          <w:color w:val="333333"/>
          <w:sz w:val="24"/>
          <w:szCs w:val="24"/>
        </w:rPr>
        <w:t xml:space="preserve"> 12A–12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5066B8" w:rsidRPr="00D13A11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5066B8" w:rsidRPr="00D13A11" w:rsidRDefault="000809FE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обсъди изискванията за преход и други конкретни аспекти на предложените изменения в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7A0B8E">
        <w:rPr>
          <w:rFonts w:eastAsia="Times New Roman" w:cs="Helvetica"/>
          <w:color w:val="575757"/>
          <w:sz w:val="24"/>
          <w:szCs w:val="24"/>
        </w:rPr>
        <w:t>МСС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12</w:t>
      </w:r>
      <w:r w:rsidR="004F58EC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F58EC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Данъци върху дохода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,</w:t>
      </w:r>
      <w:r w:rsidR="004F58EC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които членовете на Съвета повдигнаха на проведеното през октомври 2018 година заседание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Предложените изменения ще стеснят обхвата на изключението от изискванията при първоначално признаване в параграфи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15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24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7A0B8E">
        <w:rPr>
          <w:rFonts w:eastAsia="Times New Roman" w:cs="Helvetica"/>
          <w:color w:val="575757"/>
          <w:sz w:val="24"/>
          <w:szCs w:val="24"/>
        </w:rPr>
        <w:t>МСС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12. </w:t>
      </w:r>
      <w:r>
        <w:rPr>
          <w:rFonts w:eastAsia="Times New Roman" w:cs="Helvetica"/>
          <w:color w:val="575757"/>
          <w:sz w:val="24"/>
          <w:szCs w:val="24"/>
          <w:lang w:val="bg-BG"/>
        </w:rPr>
        <w:t>Изключението няма да се прилага вече в степента, в която при първоначално признаване на дадена сделка предприятието би признало еднакви суми на отсрочени данъчни активи и пасиви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</w:p>
    <w:p w:rsidR="005066B8" w:rsidRPr="00D13A11" w:rsidRDefault="005D4E86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реши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:</w:t>
      </w:r>
    </w:p>
    <w:p w:rsidR="005066B8" w:rsidRPr="00D13A11" w:rsidRDefault="000809FE" w:rsidP="005066B8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изисква предприятията да прилагат предложените изменения ретроспективно, прилагайки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7A0B8E">
        <w:rPr>
          <w:rFonts w:eastAsia="Times New Roman" w:cs="Helvetica"/>
          <w:color w:val="575757"/>
          <w:sz w:val="24"/>
          <w:szCs w:val="24"/>
        </w:rPr>
        <w:t>МСС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8 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Счетоводни политики</w:t>
      </w:r>
      <w:r w:rsidR="005066B8" w:rsidRPr="00D13A11">
        <w:rPr>
          <w:rFonts w:eastAsia="Times New Roman" w:cs="Helvetica"/>
          <w:i/>
          <w:iCs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промени в счетоводните приблизителни оценки и грешки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. </w:t>
      </w:r>
      <w:r w:rsidR="009F2014">
        <w:rPr>
          <w:rFonts w:eastAsia="Times New Roman" w:cs="Helvetica"/>
          <w:color w:val="575757"/>
          <w:sz w:val="24"/>
          <w:szCs w:val="24"/>
          <w:lang w:val="bg-BG"/>
        </w:rPr>
        <w:t>На предприятията обаче ще се разрешава да преценяват дали изискванията в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7A0B8E">
        <w:rPr>
          <w:rFonts w:eastAsia="Times New Roman" w:cs="Helvetica"/>
          <w:color w:val="575757"/>
          <w:sz w:val="24"/>
          <w:szCs w:val="24"/>
        </w:rPr>
        <w:t>МСС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12 </w:t>
      </w:r>
      <w:r w:rsidR="009F2014">
        <w:rPr>
          <w:rFonts w:eastAsia="Times New Roman" w:cs="Helvetica"/>
          <w:color w:val="575757"/>
          <w:sz w:val="24"/>
          <w:szCs w:val="24"/>
          <w:lang w:val="bg-BG"/>
        </w:rPr>
        <w:t>за признаване на отсрочени данъчни активи са изпълнени само на датата на преминаване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(</w:t>
      </w:r>
      <w:r w:rsidR="009F2014">
        <w:rPr>
          <w:rFonts w:eastAsia="Times New Roman" w:cs="Helvetica"/>
          <w:color w:val="575757"/>
          <w:sz w:val="24"/>
          <w:szCs w:val="24"/>
          <w:lang w:val="bg-BG"/>
        </w:rPr>
        <w:t>облекчение при преминаване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).</w:t>
      </w:r>
    </w:p>
    <w:p w:rsidR="005066B8" w:rsidRPr="00D13A11" w:rsidRDefault="009F2014" w:rsidP="005066B8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предостави облекчение при преминаване за предприятията, прилагащи стандартите за първи път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т.е. на тези предприятия ще бъде разрешено да преценяват дали изискванията в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7A0B8E">
        <w:rPr>
          <w:rFonts w:eastAsia="Times New Roman" w:cs="Helvetica"/>
          <w:color w:val="575757"/>
          <w:sz w:val="24"/>
          <w:szCs w:val="24"/>
        </w:rPr>
        <w:t>МСС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12 </w:t>
      </w:r>
      <w:r w:rsidRPr="009F2014">
        <w:rPr>
          <w:rFonts w:eastAsia="Times New Roman" w:cs="Helvetica"/>
          <w:color w:val="575757"/>
          <w:sz w:val="24"/>
          <w:szCs w:val="24"/>
          <w:lang w:val="bg-BG"/>
        </w:rPr>
        <w:t>за признаване на отсрочени данъчни активи са изпълнени само на датата на преминаване</w:t>
      </w:r>
      <w:r w:rsidRPr="009F2014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към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D13A11">
        <w:rPr>
          <w:rFonts w:eastAsia="Times New Roman" w:cs="Helvetica"/>
          <w:color w:val="575757"/>
          <w:sz w:val="24"/>
          <w:szCs w:val="24"/>
        </w:rPr>
        <w:t>МСФО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</w:p>
    <w:p w:rsidR="005066B8" w:rsidRPr="00D13A11" w:rsidRDefault="009F2014" w:rsidP="005066B8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да разреши по-ранното прилагане на предложените изменения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</w:p>
    <w:p w:rsidR="005066B8" w:rsidRPr="00D13A11" w:rsidRDefault="00D13A11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тези решения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</w:p>
    <w:p w:rsidR="005066B8" w:rsidRPr="00D13A11" w:rsidRDefault="004F58EC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обсъди също така и стъпките от регламентираната процедура във връзка с предстоящия проект за обсъждане на предложените изменения в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7A0B8E">
        <w:rPr>
          <w:rFonts w:eastAsia="Times New Roman" w:cs="Helvetica"/>
          <w:color w:val="575757"/>
          <w:sz w:val="24"/>
          <w:szCs w:val="24"/>
        </w:rPr>
        <w:t>МСС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12.</w:t>
      </w:r>
    </w:p>
    <w:p w:rsidR="005066B8" w:rsidRPr="00D13A11" w:rsidRDefault="005D4E86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хипотеза,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4F58EC">
        <w:rPr>
          <w:rFonts w:eastAsia="Times New Roman" w:cs="Helvetica"/>
          <w:color w:val="575757"/>
          <w:sz w:val="24"/>
          <w:szCs w:val="24"/>
          <w:lang w:val="bg-BG"/>
        </w:rPr>
        <w:t>че периодът за предоставяне на коментари по предложените изменения в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 w:rsidR="007A0B8E">
        <w:rPr>
          <w:rFonts w:eastAsia="Times New Roman" w:cs="Helvetica"/>
          <w:color w:val="575757"/>
          <w:sz w:val="24"/>
          <w:szCs w:val="24"/>
        </w:rPr>
        <w:t>МСС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 12 </w:t>
      </w:r>
      <w:r w:rsidR="004F58EC">
        <w:rPr>
          <w:rFonts w:eastAsia="Times New Roman" w:cs="Helvetica"/>
          <w:color w:val="575757"/>
          <w:sz w:val="24"/>
          <w:szCs w:val="24"/>
          <w:lang w:val="bg-BG"/>
        </w:rPr>
        <w:t>следва да бъде като минимум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120 </w:t>
      </w:r>
      <w:r w:rsidR="004F58EC">
        <w:rPr>
          <w:rFonts w:eastAsia="Times New Roman" w:cs="Helvetica"/>
          <w:color w:val="575757"/>
          <w:sz w:val="24"/>
          <w:szCs w:val="24"/>
          <w:lang w:val="bg-BG"/>
        </w:rPr>
        <w:t>дни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. </w:t>
      </w:r>
      <w:r w:rsidR="00D13A11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</w:p>
    <w:p w:rsidR="005066B8" w:rsidRPr="00D13A11" w:rsidRDefault="007A0B8E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потвърдиха, че са се уверили, че Съветът е изпълнил приложимите изисквания на регламентираната процедура и че е осъществил в достатъчна степен консултации и анализи, за да пристъпи към гласуване на предложените изменения на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</w:rPr>
        <w:t>МСС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12.</w:t>
      </w:r>
    </w:p>
    <w:p w:rsidR="005066B8" w:rsidRPr="00D13A11" w:rsidRDefault="007A0B8E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Нито един от членовете на Съвета не даде индикации, че възнамерява да изрази несъгласие с предложените изменения на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</w:rPr>
        <w:t>МСС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 12.</w:t>
      </w:r>
    </w:p>
    <w:p w:rsidR="005066B8" w:rsidRPr="00D13A11" w:rsidRDefault="00D13A11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5066B8" w:rsidRPr="00D13A11" w:rsidRDefault="007A0B8E" w:rsidP="005066B8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планира да издаде проект за обсъждане през второто тримесечие на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 xml:space="preserve"> 2019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5066B8" w:rsidRPr="00D13A11">
        <w:rPr>
          <w:rFonts w:eastAsia="Times New Roman" w:cs="Helvetica"/>
          <w:color w:val="575757"/>
          <w:sz w:val="24"/>
          <w:szCs w:val="24"/>
        </w:rPr>
        <w:t>.</w:t>
      </w:r>
    </w:p>
    <w:p w:rsidR="00CF3FB3" w:rsidRPr="00D13A11" w:rsidRDefault="00CF3FB3"/>
    <w:sectPr w:rsidR="00CF3FB3" w:rsidRPr="00D13A11" w:rsidSect="00A16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30CFB"/>
    <w:multiLevelType w:val="multilevel"/>
    <w:tmpl w:val="1756A2D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D5B24"/>
    <w:multiLevelType w:val="multilevel"/>
    <w:tmpl w:val="4160925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76796"/>
    <w:multiLevelType w:val="multilevel"/>
    <w:tmpl w:val="E944623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83DA1"/>
    <w:multiLevelType w:val="multilevel"/>
    <w:tmpl w:val="2926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F6FB4"/>
    <w:multiLevelType w:val="multilevel"/>
    <w:tmpl w:val="3952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35B49"/>
    <w:multiLevelType w:val="multilevel"/>
    <w:tmpl w:val="D6529B1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A3A35"/>
    <w:multiLevelType w:val="multilevel"/>
    <w:tmpl w:val="409E6C5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224F6"/>
    <w:multiLevelType w:val="multilevel"/>
    <w:tmpl w:val="02B2E2D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66B8"/>
    <w:rsid w:val="000809FE"/>
    <w:rsid w:val="000C2DA1"/>
    <w:rsid w:val="003F3423"/>
    <w:rsid w:val="004C0EBA"/>
    <w:rsid w:val="004F58EC"/>
    <w:rsid w:val="005066B8"/>
    <w:rsid w:val="0056048E"/>
    <w:rsid w:val="005D4E86"/>
    <w:rsid w:val="00686477"/>
    <w:rsid w:val="006F7301"/>
    <w:rsid w:val="00745A37"/>
    <w:rsid w:val="007A0B8E"/>
    <w:rsid w:val="007D7A6F"/>
    <w:rsid w:val="009F2014"/>
    <w:rsid w:val="00A166B8"/>
    <w:rsid w:val="00B32742"/>
    <w:rsid w:val="00BD607E"/>
    <w:rsid w:val="00C1471B"/>
    <w:rsid w:val="00CF3FB3"/>
    <w:rsid w:val="00D13A11"/>
    <w:rsid w:val="00E240FA"/>
    <w:rsid w:val="00F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EBF6D7-6F8D-4BB4-9209-DBBF69E1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6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6020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6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4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january-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january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january-2019/" TargetMode="External"/><Relationship Id="rId5" Type="http://schemas.openxmlformats.org/officeDocument/2006/relationships/hyperlink" Target="https://www.ifrs.org/news-and-events/updates/iasb-updates/january-20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1648</Words>
  <Characters>9496</Characters>
  <Application>Microsoft Office Word</Application>
  <DocSecurity>0</DocSecurity>
  <Lines>186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VS</cp:lastModifiedBy>
  <cp:revision>6</cp:revision>
  <dcterms:created xsi:type="dcterms:W3CDTF">2019-02-01T10:39:00Z</dcterms:created>
  <dcterms:modified xsi:type="dcterms:W3CDTF">2019-02-01T15:14:00Z</dcterms:modified>
</cp:coreProperties>
</file>