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C0" w:rsidRPr="00CF0082" w:rsidRDefault="002021C0" w:rsidP="002021C0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CF0082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IASB Update October 2018</w:t>
      </w:r>
    </w:p>
    <w:p w:rsidR="002021C0" w:rsidRPr="00CF0082" w:rsidRDefault="00CF0082" w:rsidP="002021C0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CF008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октомври 2018 г.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2021C0" w:rsidRPr="000655F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</w:t>
      </w:r>
      <w:proofErr w:type="gramStart"/>
      <w:r w:rsidRPr="00CF0082">
        <w:rPr>
          <w:rFonts w:eastAsia="Times New Roman" w:cs="Helvetica"/>
          <w:color w:val="575757"/>
          <w:sz w:val="24"/>
          <w:szCs w:val="24"/>
          <w:lang w:val="bg-BG"/>
        </w:rPr>
        <w:t>относно :МСФО</w:t>
      </w:r>
      <w:proofErr w:type="gramEnd"/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стандарти (</w:t>
      </w:r>
      <w:r>
        <w:rPr>
          <w:rFonts w:eastAsia="Times New Roman" w:cs="Helvetica"/>
          <w:color w:val="575757"/>
          <w:sz w:val="24"/>
          <w:szCs w:val="24"/>
        </w:rPr>
        <w:t>IFRS</w:t>
      </w:r>
      <w:r w:rsidRPr="00CF0082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CF0082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CF0082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</w:t>
      </w:r>
      <w:r>
        <w:rPr>
          <w:rFonts w:eastAsia="Times New Roman" w:cs="Helvetica"/>
          <w:color w:val="575757"/>
          <w:sz w:val="24"/>
          <w:szCs w:val="24"/>
        </w:rPr>
        <w:t>IFRS</w:t>
      </w:r>
      <w:r w:rsidRPr="00CF0082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</w:t>
      </w:r>
      <w:r>
        <w:rPr>
          <w:rFonts w:eastAsia="Times New Roman" w:cs="Helvetica"/>
          <w:color w:val="575757"/>
          <w:sz w:val="24"/>
          <w:szCs w:val="24"/>
        </w:rPr>
        <w:t>IFRS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Interpretation Committee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 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br/>
      </w:r>
      <w:r w:rsidR="002021C0" w:rsidRPr="00CF0082">
        <w:rPr>
          <w:rFonts w:eastAsia="Times New Roman" w:cs="Helvetica"/>
          <w:color w:val="575757"/>
          <w:sz w:val="24"/>
          <w:szCs w:val="24"/>
        </w:rPr>
        <w:br/>
      </w:r>
      <w:r w:rsidRPr="000655F2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заседания на 24 октомври 2018 г., сряда, и 25 октомври 2018 г., четвъртък, в офисите на Фондация МСФО в Лондон</w:t>
      </w:r>
      <w:r w:rsidR="002021C0" w:rsidRPr="000655F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0655F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655F2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2021C0" w:rsidRPr="000655F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5" w:anchor="1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Инициатива за </w:t>
        </w:r>
        <w:proofErr w:type="gramStart"/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оповестяване:</w:t>
        </w:r>
        <w:r w:rsidR="002021C0" w:rsidRPr="00CF0082">
          <w:rPr>
            <w:rFonts w:eastAsia="Times New Roman" w:cs="Helvetica"/>
            <w:color w:val="CD3333"/>
            <w:sz w:val="24"/>
            <w:szCs w:val="24"/>
            <w:u w:val="single"/>
          </w:rPr>
          <w:t> </w:t>
        </w:r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</w:t>
        </w:r>
        <w:proofErr w:type="gramEnd"/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политики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Репутация и обезценка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Прилагане</w:t>
        </w:r>
        <w:r w:rsidR="002021C0" w:rsidRPr="00CF0082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: </w:t>
        </w:r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отсрочени данъци</w:t>
        </w:r>
        <w:r w:rsidR="002021C0" w:rsidRPr="00CF0082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данъчна основа на активи и пасиви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4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Застрахователни договори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9" w:anchor="5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0" w:anchor="6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1" w:anchor="7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Актуализиране на предговора към МСФО стандартите</w:t>
        </w:r>
      </w:hyperlink>
    </w:p>
    <w:p w:rsidR="002021C0" w:rsidRPr="00CF0082" w:rsidRDefault="000F5871" w:rsidP="002021C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2" w:anchor="8" w:history="1">
        <w:r w:rsidR="006E15E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2021C0" w:rsidRPr="00CF0082" w:rsidRDefault="00CF0082" w:rsidP="002021C0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CF008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2021C0" w:rsidRPr="00CF0082" w:rsidRDefault="00CF0082" w:rsidP="002021C0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2021C0" w:rsidP="002021C0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 xml:space="preserve">12–16 </w:t>
      </w:r>
      <w:r w:rsidR="00CF0082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2018</w:t>
      </w:r>
      <w:r w:rsid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21C0" w:rsidRPr="00CF0082" w:rsidRDefault="002021C0" w:rsidP="002021C0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 xml:space="preserve">10–14 </w:t>
      </w:r>
      <w:r w:rsidR="00CF0082">
        <w:rPr>
          <w:rFonts w:eastAsia="Times New Roman" w:cs="Helvetica"/>
          <w:color w:val="575757"/>
          <w:sz w:val="24"/>
          <w:szCs w:val="24"/>
          <w:lang w:val="bg-BG"/>
        </w:rPr>
        <w:t>декември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2018</w:t>
      </w:r>
      <w:r w:rsid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21C0" w:rsidRPr="00CF0082" w:rsidRDefault="002021C0" w:rsidP="002021C0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lastRenderedPageBreak/>
        <w:t xml:space="preserve">22–23 </w:t>
      </w:r>
      <w:r w:rsidR="00CF0082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11)</w:t>
      </w:r>
      <w:bookmarkEnd w:id="0"/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>
        <w:rPr>
          <w:rFonts w:eastAsia="Times New Roman" w:cs="Helvetica"/>
          <w:color w:val="575757"/>
          <w:sz w:val="24"/>
          <w:szCs w:val="24"/>
        </w:rPr>
        <w:t>24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2018 г. Съветът проведе заседание, за да обсъди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6E15E4" w:rsidP="002021C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напредъка във връзка с Целевия</w:t>
      </w:r>
      <w:r w:rsidR="00A04765">
        <w:rPr>
          <w:rFonts w:eastAsia="Times New Roman" w:cs="Helvetica"/>
          <w:color w:val="575757"/>
          <w:sz w:val="24"/>
          <w:szCs w:val="24"/>
          <w:lang w:val="bg-BG"/>
        </w:rPr>
        <w:t xml:space="preserve"> преглед на оповестяванията на ниво стандарти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21C0" w:rsidRPr="00CF0082" w:rsidRDefault="006E15E4" w:rsidP="002021C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насоките и примерите, предвидени да помогнат да предприятията да прилагат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процеса от четири стъпки във връзка с нивото на същественост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Изложение за практика по 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>—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Извършване на преценки относно нивото на същественост 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Изложението за практика, посветено на нивото на същественост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когато решават кои счетоводни политики за оповестят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E86B18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Пояснителна информация</w:t>
      </w:r>
      <w:r w:rsidR="006E15E4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11)</w:t>
      </w:r>
    </w:p>
    <w:p w:rsidR="002021C0" w:rsidRPr="00CF0082" w:rsidRDefault="006E15E4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бе запознат с подготвена от екипа устна актуална информация относно напредъка във връзка с Целевия </w:t>
      </w:r>
      <w:r w:rsidR="00A04765">
        <w:rPr>
          <w:rFonts w:eastAsia="Times New Roman" w:cs="Helvetica"/>
          <w:color w:val="575757"/>
          <w:sz w:val="24"/>
          <w:szCs w:val="24"/>
          <w:lang w:val="bg-BG"/>
        </w:rPr>
        <w:t>преглед на оповестяванията на ниво стандарти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8E558A" w:rsidRPr="008E558A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6E15E4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Насоки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11A)</w:t>
      </w:r>
    </w:p>
    <w:p w:rsidR="002021C0" w:rsidRPr="00CF0082" w:rsidRDefault="003A2D51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6B18">
        <w:rPr>
          <w:rFonts w:eastAsia="Times New Roman" w:cs="Helvetica"/>
          <w:color w:val="575757"/>
          <w:sz w:val="24"/>
          <w:szCs w:val="24"/>
          <w:lang w:val="bg-BG"/>
        </w:rPr>
        <w:t>да поясни, че не всички счетоводни политики, отнасящи се до съществени сделки и операции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, </w:t>
      </w:r>
      <w:r w:rsidR="00E86B18">
        <w:rPr>
          <w:rFonts w:eastAsia="Times New Roman" w:cs="Helvetica"/>
          <w:color w:val="575757"/>
          <w:sz w:val="24"/>
          <w:szCs w:val="24"/>
          <w:lang w:val="bg-BG"/>
        </w:rPr>
        <w:t>други събития или условия са сами по себе си съществени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A2D51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A2D51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E86B18">
        <w:rPr>
          <w:rFonts w:eastAsia="Times New Roman" w:cs="Helvetica"/>
          <w:color w:val="575757"/>
          <w:sz w:val="24"/>
          <w:szCs w:val="24"/>
          <w:lang w:val="bg-BG"/>
        </w:rPr>
        <w:t xml:space="preserve">продължи да разработва насоки и примери, които да помогнат да предприятията да вземат решение дали счетоводните политики, които те прилагат по отношение на </w:t>
      </w:r>
      <w:r w:rsidR="00E86B18" w:rsidRPr="00E86B18">
        <w:rPr>
          <w:rFonts w:eastAsia="Times New Roman" w:cs="Helvetica"/>
          <w:color w:val="575757"/>
          <w:sz w:val="24"/>
          <w:szCs w:val="24"/>
          <w:lang w:val="bg-BG"/>
        </w:rPr>
        <w:t>съществени сделки и операции</w:t>
      </w:r>
      <w:r w:rsidR="00E86B18" w:rsidRPr="00E86B18">
        <w:rPr>
          <w:rFonts w:eastAsia="Times New Roman" w:cs="Helvetica"/>
          <w:color w:val="575757"/>
          <w:sz w:val="24"/>
          <w:szCs w:val="24"/>
        </w:rPr>
        <w:t xml:space="preserve">, </w:t>
      </w:r>
      <w:r w:rsidR="00E86B18" w:rsidRPr="00E86B18">
        <w:rPr>
          <w:rFonts w:eastAsia="Times New Roman" w:cs="Helvetica"/>
          <w:color w:val="575757"/>
          <w:sz w:val="24"/>
          <w:szCs w:val="24"/>
          <w:lang w:val="bg-BG"/>
        </w:rPr>
        <w:t>други събития или условия</w:t>
      </w:r>
      <w:r w:rsidR="00E86B18">
        <w:rPr>
          <w:rFonts w:eastAsia="Times New Roman" w:cs="Helvetica"/>
          <w:color w:val="575757"/>
          <w:sz w:val="24"/>
          <w:szCs w:val="24"/>
          <w:lang w:val="bg-BG"/>
        </w:rPr>
        <w:t>, са сами по себе си съществени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A2D51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Дванадесет</w:t>
      </w:r>
      <w:r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съгласие, 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двама</w:t>
      </w:r>
      <w:r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2021C0" w:rsidRPr="00CF0082" w:rsidRDefault="00E86B18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поиска от екипа да извърши допълнителен анализ, като очаква да продължи с обсъжданията си относно оповестяванията на счетоводни политики на бъдещо свое заседание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Репутация и обезценка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18)</w:t>
      </w:r>
      <w:bookmarkEnd w:id="1"/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>
        <w:rPr>
          <w:rFonts w:eastAsia="Times New Roman" w:cs="Helvetica"/>
          <w:color w:val="575757"/>
          <w:sz w:val="24"/>
          <w:szCs w:val="24"/>
        </w:rPr>
        <w:t>2</w:t>
      </w:r>
      <w:r>
        <w:rPr>
          <w:rFonts w:eastAsia="Times New Roman" w:cs="Helvetica"/>
          <w:color w:val="575757"/>
          <w:sz w:val="24"/>
          <w:szCs w:val="24"/>
          <w:lang w:val="bg-BG"/>
        </w:rPr>
        <w:t>5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2018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продължи с обсъжданията си във връзка с изследователския проект, посветен на репутация</w:t>
      </w:r>
      <w:r w:rsidR="000655F2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 обезценка</w:t>
      </w:r>
      <w:r w:rsidR="000655F2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37978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Допълнителна работа, която трябва да бъде извършена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18A)</w:t>
      </w:r>
    </w:p>
    <w:p w:rsidR="002021C0" w:rsidRPr="00CF0082" w:rsidRDefault="00337978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допълнителната работа, която трябва да бъде извършена във връзка с изследователския проект, преди да бъде съставен в чернова </w:t>
      </w:r>
      <w:r w:rsidR="000655F2">
        <w:rPr>
          <w:rFonts w:eastAsia="Times New Roman" w:cs="Helvetica"/>
          <w:color w:val="575757"/>
          <w:sz w:val="24"/>
          <w:szCs w:val="24"/>
          <w:lang w:val="bg-BG"/>
        </w:rPr>
        <w:t>Д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окумент за обсъждане, както и сроковете за изпълнение на тази работа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A04765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не взе никакви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37978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Идентифициране на по-добри оповестявания относно бизнес комбинации, репутация и обезценка</w:t>
      </w:r>
      <w:r w:rsidR="002021C0" w:rsidRPr="00CF0082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2021C0" w:rsidRPr="00CF0082" w:rsidRDefault="00337978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 време на заседанието си през юли 2018 г., Съветът постави три цели във връзка с изследователския проект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Една от целите е да бъдат проучени начините за подобряване на изискванията за оповестяване, така че да се даде възможност на инвеститорите да оценят дали дадена бизнес комбинация е била добро инвестиционно решение и дали след придобиването придобития бизнес се представя според очакванията към момента на придобиването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хипотеза, че </w:t>
      </w:r>
      <w:r w:rsidR="00337978">
        <w:rPr>
          <w:rFonts w:eastAsia="Times New Roman" w:cs="Helvetica"/>
          <w:color w:val="575757"/>
          <w:sz w:val="24"/>
          <w:szCs w:val="24"/>
          <w:lang w:val="bg-BG"/>
        </w:rPr>
        <w:t>екипът не следва да извършва пълен преглед на всички изисквания за оповестяване в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3 </w:t>
      </w:r>
      <w:r w:rsidR="00A047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 </w:t>
      </w:r>
      <w:r w:rsidR="00337978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A0476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36</w:t>
      </w:r>
      <w:r w:rsidR="00A047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047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Обезценка на активи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A2D51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A2D51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отсъстваше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37978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Кратък обзор на документа за обсъждане</w:t>
      </w:r>
      <w:r w:rsidR="002021C0" w:rsidRPr="00CF0082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 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2021C0" w:rsidRPr="00CF0082" w:rsidRDefault="00337978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направи преглед на проект на кратък обзор на Документа за обсъждане, като членовете на Съвета предоставиха коментари, които екипът да вземе под внимание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A04765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2021C0" w:rsidRPr="00CF0082" w:rsidRDefault="00337978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Обратна информация ще бъде получена от консултативните групи на Съвета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през ноември и декември, като на бъдещо заседание екипът ще докладва пред Съвета тази информация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lastRenderedPageBreak/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Прилагане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12)</w:t>
      </w:r>
      <w:bookmarkEnd w:id="2"/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 w:rsidRPr="00CF0082">
        <w:rPr>
          <w:rFonts w:eastAsia="Times New Roman" w:cs="Helvetica"/>
          <w:color w:val="575757"/>
          <w:sz w:val="24"/>
          <w:szCs w:val="24"/>
        </w:rPr>
        <w:t>24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октомври 2018 г. Съветът проведе заседание, за да обсъди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184D8C">
        <w:rPr>
          <w:rFonts w:eastAsia="Times New Roman" w:cs="Helvetica"/>
          <w:color w:val="575757"/>
          <w:sz w:val="24"/>
          <w:szCs w:val="24"/>
          <w:lang w:val="bg-BG"/>
        </w:rPr>
        <w:t>проекти, свързани с прилагането и поддържането на стандартите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184D8C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Актуална информация от КРМСФО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12A)</w:t>
      </w:r>
    </w:p>
    <w:p w:rsidR="002021C0" w:rsidRPr="00CF0082" w:rsidRDefault="00184D8C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бе запознат с актуална информация от проведеното през септември 2018 г. заседание на Комитета по разяснението на МСФО 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„Комитетът“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).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Подробности за това заседание са публикувани в Бюлетина с актуална информация от КРМСФО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„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IFRIC 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>Update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“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 (</w:t>
      </w:r>
      <w:r w:rsidR="00CF0082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12A).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184D8C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Отсрочени данъци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: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данъчна основа на активи и пасиви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МСС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12 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Данъци върху дохода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)—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 и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</w:p>
    <w:p w:rsidR="002021C0" w:rsidRPr="00CF0082" w:rsidRDefault="00184D8C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препоръките на Комитета да предложи изменение с тесен обхват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A0476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12 </w:t>
      </w:r>
      <w:r w:rsidR="00A047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Данъци върху дохода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Предложението за изменение се отнася до признаването на отсрочени данъци, когато предприятието отчита счетоводно сделки и операции, като например лизингови договори или задължения за извеждане от експлоатация, като признава както актив, така и пасив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184D8C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Предложеното изменение с тесен обхват би стеснило първоначалното освобождаване от изискванията за признаване в параграфи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15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24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МСС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12</w:t>
      </w:r>
      <w:r>
        <w:rPr>
          <w:rFonts w:eastAsia="Times New Roman" w:cs="Helvetica"/>
          <w:color w:val="575757"/>
          <w:sz w:val="24"/>
          <w:szCs w:val="24"/>
          <w:lang w:val="bg-BG"/>
        </w:rPr>
        <w:t>, така че то не би било приложимо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 сделки и операции, които пораждат както данъчно облагаеми, така и подлежащи на приспадане, временни разлики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 степента, в която сумите, признати по отношение на временните разлики, са еднакви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A04765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A04765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препоръката на Комитета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2021C0" w:rsidRPr="00CF0082" w:rsidRDefault="00184D8C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преходните разпоредби и стъпките от регламентираната процедура.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Застрахователни договори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2)</w:t>
      </w:r>
      <w:bookmarkEnd w:id="3"/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</w:t>
      </w:r>
      <w:r>
        <w:rPr>
          <w:rFonts w:eastAsia="Times New Roman" w:cs="Helvetica"/>
          <w:color w:val="575757"/>
          <w:sz w:val="24"/>
          <w:szCs w:val="24"/>
        </w:rPr>
        <w:t>24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2018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бъде запознат с актуална информация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184D8C">
        <w:rPr>
          <w:rFonts w:eastAsia="Times New Roman" w:cs="Helvetica"/>
          <w:color w:val="575757"/>
          <w:sz w:val="24"/>
          <w:szCs w:val="24"/>
          <w:lang w:val="bg-BG"/>
        </w:rPr>
        <w:t>относно работата във връзка с подкрепата за въвеждането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17 </w:t>
      </w:r>
      <w:r w:rsidR="00A047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</w:t>
      </w:r>
      <w:proofErr w:type="gramStart"/>
      <w:r w:rsidR="00A047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договори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>, </w:t>
      </w:r>
      <w:r w:rsidR="00184D8C">
        <w:rPr>
          <w:rFonts w:eastAsia="Times New Roman" w:cs="Helvetica"/>
          <w:color w:val="575757"/>
          <w:sz w:val="24"/>
          <w:szCs w:val="24"/>
          <w:lang w:val="bg-BG"/>
        </w:rPr>
        <w:t>включително</w:t>
      </w:r>
      <w:proofErr w:type="gramEnd"/>
      <w:r w:rsidR="00184D8C">
        <w:rPr>
          <w:rFonts w:eastAsia="Times New Roman" w:cs="Helvetica"/>
          <w:color w:val="575757"/>
          <w:sz w:val="24"/>
          <w:szCs w:val="24"/>
          <w:lang w:val="bg-BG"/>
        </w:rPr>
        <w:t xml:space="preserve"> заседанието на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 xml:space="preserve"> Целевата група по въпросите на прехода към МСФО 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17 </w:t>
      </w:r>
      <w:r w:rsidR="00896430" w:rsidRPr="0089643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89643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="00896430" w:rsidRPr="00896430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>проведено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26–27 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>септември 2018 г.,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>както и</w:t>
      </w:r>
      <w:r w:rsidR="000655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 xml:space="preserve">да разгледа критериите за оценяване на евентуални изменения в </w:t>
      </w:r>
      <w:r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 17.</w:t>
      </w:r>
    </w:p>
    <w:p w:rsidR="002021C0" w:rsidRPr="00CF0082" w:rsidRDefault="00896430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Обобщена информация относно заседанието на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Pr="0089643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Целевата група по въпросите на прехода към МСФО </w:t>
      </w:r>
      <w:r w:rsidRPr="00896430">
        <w:rPr>
          <w:rFonts w:eastAsia="Times New Roman" w:cs="Helvetica"/>
          <w:b/>
          <w:bCs/>
          <w:color w:val="333333"/>
          <w:sz w:val="24"/>
          <w:szCs w:val="24"/>
        </w:rPr>
        <w:t>17 </w:t>
      </w:r>
      <w:r w:rsidRPr="00896430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Застрахователни договори,</w:t>
      </w:r>
      <w:r w:rsidRPr="00896430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89643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проведено на</w:t>
      </w:r>
      <w:r w:rsidRPr="00896430">
        <w:rPr>
          <w:rFonts w:eastAsia="Times New Roman" w:cs="Helvetica"/>
          <w:b/>
          <w:bCs/>
          <w:color w:val="333333"/>
          <w:sz w:val="24"/>
          <w:szCs w:val="24"/>
        </w:rPr>
        <w:t xml:space="preserve"> 26–27 </w:t>
      </w:r>
      <w:r w:rsidRPr="0089643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септември 2018 г.</w:t>
      </w:r>
      <w:r w:rsidRPr="00896430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2A)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 хронологията на подадените становища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2021C0" w:rsidRPr="00CF0082" w:rsidRDefault="0089643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относно третото заседание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Pr="00896430">
        <w:rPr>
          <w:rFonts w:eastAsia="Times New Roman" w:cs="Helvetica"/>
          <w:color w:val="575757"/>
          <w:sz w:val="24"/>
          <w:szCs w:val="24"/>
          <w:lang w:val="bg-BG"/>
        </w:rPr>
        <w:t>Целевата група по въпросите на прехода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проведено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26–27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2018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A04765" w:rsidRPr="008E558A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96430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К</w:t>
      </w:r>
      <w:r w:rsidRPr="0089643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ритерии за оценяване на евентуални изменения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в 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МСФО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 17 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2021C0" w:rsidRPr="00CF0082" w:rsidRDefault="0089643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отбеляза, че на бъдещо свое заседание ще разгледа въпроса дали някои от опасенията и предизвикателствата във връзка с въвеждането и прилагането на стандарта, обсъдени от Целевата група по въпросите на прехода и други заинтересовани страни, включително тези, отнасящи се до разходите и ползите от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17,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сочат за потребност изискванията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бъдат изменени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>когато предлага каквито и да е изменения в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17, </w:t>
      </w:r>
      <w:r w:rsidR="00896430">
        <w:rPr>
          <w:rFonts w:eastAsia="Times New Roman" w:cs="Helvetica"/>
          <w:color w:val="575757"/>
          <w:sz w:val="24"/>
          <w:szCs w:val="24"/>
          <w:lang w:val="bg-BG"/>
        </w:rPr>
        <w:t>в допълнение към доказване необходимостта от съответното изменение, екипът трябва да покаже</w:t>
      </w:r>
      <w:r w:rsidR="00B415AA">
        <w:rPr>
          <w:rFonts w:eastAsia="Times New Roman" w:cs="Helvetica"/>
          <w:color w:val="575757"/>
          <w:sz w:val="24"/>
          <w:szCs w:val="24"/>
          <w:lang w:val="bg-BG"/>
        </w:rPr>
        <w:t>, че предложението отговаря на следните критерии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B415AA" w:rsidP="002021C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измененията няма да доведат до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съществена загуба на полезна информация, която иначе би била предоставена от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потребителите на финансовите отчети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измененията ще избегнат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B415AA" w:rsidP="002021C0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снижаване на уместността и достоверното представяне на информацията във финансовите отчети на предприятията, прилагащи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17;</w:t>
      </w:r>
    </w:p>
    <w:p w:rsidR="002021C0" w:rsidRPr="00CF0082" w:rsidRDefault="00B415AA" w:rsidP="002021C0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предизвикване на намалена съпоставимост или въвеждането на вътрешна непоследователност в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включително в рамките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17;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2021C0" w:rsidRPr="00CF0082" w:rsidRDefault="00B415AA" w:rsidP="002021C0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повишаване сложността за потребителите на финансовите отчети и така, намаляване на тяхната разбираемост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B415AA" w:rsidP="002021C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измененията няма да разстроят неправомерно въвеждането и прилагането, които вече са в ход, нито ще рискуват неправомерно отлагане на датата на влизане в сила на този стандарт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който е необходим, за да бъдат адресирани множеството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разминавания и несъответствия в сега съществуващия широк диапазон от счетоводни практики по отношение на застраховането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A04765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A0476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Всичките четиринадесет членове на Съвета изразиха 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2452DA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</w:t>
      </w:r>
      <w:r w:rsidRPr="002452DA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пасения и предизвикателства във връзка с въвеждането и прилагането на стандарта</w:t>
      </w:r>
      <w:r w:rsidRPr="002452DA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2021C0" w:rsidRPr="00CF0082" w:rsidRDefault="002452D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общ преглед на основните опасения и предизвикателства, свързани с въвеждането и прилагането на стандарта, отбелязани от заинтересованите страни по повод изискванията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 17.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2021C0" w:rsidRPr="00CF0082" w:rsidRDefault="002452D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дали някои от тези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Pr="002452DA">
        <w:rPr>
          <w:rFonts w:eastAsia="Times New Roman" w:cs="Helvetica"/>
          <w:color w:val="575757"/>
          <w:sz w:val="24"/>
          <w:szCs w:val="24"/>
          <w:lang w:val="bg-BG"/>
        </w:rPr>
        <w:t>опасения и предизвикателства, свързани с въвеждането и прилагането на стандарта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2452DA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сочат необходимост от дейност по изготвяне и въвеждане на изменения в изискванията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 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надхвърлящи годишните подобрения, които Съветът в порядък на работна хипотеза вече реши да предложи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ще разгледа също така и последствията по отношение на датата на влизане в сила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920062">
        <w:rPr>
          <w:rFonts w:eastAsia="Times New Roman" w:cs="Helvetica"/>
          <w:color w:val="575757"/>
          <w:sz w:val="24"/>
          <w:szCs w:val="24"/>
        </w:rPr>
        <w:t xml:space="preserve"> 17.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устна актуална информация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4"/>
    </w:p>
    <w:p w:rsidR="002021C0" w:rsidRPr="00CF0082" w:rsidRDefault="009C2334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>
        <w:rPr>
          <w:rFonts w:eastAsia="Times New Roman" w:cs="Helvetica"/>
          <w:color w:val="575757"/>
          <w:sz w:val="24"/>
          <w:szCs w:val="24"/>
        </w:rPr>
        <w:t>24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2018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бъде запознат с актуална информация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920062">
        <w:rPr>
          <w:rFonts w:eastAsia="Times New Roman" w:cs="Helvetica"/>
          <w:color w:val="575757"/>
          <w:sz w:val="24"/>
          <w:szCs w:val="24"/>
          <w:lang w:val="bg-BG"/>
        </w:rPr>
        <w:t xml:space="preserve">във връзка с </w:t>
      </w:r>
      <w:hyperlink r:id="rId13" w:history="1">
        <w:r w:rsidR="0092006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проекта</w:t>
        </w:r>
      </w:hyperlink>
      <w:r w:rsidR="00920062">
        <w:rPr>
          <w:lang w:val="bg-BG"/>
        </w:rPr>
        <w:t xml:space="preserve"> </w:t>
      </w:r>
      <w:r w:rsidR="00920062">
        <w:rPr>
          <w:rFonts w:eastAsia="Times New Roman" w:cs="Helvetica"/>
          <w:color w:val="575757"/>
          <w:sz w:val="24"/>
          <w:szCs w:val="24"/>
          <w:lang w:val="bg-BG"/>
        </w:rPr>
        <w:t>и основните послания от заседанието на Консултативната група, проведено през септември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2018</w:t>
      </w:r>
      <w:r w:rsidR="00920062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920062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2021C0" w:rsidRPr="00CF0082" w:rsidRDefault="0092006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започне обсъжданията относно целта на проекта по време на заседанието на Съвета през ноември 2018 г.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9)</w:t>
      </w:r>
    </w:p>
    <w:p w:rsidR="002021C0" w:rsidRPr="00CF0082" w:rsidRDefault="009C2334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>
        <w:rPr>
          <w:rFonts w:eastAsia="Times New Roman" w:cs="Helvetica"/>
          <w:color w:val="575757"/>
          <w:sz w:val="24"/>
          <w:szCs w:val="24"/>
        </w:rPr>
        <w:t>2</w:t>
      </w:r>
      <w:r>
        <w:rPr>
          <w:rFonts w:eastAsia="Times New Roman" w:cs="Helvetica"/>
          <w:color w:val="575757"/>
          <w:sz w:val="24"/>
          <w:szCs w:val="24"/>
          <w:lang w:val="bg-BG"/>
        </w:rPr>
        <w:t>5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2018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бъде запознат с актуална информация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920062">
        <w:rPr>
          <w:rFonts w:eastAsia="Times New Roman" w:cs="Helvetica"/>
          <w:color w:val="575757"/>
          <w:sz w:val="24"/>
          <w:szCs w:val="24"/>
          <w:lang w:val="bg-BG"/>
        </w:rPr>
        <w:t>относно състоялата се през октомври дискусия в рамките на Консултативния форум по счетоводни стандарти, посветена на целите на оповестяването и изискванията, отнасящи се до времевите разлики, произтичащи от</w:t>
      </w:r>
      <w:r w:rsidR="00C879DE">
        <w:rPr>
          <w:rFonts w:eastAsia="Times New Roman" w:cs="Helvetica"/>
          <w:color w:val="575757"/>
          <w:sz w:val="24"/>
          <w:szCs w:val="24"/>
          <w:lang w:val="bg-BG"/>
        </w:rPr>
        <w:t xml:space="preserve"> регулирането на дефинираните цени. </w:t>
      </w:r>
      <w:r w:rsidR="00C879DE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Екипът изложи своите планове да обсъди със Съвета други аспекти на разработвания счетоводен модел на регулиране на дефинираните цени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2021C0" w:rsidRPr="00CF0082" w:rsidRDefault="00C879DE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продължи с обсъжданията относно представянето и оповестяването на бъдещо свое заседание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5" w:name="6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Предговор към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МСФО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стандартите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28)</w:t>
      </w:r>
      <w:bookmarkEnd w:id="5"/>
    </w:p>
    <w:p w:rsidR="002021C0" w:rsidRPr="00CF0082" w:rsidRDefault="009C2334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 w:rsidRPr="00CF0082">
        <w:rPr>
          <w:rFonts w:eastAsia="Times New Roman" w:cs="Helvetica"/>
          <w:color w:val="575757"/>
          <w:sz w:val="24"/>
          <w:szCs w:val="24"/>
        </w:rPr>
        <w:t>24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октомври 2018 г. Съветът проведе заседание, за да обсъди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>актуализиране на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5E6F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Предговора към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5E6F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стандартите 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(</w:t>
      </w:r>
      <w:r w:rsidR="005E6F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„Предговорът“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).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да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 xml:space="preserve">отстрани информация от Предговора, която сега е по-подходящо обхваната от </w:t>
      </w:r>
      <w:r w:rsidR="005E6F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Устава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 xml:space="preserve">или </w:t>
      </w:r>
      <w:r w:rsidR="005E6F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 xml:space="preserve">на Фондация </w:t>
      </w:r>
      <w:r w:rsidR="00CF0082">
        <w:rPr>
          <w:rFonts w:eastAsia="Times New Roman" w:cs="Helvetica"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,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>както и от МСФО стандартите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също така </w:t>
      </w:r>
      <w:r w:rsidRPr="008E558A">
        <w:rPr>
          <w:rFonts w:eastAsia="Times New Roman" w:cs="Helvetica"/>
          <w:color w:val="575757"/>
          <w:sz w:val="24"/>
          <w:szCs w:val="24"/>
          <w:lang w:val="bg-BG"/>
        </w:rPr>
        <w:t xml:space="preserve">в порядък на работна хипотеза, че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 xml:space="preserve">измененията в </w:t>
      </w:r>
      <w:r w:rsidR="005E6F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Предговора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5E6F11">
        <w:rPr>
          <w:rFonts w:eastAsia="Times New Roman" w:cs="Helvetica"/>
          <w:color w:val="575757"/>
          <w:sz w:val="24"/>
          <w:szCs w:val="24"/>
          <w:lang w:val="bg-BG"/>
        </w:rPr>
        <w:t>не изискват обществено допитване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A04765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A04765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тези решения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2021C0" w:rsidRPr="00CF0082" w:rsidRDefault="005E6F11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Преработеният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Предговор </w:t>
      </w:r>
      <w:r>
        <w:rPr>
          <w:rFonts w:eastAsia="Times New Roman" w:cs="Helvetica"/>
          <w:color w:val="575757"/>
          <w:sz w:val="24"/>
          <w:szCs w:val="24"/>
          <w:lang w:val="bg-BG"/>
        </w:rPr>
        <w:t>ще бъде включен във всички издания на подвързаните томове на стандартите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считано от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Задължителни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CF0082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стандарти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 xml:space="preserve"> 2019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г.</w:t>
      </w:r>
      <w:r w:rsidR="002021C0" w:rsidRPr="00CF0082">
        <w:rPr>
          <w:rFonts w:eastAsia="Times New Roman" w:cs="Helvetica"/>
          <w:i/>
          <w:iCs/>
          <w:color w:val="575757"/>
          <w:sz w:val="24"/>
          <w:szCs w:val="24"/>
        </w:rPr>
        <w:t>,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който ще бъде публикуван в средата на декември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2018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Дотогава предложените преработки на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Предговора </w:t>
      </w:r>
      <w:r>
        <w:rPr>
          <w:rFonts w:eastAsia="Times New Roman" w:cs="Helvetica"/>
          <w:color w:val="575757"/>
          <w:sz w:val="24"/>
          <w:szCs w:val="24"/>
          <w:lang w:val="bg-BG"/>
        </w:rPr>
        <w:t>ще бъдат изложени на уебсайта на Съвета</w:t>
      </w:r>
      <w:bookmarkStart w:id="6" w:name="_GoBack"/>
      <w:bookmarkEnd w:id="6"/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2021C0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</w:rPr>
        <w:t> </w:t>
      </w:r>
    </w:p>
    <w:p w:rsidR="002021C0" w:rsidRPr="00CF0082" w:rsidRDefault="006E15E4" w:rsidP="002021C0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7" w:name="8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CF0082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CD3333"/>
          <w:sz w:val="34"/>
          <w:szCs w:val="34"/>
        </w:rPr>
        <w:t xml:space="preserve"> 21)</w:t>
      </w:r>
      <w:bookmarkEnd w:id="7"/>
    </w:p>
    <w:p w:rsidR="002021C0" w:rsidRPr="00CF0082" w:rsidRDefault="006B6204" w:rsidP="002021C0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Описания на междинните сборове 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CF0082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2021C0" w:rsidRPr="00CF0082">
        <w:rPr>
          <w:rFonts w:eastAsia="Times New Roman" w:cs="Helvetica"/>
          <w:b/>
          <w:bCs/>
          <w:color w:val="333333"/>
          <w:sz w:val="24"/>
          <w:szCs w:val="24"/>
        </w:rPr>
        <w:t xml:space="preserve"> 21A)</w:t>
      </w:r>
    </w:p>
    <w:p w:rsidR="002021C0" w:rsidRPr="00CF0082" w:rsidRDefault="009C2334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F008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</w:t>
      </w:r>
      <w:r w:rsidRPr="00CF0082">
        <w:rPr>
          <w:rFonts w:eastAsia="Times New Roman" w:cs="Helvetica"/>
          <w:color w:val="575757"/>
          <w:sz w:val="24"/>
          <w:szCs w:val="24"/>
        </w:rPr>
        <w:t>24</w:t>
      </w:r>
      <w:r w:rsidRPr="00CF0082">
        <w:rPr>
          <w:rFonts w:eastAsia="Times New Roman" w:cs="Helvetica"/>
          <w:color w:val="575757"/>
          <w:sz w:val="24"/>
          <w:szCs w:val="24"/>
          <w:lang w:val="bg-BG"/>
        </w:rPr>
        <w:t xml:space="preserve"> октомври 2018 г. </w:t>
      </w:r>
      <w:proofErr w:type="gramStart"/>
      <w:r w:rsidRPr="00CF0082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заседание, за да обсъди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 w:rsidR="006B6204">
        <w:rPr>
          <w:rFonts w:eastAsia="Times New Roman" w:cs="Helvetica"/>
          <w:color w:val="575757"/>
          <w:sz w:val="24"/>
          <w:szCs w:val="24"/>
          <w:lang w:val="bg-BG"/>
        </w:rPr>
        <w:t>описанията на три междинни сбора, които Съветът</w:t>
      </w:r>
      <w:proofErr w:type="gramEnd"/>
      <w:r w:rsidR="006B6204">
        <w:rPr>
          <w:rFonts w:eastAsia="Times New Roman" w:cs="Helvetica"/>
          <w:color w:val="575757"/>
          <w:sz w:val="24"/>
          <w:szCs w:val="24"/>
          <w:lang w:val="bg-BG"/>
        </w:rPr>
        <w:t xml:space="preserve"> предлага по отношение на отчета или отчетите за финансовите резултати от дейността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8E558A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E558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6B6204" w:rsidP="002021C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един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 трите предложени междинни сбора следва да бъде описан като „оперативна печалба или загуба”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3A2D5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съгласие, а </w:t>
      </w:r>
      <w:r w:rsidR="003A2D51">
        <w:rPr>
          <w:rFonts w:eastAsia="Times New Roman" w:cs="Helvetica"/>
          <w:color w:val="575757"/>
          <w:sz w:val="24"/>
          <w:szCs w:val="24"/>
          <w:lang w:val="bg-BG"/>
        </w:rPr>
        <w:t>един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6B6204" w:rsidP="002021C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междинният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сбор, който преди това бе описван като „бизнес печалба от консолидирани предприятия” следва да бъде описан като „оперативна печалба или загуба”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3A2D51">
        <w:rPr>
          <w:rFonts w:eastAsia="Times New Roman" w:cs="Helvetica"/>
          <w:color w:val="575757"/>
          <w:sz w:val="24"/>
          <w:szCs w:val="24"/>
          <w:lang w:val="bg-BG"/>
        </w:rPr>
        <w:t>Десет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съгласие, а </w:t>
      </w:r>
      <w:r w:rsidR="003A2D51">
        <w:rPr>
          <w:rFonts w:eastAsia="Times New Roman" w:cs="Helvetica"/>
          <w:color w:val="575757"/>
          <w:sz w:val="24"/>
          <w:szCs w:val="24"/>
          <w:lang w:val="bg-BG"/>
        </w:rPr>
        <w:t>четирима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6B6204" w:rsidP="002021C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междинният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сбор, който преди това бе описван като „печалба преди приходи/разходи от инвестиции, финансови приходи/разходи и данъци върху дохода” следва да бъде описан като „оперативна печалба или загуба и дял от печалбата или загубата от неразривно свързани асоциирани и съвместни предприятия”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6B6204" w:rsidP="002021C0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междинният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сбор, който преди това бе описван като „печалба преди финансови приходи/разходи и данъци върху дохода” следва да бъде описан като „печалба или загуба преди финансиране и данъци върху дохода”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 w:rsidR="003A2D51">
        <w:rPr>
          <w:rFonts w:eastAsia="Times New Roman" w:cs="Helvetica"/>
          <w:color w:val="575757"/>
          <w:sz w:val="24"/>
          <w:szCs w:val="24"/>
          <w:lang w:val="bg-BG"/>
        </w:rPr>
        <w:t>Девет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съгласие, а </w:t>
      </w:r>
      <w:r w:rsidR="003A2D51">
        <w:rPr>
          <w:rFonts w:eastAsia="Times New Roman" w:cs="Helvetica"/>
          <w:color w:val="575757"/>
          <w:sz w:val="24"/>
          <w:szCs w:val="24"/>
          <w:lang w:val="bg-BG"/>
        </w:rPr>
        <w:t>петима</w:t>
      </w:r>
      <w:r w:rsidR="003A2D51"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6B6204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отбеляза, че описанието на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междинните сборове в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отчета или отчетите за финансовите резултати от дейността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достоверно да представя това, което съответният междинен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сбор представлява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тази връзка Съветът реши в порядък на работна хипотеза да поясни, по възможност посредством използване на пример в преработения стандарт, че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:</w:t>
      </w:r>
    </w:p>
    <w:p w:rsidR="002021C0" w:rsidRPr="00CF0082" w:rsidRDefault="006B6204" w:rsidP="002021C0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наименованието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„печалба преди лихви и данъци”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(EBIT)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 би било достоверно представяне на междинния сбор, посочен в подточка (г) по-горе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21C0" w:rsidRPr="00CF0082" w:rsidRDefault="000655F2" w:rsidP="002021C0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оценка</w:t>
      </w:r>
      <w:r w:rsidR="00451454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 w:rsidR="006B6204">
        <w:rPr>
          <w:rFonts w:eastAsia="Times New Roman" w:cs="Helvetica"/>
          <w:color w:val="575757"/>
          <w:sz w:val="24"/>
          <w:szCs w:val="24"/>
          <w:lang w:val="bg-BG"/>
        </w:rPr>
        <w:t xml:space="preserve"> на ръководството за резултатите от дейността, етикетирана като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„печалба преди лихви и данъци”</w:t>
      </w:r>
      <w:r w:rsidRPr="00CF0082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достоверно да представя какво се включва в тази оценка на ръководството за резултатите от дейността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3A2D51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съгласие, 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</w:t>
      </w:r>
      <w:r w:rsidRPr="003A2D51"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p w:rsidR="002021C0" w:rsidRPr="00CF0082" w:rsidRDefault="00CF0082" w:rsidP="002021C0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88756E" w:rsidRPr="00CF0082" w:rsidRDefault="006E15E4" w:rsidP="000655F2">
      <w:pPr>
        <w:shd w:val="clear" w:color="auto" w:fill="FFFFFF"/>
        <w:spacing w:after="300" w:line="240" w:lineRule="auto"/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да обсъжда темите, попадащи в обхвата на проекта на бъдещи свои заседания</w:t>
      </w:r>
      <w:r w:rsidR="002021C0" w:rsidRPr="00CF0082">
        <w:rPr>
          <w:rFonts w:eastAsia="Times New Roman" w:cs="Helvetica"/>
          <w:color w:val="575757"/>
          <w:sz w:val="24"/>
          <w:szCs w:val="24"/>
        </w:rPr>
        <w:t>.</w:t>
      </w:r>
    </w:p>
    <w:sectPr w:rsidR="0088756E" w:rsidRPr="00CF0082" w:rsidSect="0035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C87"/>
    <w:multiLevelType w:val="multilevel"/>
    <w:tmpl w:val="449A5EA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152"/>
    <w:multiLevelType w:val="multilevel"/>
    <w:tmpl w:val="9B6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C06B6"/>
    <w:multiLevelType w:val="multilevel"/>
    <w:tmpl w:val="13C826A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B56CA"/>
    <w:multiLevelType w:val="multilevel"/>
    <w:tmpl w:val="9CD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25DBE"/>
    <w:multiLevelType w:val="multilevel"/>
    <w:tmpl w:val="CF14C7A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E7B60"/>
    <w:multiLevelType w:val="multilevel"/>
    <w:tmpl w:val="62769EA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21C0"/>
    <w:rsid w:val="000655F2"/>
    <w:rsid w:val="000F5871"/>
    <w:rsid w:val="00184D8C"/>
    <w:rsid w:val="002021C0"/>
    <w:rsid w:val="00216408"/>
    <w:rsid w:val="002452DA"/>
    <w:rsid w:val="00337978"/>
    <w:rsid w:val="00357626"/>
    <w:rsid w:val="003A2D51"/>
    <w:rsid w:val="00451454"/>
    <w:rsid w:val="004D23D6"/>
    <w:rsid w:val="005E6F11"/>
    <w:rsid w:val="006B6204"/>
    <w:rsid w:val="006E15E4"/>
    <w:rsid w:val="0088756E"/>
    <w:rsid w:val="00896430"/>
    <w:rsid w:val="008E558A"/>
    <w:rsid w:val="00920062"/>
    <w:rsid w:val="00920908"/>
    <w:rsid w:val="009C2334"/>
    <w:rsid w:val="00A04765"/>
    <w:rsid w:val="00B11B3B"/>
    <w:rsid w:val="00B415AA"/>
    <w:rsid w:val="00C879DE"/>
    <w:rsid w:val="00CF0082"/>
    <w:rsid w:val="00E8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481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october-2018/" TargetMode="External"/><Relationship Id="rId13" Type="http://schemas.openxmlformats.org/officeDocument/2006/relationships/hyperlink" Target="https://www.ifrs.org/projects/work-plan/management-comment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october-2018/" TargetMode="External"/><Relationship Id="rId12" Type="http://schemas.openxmlformats.org/officeDocument/2006/relationships/hyperlink" Target="https://www.ifrs.org/news-and-events/updates/iasb-updates/october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october-2018/" TargetMode="External"/><Relationship Id="rId11" Type="http://schemas.openxmlformats.org/officeDocument/2006/relationships/hyperlink" Target="https://www.ifrs.org/news-and-events/updates/iasb-updates/october-2018/" TargetMode="External"/><Relationship Id="rId5" Type="http://schemas.openxmlformats.org/officeDocument/2006/relationships/hyperlink" Target="https://www.ifrs.org/news-and-events/updates/iasb-updates/october-20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frs.org/news-and-events/updates/iasb-updates/october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october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16</cp:revision>
  <dcterms:created xsi:type="dcterms:W3CDTF">2018-11-05T09:19:00Z</dcterms:created>
  <dcterms:modified xsi:type="dcterms:W3CDTF">2018-11-06T05:31:00Z</dcterms:modified>
</cp:coreProperties>
</file>