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A3" w:rsidRPr="00F614C0" w:rsidRDefault="00063D83" w:rsidP="00045AA3">
      <w:pPr>
        <w:widowControl/>
        <w:shd w:val="clear" w:color="auto" w:fill="A41F35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(IASB) – </w:t>
      </w:r>
      <w:r w:rsidR="00CA483A" w:rsidRPr="00F614C0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юли</w:t>
      </w:r>
      <w:r w:rsidRPr="00F614C0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 2018 г.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</w:p>
    <w:p w:rsidR="00045AA3" w:rsidRPr="00F614C0" w:rsidRDefault="00CA483A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:МСФО стандарти (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IFRS</w:t>
      </w:r>
      <w:r w:rsidRPr="00F614C0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proofErr w:type="spellStart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Standards</w:t>
      </w:r>
      <w:proofErr w:type="spellEnd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), Изменения и Разяснения (IFRIC</w:t>
      </w:r>
      <w:r w:rsidRPr="00F614C0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proofErr w:type="spellStart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Interpretations</w:t>
      </w:r>
      <w:proofErr w:type="spellEnd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 се подлагат на официално гласуване, съгласно предвиденото в </w:t>
      </w:r>
      <w:r w:rsidRPr="00F614C0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IFRS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spellStart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Foundation</w:t>
      </w:r>
      <w:proofErr w:type="spellEnd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) и Комитета по разясненията на МСФО (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IFRS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spellStart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Interpretation</w:t>
      </w:r>
      <w:proofErr w:type="spellEnd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spellStart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Committee</w:t>
      </w:r>
      <w:proofErr w:type="spellEnd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).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br/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br/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проведе заседания през юли 2018 г. в офисите на Фондация МСФО в Лондон, Великобритания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A483A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5" w:anchor="1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Дейности</w:t>
        </w:r>
      </w:hyperlink>
      <w:r w:rsidR="00DC4A02" w:rsidRPr="00F614C0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 xml:space="preserve"> с регулирани цени</w:t>
      </w:r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6" w:anchor="2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Коментар на ръководството</w:t>
        </w:r>
      </w:hyperlink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7" w:anchor="3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Бизнес комбинации под общ контрол</w:t>
        </w:r>
      </w:hyperlink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8" w:anchor="4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Концептуална рамка</w:t>
        </w:r>
      </w:hyperlink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</w:pPr>
      <w:hyperlink r:id="rId9" w:anchor="5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Въвеждане</w:t>
        </w:r>
      </w:hyperlink>
      <w:r w:rsidR="00DC4A02" w:rsidRPr="00F614C0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 xml:space="preserve"> и прилагане</w:t>
      </w:r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10" w:anchor="6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Репутация и обезценка</w:t>
        </w:r>
      </w:hyperlink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11" w:anchor="7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Инициатива за оповестяване</w:t>
        </w:r>
      </w:hyperlink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12" w:anchor="8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Счетоводни политики и счетоводни приблизителни оценки</w:t>
        </w:r>
      </w:hyperlink>
    </w:p>
    <w:p w:rsidR="00045AA3" w:rsidRPr="00F614C0" w:rsidRDefault="0006304C" w:rsidP="00045AA3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hyperlink r:id="rId13" w:anchor="9" w:history="1"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Актуална информация във</w:t>
        </w:r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</w:t>
        </w:r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връзка с Групата </w:t>
        </w:r>
        <w:r w:rsidR="00A5360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за</w:t>
        </w:r>
        <w:r w:rsidR="00DC4A02"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възникващите икономики</w:t>
        </w:r>
      </w:hyperlink>
    </w:p>
    <w:p w:rsidR="00045AA3" w:rsidRPr="00F614C0" w:rsidRDefault="00CA483A" w:rsidP="00045AA3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Допълнителна информация</w:t>
      </w:r>
    </w:p>
    <w:p w:rsidR="00045AA3" w:rsidRPr="00F614C0" w:rsidRDefault="00CA483A" w:rsidP="00045AA3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Предстоящи заседания на Съвета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045AA3" w:rsidP="00045AA3">
      <w:pPr>
        <w:widowControl/>
        <w:numPr>
          <w:ilvl w:val="0"/>
          <w:numId w:val="2"/>
        </w:numPr>
        <w:shd w:val="clear" w:color="auto" w:fill="F6F6F6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17–21 </w:t>
      </w:r>
      <w:r w:rsidR="00CA483A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септември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2018</w:t>
      </w:r>
      <w:r w:rsidR="00CA483A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</w:p>
    <w:p w:rsidR="00045AA3" w:rsidRPr="00F614C0" w:rsidRDefault="00045AA3" w:rsidP="00045AA3">
      <w:pPr>
        <w:widowControl/>
        <w:numPr>
          <w:ilvl w:val="0"/>
          <w:numId w:val="2"/>
        </w:numPr>
        <w:shd w:val="clear" w:color="auto" w:fill="F6F6F6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22–26 </w:t>
      </w:r>
      <w:r w:rsidR="00CA483A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октомври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2018</w:t>
      </w:r>
      <w:r w:rsidR="00CA483A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</w:p>
    <w:p w:rsidR="00045AA3" w:rsidRPr="00F614C0" w:rsidRDefault="00045AA3" w:rsidP="00045AA3">
      <w:pPr>
        <w:widowControl/>
        <w:numPr>
          <w:ilvl w:val="0"/>
          <w:numId w:val="2"/>
        </w:numPr>
        <w:shd w:val="clear" w:color="auto" w:fill="F6F6F6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12–16 </w:t>
      </w:r>
      <w:r w:rsidR="00CA483A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ноември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2018</w:t>
      </w:r>
      <w:r w:rsidR="00CA483A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</w:p>
    <w:p w:rsidR="00045AA3" w:rsidRPr="00F614C0" w:rsidRDefault="00DC4A02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lastRenderedPageBreak/>
        <w:t>Дейности с регулирани цени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9)</w:t>
      </w:r>
      <w:bookmarkEnd w:id="0"/>
    </w:p>
    <w:p w:rsidR="00045AA3" w:rsidRPr="00F614C0" w:rsidRDefault="00F351E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17 юли 2018 г. Съветът проведе заседание, за да обсъди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разработвания счетоводен модел („моделът”)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по отношение на дейностите, обект на „регулации с дефиниране на тарифите (ставките)”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Документ по програмата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9A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предостави единствено с информативна цел обобщение на взетите до момента решения в порядък на работна хипотеза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F5C83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Оценяване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(Документи по програмата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9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и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9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Г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7F5C8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продължи започнатите през май 2018 г. обсъждания във връзка с оценяването на регулаторните активи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F5C83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Приблизително оценяване на бъдещите парични потоци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7F5C8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по отношение на всеки признат регулаторен актив предприятието следва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7F5C83" w:rsidP="00045AA3">
      <w:pPr>
        <w:widowControl/>
        <w:numPr>
          <w:ilvl w:val="0"/>
          <w:numId w:val="3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оценява приблизително бъдещите парични потоци с помощта или на метода на „най-вероятната сума”, или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метода на „очакваната стойност”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 зависимост от това за кой от методите предприятието е достигнало до заключение, че по-добре ще предвижда сумата на паричните потоци, произтичащи от </w:t>
      </w:r>
      <w:r w:rsidR="00A53601" w:rsidRPr="00A53601">
        <w:rPr>
          <w:rFonts w:asciiTheme="minorHAnsi" w:eastAsia="Times New Roman" w:hAnsiTheme="minorHAnsi" w:cs="Helvetica"/>
          <w:color w:val="575757"/>
          <w:szCs w:val="24"/>
          <w:lang w:val="bg-BG"/>
        </w:rPr>
        <w:t>времеви разлики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045AA3" w:rsidRPr="00F614C0" w:rsidRDefault="007F5C83" w:rsidP="00045AA3">
      <w:pPr>
        <w:widowControl/>
        <w:numPr>
          <w:ilvl w:val="0"/>
          <w:numId w:val="3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прилага един и същ метод последователно от възникването на времевите разлики до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обратното </w:t>
      </w:r>
      <w:r w:rsidR="00A53601">
        <w:rPr>
          <w:rFonts w:asciiTheme="minorHAnsi" w:eastAsia="Times New Roman" w:hAnsiTheme="minorHAnsi" w:cs="Helvetica"/>
          <w:color w:val="575757"/>
          <w:szCs w:val="24"/>
          <w:lang w:val="bg-BG"/>
        </w:rPr>
        <w:t>им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проявление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F5C8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обсъди също така и въпроса как предприятието следва да определя дали да взема под внимание резултата от всяка времева разлика поотделно или заедно с </w:t>
      </w:r>
      <w:r w:rsidR="001100F1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една или повече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други времеви </w:t>
      </w:r>
      <w:r w:rsidR="001100F1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разлики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1100F1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такива решения следва да се базират на подхода, който по-добре би прогнозирал сумата на получаващите се в резултат бъдещи парични потоци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четиринадесетте членове на Съвета изразиха съгласие, а един - несъгласие с тези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1100F1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Съществен компонент на финансиране и дисконтов процент</w:t>
      </w:r>
    </w:p>
    <w:p w:rsidR="00045AA3" w:rsidRPr="00F614C0" w:rsidRDefault="001D3E60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Отсъствие на изричен компонент на финансиране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1D3E6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ако регулаторното споразумение не предвижда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1D3E6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изрично компенсиране за ефекта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1D3E6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от времето между възникването и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обратното проявление</w:t>
      </w:r>
      <w:r w:rsidR="001D3E6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времева разлика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1D3E6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предприятието следва да използва преценка, за да определи дали компонентът на финансиране във времевата разлика е съществен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  </w:t>
      </w:r>
      <w:r w:rsidR="001D3E6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Тази преценка следва да се базира на фактите и обстоятелствата за конкретното предприятие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261AA9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Ако предприятието достигне до заключение, че компонентът на финансиране не е съществен, то тогава не се изисква дисконтиране на бъдещите парични потоци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 случай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обаче, че предприятието достигне до заключение, че компонентът на финансиране е съществен, то тогава предприятието следва да използва „разумен процент”, за да дисконтира приблизително оценените парични потоци и незабавно да признае евентуална загуба в печалбата или загубата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E53CAC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поиска от екипа да разработи насоки относно факторите, които да бъдат вземани под внимание при определянето на „разумен процент”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E53CAC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Изричен компонент на финансиране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304229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когато компонентът на финансиране е изричен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304229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предприятието следва да оценява регулаторния актив, като дисконтира приблизително оценените бъдещи парични потоци, използвайки лихвения процент или нормата на възвръщаемост, установена от регулаторното споразумение по отношение на тези парични потоци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304229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Това изискване обаче няма да се прилага, когато недвусмислени доказателства сочат, че регулаторният лихвен процент или норма на възвръщаемост е установена на равнище, което осигурява излишък или недостиг при компенсирането в резултат на разграничимо събитие или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304229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При такива обстоятелства предприятието следва да признае излишъка или недостига при компенсирането в периода, в който настъпва разграничимото събитие или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четиринадесетте членове на Съвета изразиха съгласие, а един - несъгласие с тези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504CA8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Промени в приблизително оценените парични потоци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включително промени, предизвикани от промени в дисконтовия процент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моделът следва да възприеме третирането, изисквано от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8 </w:t>
      </w:r>
      <w:r w:rsidR="00504CA8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Счетоводни политики</w:t>
      </w:r>
      <w:r w:rsidR="00045AA3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, </w:t>
      </w:r>
      <w:r w:rsidR="00504CA8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промени в счетоводните приблизителни оценки и грешки,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да отчита счетоводно промените в приблизително оценените бъдещи парични потоци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Вследствие на това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504CA8" w:rsidP="00045AA3">
      <w:pPr>
        <w:widowControl/>
        <w:numPr>
          <w:ilvl w:val="0"/>
          <w:numId w:val="4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Ефектът от промяна в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приблизително оценените бъдещи парични потоци следва да се признава перспективно в печалбата или загубата в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A53601" w:rsidP="00045AA3">
      <w:pPr>
        <w:widowControl/>
        <w:numPr>
          <w:ilvl w:val="1"/>
          <w:numId w:val="4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ериода на промяната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ако промяната засяга само този период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или</w:t>
      </w:r>
    </w:p>
    <w:p w:rsidR="00045AA3" w:rsidRPr="00F614C0" w:rsidRDefault="00A53601" w:rsidP="00045AA3">
      <w:pPr>
        <w:widowControl/>
        <w:numPr>
          <w:ilvl w:val="1"/>
          <w:numId w:val="4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ериода на промяната и бъдещи периоди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ако промяната засяга и тях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="00504CA8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045AA3" w:rsidRPr="00F614C0" w:rsidRDefault="00504CA8" w:rsidP="00045AA3">
      <w:pPr>
        <w:widowControl/>
        <w:numPr>
          <w:ilvl w:val="0"/>
          <w:numId w:val="4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Ако промяната поражда промяна в регулаторен актив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промяната следва да се признава, като се коригира балансовата стойност на свързания с промяната актив в периода на промяната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504CA8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Когато регулаторният орган променя лихвения процент или нормата на възвръщаемост, използвана за компенсиране на предприятието за периода между възникването и обратното проявление на времева разлика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предприятието следва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504CA8" w:rsidP="00045AA3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Да оценява </w:t>
      </w:r>
      <w:r w:rsidR="00034EC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неуреденото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салдо на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034EC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регулаторния актив, използвайки преразгледания лихвен процент или норма на възвръщаемост, за да дисконтира приблизително оценените бъдещи парични потоци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="00034EC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045AA3" w:rsidRPr="00F614C0" w:rsidRDefault="00034EC3" w:rsidP="00045AA3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признава евентуална получаваща се в резултат промяна в балансовата стойност на регулаторния актив в периода на промяната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четиринадесетте членове на Съвета изразиха съгласие, а един - несъгласие с тези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Оценяване на регулаторни пасиви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също така в порядък на работна хипотеза, че моделът следва да използва едни и същи изисквания за оценяване по отношение на регулаторните пасиви и регулаторните активи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Предложения за редактиране при изготвяне на проекта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поиска от екипа при описване на модела да разработи предложения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опростяване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поясняване и добавяне на насоки към взетите на това заседание в порядък на работна хипотеза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Цел по отношение на представянето и оповестяването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Документ по програмата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9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запо</w:t>
      </w:r>
      <w:r w:rsidR="00A53601">
        <w:rPr>
          <w:rFonts w:asciiTheme="minorHAnsi" w:eastAsia="Times New Roman" w:hAnsiTheme="minorHAnsi" w:cs="Helvetica"/>
          <w:color w:val="575757"/>
          <w:szCs w:val="24"/>
          <w:lang w:val="bg-BG"/>
        </w:rPr>
        <w:t>ч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обсъждане на целта, която да насочва разработването на изисквания за представяне и оповестяване по отношение на модела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034EC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очаква да продължи с обсъжданията си във връзка с представянето и оповестяването на бъдещо свое заседание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15)</w:t>
      </w:r>
      <w:bookmarkEnd w:id="1"/>
    </w:p>
    <w:p w:rsidR="00045AA3" w:rsidRPr="00F614C0" w:rsidRDefault="00F351E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17 юли 2018 г. Съветът проведе заседание, за да бъде запознат с актуална информация относно текущото състояние на проекта, посветен на коментара на ръководството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D4390D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Първото заседание на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hyperlink r:id="rId14" w:history="1">
        <w:r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Консултативната група по въпросите, свързани с коментара на ръководството</w:t>
        </w:r>
      </w:hyperlink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2D045C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ще се проведе през октомври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2018</w:t>
      </w:r>
      <w:r w:rsidR="002D045C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</w:t>
      </w:r>
      <w:r w:rsidR="00A53601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2D045C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ще продължи с обсъжданията си след провеждане на първото заседание на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2D045C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Консултативната група по въпросите, свързани с коментара на ръководството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bookmarkEnd w:id="2"/>
    </w:p>
    <w:p w:rsidR="00045AA3" w:rsidRPr="00F614C0" w:rsidRDefault="002D045C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17 юли 2018 г. Съветът проведе заседание, за да бъде запознат с актуална информация относно изследователския проект, посветен на бизнес комбинациите под общ контрол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 обобщение на дискусиите по време на заседанието през юли 2018 г. на Консултативния форум по счетоводните стандарти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2D045C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очаква на бъдещи свои заседания да продължи с обсъжданията си във връзка с методите за счетоводно отчитане на сделки и операции, попадащи в обхвата на този проект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Концептуална рамка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10)</w:t>
      </w:r>
      <w:bookmarkEnd w:id="3"/>
    </w:p>
    <w:p w:rsidR="00045AA3" w:rsidRPr="00F614C0" w:rsidRDefault="004D3DB8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17 юли 2018 г. Съветът проведе заседание, за да обсъди </w:t>
      </w:r>
      <w:r w:rsidR="00AB5D1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кога и как съставителите на финансови отчети следва да се обръщат към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AB5D10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Концептуалната рамка за финансово отчитане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AB5D1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помощ при разработването на счетоводните политики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Въвеждане и прилагане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12)</w:t>
      </w:r>
      <w:bookmarkEnd w:id="4"/>
    </w:p>
    <w:p w:rsidR="00045AA3" w:rsidRPr="00F614C0" w:rsidRDefault="004D3DB8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17 юли 2018 г. Съветът проведе заседание, за да обсъди </w:t>
      </w:r>
      <w:r w:rsidR="00AB5D1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проекти, свързани с въвеждането и поддържането на стандартите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AB5D10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Бюлетин с актуална информация от КРМСФО</w:t>
      </w:r>
      <w:r w:rsidR="00874C9A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874C9A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Документи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12A 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и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 12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874C9A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Съветът бе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запознат с актуална информация относно проведените през май и юни 2018 г. заседания на Комитета по разясненията на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(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„Комитета”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Подробности за тези заседания бяха публикувани в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Бюлетина с актуална информация от КРМСФО 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(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Документи по програмата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12A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12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Б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).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E35FC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Разходи, вземани под внимание при оценяване дали даден договор е обременяващ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(</w:t>
      </w:r>
      <w:r w:rsidR="00FC354F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37) — възможно изготвяне и въвеждане на изменение с тесен обхват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в стандарта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12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7E35FC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обсъди препоръката на Комитета да предложи изменение с тесен обхват в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37 </w:t>
      </w:r>
      <w:r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Провизии</w:t>
      </w:r>
      <w:r w:rsidR="00045AA3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условни пасиви и условни активи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Предложеното изменение се отнася до оценката на това дали даден договор е обременяващ 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7E35FC" w:rsidP="00045AA3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Ще посочва, че „разходите за изпълнение на договора” в параграф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68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37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включват „разходите, които пряко се отнасят до договора”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;</w:t>
      </w:r>
    </w:p>
    <w:p w:rsidR="00045AA3" w:rsidRPr="00F614C0" w:rsidRDefault="007E35FC" w:rsidP="00045AA3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Ще предостави примери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разходи, които се отнасят и които не се отнасят пряко до договор за предоставяне на стоки или услуги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E35FC" w:rsidP="00045AA3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Няма да въвежда нови изисквания за предприятията да правят оповестявания на информация относно обременяващите договори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E35FC" w:rsidP="00045AA3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Ще въведе специални изисквания за преход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предприятията, които вече се отчитат, използвайки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тези предприятия ще се изисква да прилагат „модифициран ретроспективен” подход, при което ще прилагат предложените изменения по отношение на договори, съществуващи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към датата на първоначално прилагане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—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началото на годишния отчетен </w:t>
      </w:r>
      <w:r w:rsidR="003A1EF4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период, в който предприятието прилага измененията за първи път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3A1EF4" w:rsidP="00045AA3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Няма да въвежда специални изисквания за преход за предприятия, възприемащи МСФО стандартите за първи път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3A1EF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 членове на Съвета изразиха съгласие с препоръката на Комитета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3A1EF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 обсъди стъпките от регламентираната процедура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3A1EF4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Сделки и операции с участието на </w:t>
      </w:r>
      <w:r w:rsidR="00E17B30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борсово търгувани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E17B30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(масови) 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стоки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и криптовалути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—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потенциален нов изследователски проект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12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Г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3A1EF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обсъди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сделки и операции с участието на </w:t>
      </w:r>
      <w:r w:rsidR="00E17B3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борсово търгувани (масови)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стоки и криптовалути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E17B30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Дискусията се фокусира върху доминиращото присъствие на сделки и операции с участието на борсово търгувани (масови) стоки и криптовалути при предприятия, които се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отчитат, използвайки МСФО стандартите, и възможните дейности по изготвяне и въвеждане на изменения с тесен обхват, които Съветът би могъл да предприеме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E17B30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E17B30" w:rsidP="00045AA3">
      <w:pPr>
        <w:widowControl/>
        <w:numPr>
          <w:ilvl w:val="0"/>
          <w:numId w:val="7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да разгледа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практическата осъществимост на възможен проект за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изготвяне и въвеждане на изменения с тесен обхват с цел адресиране на </w:t>
      </w:r>
      <w:r w:rsidR="00894499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стоковите кредити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="00894499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045AA3" w:rsidRPr="00F614C0" w:rsidRDefault="00894499" w:rsidP="00045AA3">
      <w:pPr>
        <w:widowControl/>
        <w:numPr>
          <w:ilvl w:val="0"/>
          <w:numId w:val="7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момента да не добавя към работната си програма проект за разработване на стандарт за инвестициите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четиринадесетте членове на Съвета изразиха съгласие, а един - несъгласие с тези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894499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също така да поиска Комитет</w:t>
      </w:r>
      <w:r w:rsidR="00A53601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предостави допълнителна информация относно това как предприятието би могло да прилага съществуващите понастоящем МСФО стандарти при определяне на счетоводното си отчитане на притежаването на криптовалути и първоначално предлагане на монети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894499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бъдещо свое заседание Съветът ще обсъди практическата приложимост на проект за изменение с тесен обхват с цел адресиране на </w:t>
      </w:r>
      <w:r w:rsidR="005E44E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стоковите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кредити</w:t>
      </w:r>
      <w:r w:rsidR="005E44E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A07A7D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 разгледа информацията относно криптовалутите, която ще бъде предоставена от Комитета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18)</w:t>
      </w:r>
      <w:bookmarkEnd w:id="5"/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18 юли 2018 г. Съветът проведе заседание, за да продължи с обсъжданията си относно изследователския проект, посветен на репутацията и обезценката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5E44E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обсъди целите на последващата си работа в светлината на констатациите от изследването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5E44E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 частност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5E44EF" w:rsidP="00045AA3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не продължава с преследването на целта за премахване на различията между счетоводните изисквания по отношение на вътрешно генерирани нематериални активи и тези за нематериални активи, които са придобити в бизнес комбинация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E4663" w:rsidP="00045AA3">
      <w:pPr>
        <w:widowControl/>
        <w:shd w:val="clear" w:color="auto" w:fill="FFFFFF"/>
        <w:suppressAutoHyphens w:val="0"/>
        <w:spacing w:after="300"/>
        <w:ind w:left="72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Единадесет от четиринадесетте членове на Съвета изразиха съгласие, а трима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5E44EF" w:rsidP="00045AA3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проучи въпроса дали оповестяванията биха могли да бъдат подобрени, така че да се даде възможност инвеститорите по-ефикасно да оценят дали бизнес комбинацията е била добро инвестиционно решение и дали придобитият бизнес се представя след придобиването по начина, очакван към момента на придобиване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ind w:left="72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5E44EF" w:rsidP="00045AA3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се стреми към подобряване изчисляването на стойността в употреба чрез отстраняване от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36 </w:t>
      </w:r>
      <w:r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Обезценка на активи</w:t>
      </w:r>
      <w:r w:rsidR="00353A76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 </w:t>
      </w:r>
      <w:r w:rsidR="00353A76" w:rsidRPr="00353A76">
        <w:rPr>
          <w:rFonts w:asciiTheme="minorHAnsi" w:eastAsia="Times New Roman" w:hAnsiTheme="minorHAnsi" w:cs="Helvetica"/>
          <w:iCs/>
          <w:color w:val="575757"/>
          <w:szCs w:val="24"/>
          <w:lang w:val="bg-BG"/>
        </w:rPr>
        <w:t>на</w:t>
      </w:r>
      <w:r w:rsidR="00045AA3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:</w:t>
      </w:r>
    </w:p>
    <w:p w:rsidR="00045AA3" w:rsidRPr="00F614C0" w:rsidRDefault="00353A76" w:rsidP="00045AA3">
      <w:pPr>
        <w:widowControl/>
        <w:numPr>
          <w:ilvl w:val="1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</w:t>
      </w:r>
      <w:r w:rsidR="005E44E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граничението, изключващо при изчисляването паричните потоци, които се очаква да произтекат от бъдещо преструктуриране или от бъдещо подобряване на актива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="005E44E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045AA3" w:rsidRPr="00F614C0" w:rsidRDefault="00353A76" w:rsidP="00045AA3">
      <w:pPr>
        <w:widowControl/>
        <w:numPr>
          <w:ilvl w:val="1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5E44E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зискването при изчислението да се използват входящи данни преди данъчно облагане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E4663" w:rsidP="00045AA3">
      <w:pPr>
        <w:widowControl/>
        <w:shd w:val="clear" w:color="auto" w:fill="FFFFFF"/>
        <w:suppressAutoHyphens w:val="0"/>
        <w:spacing w:after="300"/>
        <w:ind w:left="72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от четиринадесетте членове на Съвета изразиха съгласие, а двама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5E44EF" w:rsidP="00045AA3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запази съществуващия понастоящем модел за тестване за обезценка в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36, </w:t>
      </w:r>
      <w:r w:rsidR="00BF7F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вместо да го променя, така че той да се фокусира върху оценяването на това дали балансовата стойност на придобитата репутация е възстановима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E4663" w:rsidP="00045AA3">
      <w:pPr>
        <w:widowControl/>
        <w:shd w:val="clear" w:color="auto" w:fill="FFFFFF"/>
        <w:suppressAutoHyphens w:val="0"/>
        <w:spacing w:after="300"/>
        <w:ind w:left="72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Девет от четиринадесетте членове на Съвета изразиха съгласие, а петима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F7FA3" w:rsidP="00045AA3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При преследване на целта за опростяване на счетоводното отчитане на репутацията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BF7FA3" w:rsidP="00045AA3">
      <w:pPr>
        <w:widowControl/>
        <w:numPr>
          <w:ilvl w:val="1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не разглежда въпроса, касаещ изискването предприятието да отписва/намалява репутацията непосредствено след първоначално признаване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ind w:left="144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Десет от четиринадесетте членове на Съвета изразиха съгласие, а четирима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F7FA3" w:rsidP="00045AA3">
      <w:pPr>
        <w:widowControl/>
        <w:numPr>
          <w:ilvl w:val="1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проучи въпроса дали да въведе отново амортизиране на репутацията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E4663" w:rsidP="00045AA3">
      <w:pPr>
        <w:widowControl/>
        <w:shd w:val="clear" w:color="auto" w:fill="FFFFFF"/>
        <w:suppressAutoHyphens w:val="0"/>
        <w:spacing w:after="300"/>
        <w:ind w:left="144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Осем от четиринадесетте членове на Съвета изразиха съгласие, а шестима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F7FA3" w:rsidP="00045AA3">
      <w:pPr>
        <w:widowControl/>
        <w:numPr>
          <w:ilvl w:val="1"/>
          <w:numId w:val="8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се стреми към евентуално облекчаване/освобождаване от задължителното ежегодно количествено тестване за обезценка на репутацията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ind w:left="144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Десет от четиринадесетте членове на Съвета изразиха съгласие, а четирима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F7F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 също така в порядък на работна хипотеза да издаде </w:t>
      </w:r>
      <w:r w:rsidR="00353A76">
        <w:rPr>
          <w:rFonts w:asciiTheme="minorHAnsi" w:eastAsia="Times New Roman" w:hAnsiTheme="minorHAnsi" w:cs="Helvetica"/>
          <w:color w:val="575757"/>
          <w:szCs w:val="24"/>
          <w:lang w:val="bg-BG"/>
        </w:rPr>
        <w:t>Д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окумент за обсъждане като следваща стъпка от изследователския проект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 (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отбеляза, че това решение не би му попречило да издаде </w:t>
      </w:r>
      <w:r w:rsidR="00353A76">
        <w:rPr>
          <w:rFonts w:asciiTheme="minorHAnsi" w:eastAsia="Times New Roman" w:hAnsiTheme="minorHAnsi" w:cs="Helvetica"/>
          <w:color w:val="575757"/>
          <w:szCs w:val="24"/>
          <w:lang w:val="bg-BG"/>
        </w:rPr>
        <w:t>П</w:t>
      </w:r>
      <w:bookmarkStart w:id="6" w:name="_GoBack"/>
      <w:bookmarkEnd w:id="6"/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роект за обсъждане относно, например, целеви подобрения в изчисляването на стойността в употреба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.)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BF7F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ще продължи със своите обсъждания относно това как да постигне целите, дискутиране по време на това заседание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7" w:name="7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—</w:t>
      </w:r>
      <w:r w:rsidR="001372FD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дефиниция за ниво на същественост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, </w:t>
      </w:r>
      <w:r w:rsidR="001372FD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целеви преглед на оповестяванията на ниво стандарт и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1372FD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принципи на оповестяването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7"/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18 юли 2018 г. Съветът проведе заседание, за да обсъди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F23CC4" w:rsidP="00045AA3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Дали екипът може да пристъпи към процедурата по гласуване във връзка с проекта, посветен на нивото на същественост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;</w:t>
      </w:r>
    </w:p>
    <w:p w:rsidR="00045AA3" w:rsidRPr="00F614C0" w:rsidRDefault="00F23CC4" w:rsidP="00045AA3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Подходът към изготвяне на проекта на целите и изискванията за оповестяване да бъде тестван като част от целевия преглед на оповестяванията на ниво стандарт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;</w:t>
      </w:r>
    </w:p>
    <w:p w:rsidR="00045AA3" w:rsidRPr="00F614C0" w:rsidRDefault="00F23CC4" w:rsidP="00045AA3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Кой стандарт или кои стандарти следва да бъдат обект на целевия преглед на оповестяванията на ниво стандарт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;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045AA3" w:rsidRPr="00F614C0" w:rsidRDefault="00F23CC4" w:rsidP="00045AA3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Оставащите стъпки във връзка с проекта, посветен на принципите на оповестяването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23CC4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Изменения в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1 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и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8—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стъпки от регламентираната процедура и гласуване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11A)</w:t>
      </w:r>
    </w:p>
    <w:p w:rsidR="00045AA3" w:rsidRPr="00F614C0" w:rsidRDefault="00F23CC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да не представя за повторно обсъждане предложените изменения в дефиницията за ниво на същественост и придружаващите я пояснителни параграфи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23CC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Съветът се е уверил, че изискванията на регламентираната процедура са изпълнени и че са осъществени достатъчно консултации и анализи, за да се пристъпи към процедурата по гласуване по отношение на предложените изменения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23CC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изрази съгласие с предложените срокове и даде разрешение на екипа да подготви предложените изменения за гласуване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23CC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Нито един от членовете на Съвета не възнамерява да изрази несъгласие с издаването на измененията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23CC4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Насоки за Съвета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—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цели на оповестяването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 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11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0B37A8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 използването на езика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при изготвяне на проект на целите и изискванията за оповестяване в бъдеще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следва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A56C43" w:rsidP="00045AA3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използва нормативен език, предписващ определени изисквания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(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т.е.- „следва да”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)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за да задължи предприятията да спазват </w:t>
      </w:r>
      <w:r w:rsidR="008C74C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целите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оповестяванията в стандартите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8C74CF" w:rsidP="00045AA3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използва нормативен език, който в по-малка степен предписва определени изисквания 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(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например, „следва да обмисли/разгледа/вземе под внимание”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)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, когато се позовава на конкретна информация, която да бъде оповестена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BE466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Девет от четиринадесетте членове на Съвета изразиха съгласие, а петима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8C74CF" w:rsidP="00045AA3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предприеме следните стъпки за максимално използване на последователен език при изискванията за оповестяване в стандартите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045AA3" w:rsidP="00045AA3">
      <w:pPr>
        <w:widowControl/>
        <w:numPr>
          <w:ilvl w:val="1"/>
          <w:numId w:val="10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8C74C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обмисли дефиниране на термините и концепциите, въвеждани за първи път в раздела, посветен на оповестяването, в даден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8C74C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8C74CF" w:rsidP="00045AA3">
      <w:pPr>
        <w:widowControl/>
        <w:numPr>
          <w:ilvl w:val="1"/>
          <w:numId w:val="10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избягва използването на един и същ термин по различен начин в различните стандарти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Ако различните значения за един и същ термин не могат да бъдат избегнати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обмисли изготвянето на проект на допълнителни насоки, които да обясняват различното използване на термина и ясно да свързват всяко едно използване на този термин с отнасящото се до него обяснение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8C74CF" w:rsidP="00045AA3">
      <w:pPr>
        <w:widowControl/>
        <w:numPr>
          <w:ilvl w:val="1"/>
          <w:numId w:val="10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посочва предвиденото място, когато използва термините „представя” и „оповестява”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 изискванията за оповестяване в МСФО стандартите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8C74CF" w:rsidP="00045AA3">
      <w:pPr>
        <w:widowControl/>
        <w:numPr>
          <w:ilvl w:val="1"/>
          <w:numId w:val="10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потърси консултации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 от екипа по Таксономията на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етапа на изготвяне на проект, с цел да се окаже съдействие при идентифициране на евентуални несъответствия в начините, по които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термините са описани в предложението или предложенията </w:t>
      </w:r>
      <w:r w:rsidR="00730387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оповестяванията</w:t>
      </w:r>
      <w:r w:rsidR="00730387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 на други места в стандартите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ind w:left="72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30387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 използването на форматиране и представяне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при изготвянето на проект на целите и изискванията за оповестяване Съветът следва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730387" w:rsidP="00045AA3">
      <w:pPr>
        <w:widowControl/>
        <w:numPr>
          <w:ilvl w:val="0"/>
          <w:numId w:val="1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Ако е целесъобразно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представя обобщените цели в края на всеки раздел, посветен на оповестяванията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Десет от четиринадесетте членове на Съвета изразиха съгласие, а четирима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30387" w:rsidP="00045AA3">
      <w:pPr>
        <w:widowControl/>
        <w:numPr>
          <w:ilvl w:val="0"/>
          <w:numId w:val="1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представя специфични цели на оповестяванията в подчертан („болд”) шрифт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730387" w:rsidP="00045AA3">
      <w:pPr>
        <w:widowControl/>
        <w:numPr>
          <w:ilvl w:val="0"/>
          <w:numId w:val="11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организира разделите, посветени на оповестяванията в стандартите, на базата на сходни информационни потребности, които целите и изискванията за оповестяване са предвидени да удовлетворяват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 много случаи се очаква този подход да доведе до раздели, посветени на оповестяванията, които са организирани в групи от сходни или свързани цели на </w:t>
      </w:r>
      <w:r w:rsidR="00F614C0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оповестяването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730387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че при изготвяне на проект на целите и изискванията за оповестяване в бъдеще, Съветът следва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045AA3" w:rsidRPr="00F614C0" w:rsidRDefault="00730387" w:rsidP="00045AA3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потърси консултации, включително от екипа по Таксономията на МСФО,</w:t>
      </w:r>
      <w:r w:rsid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 цел идентифициране на взаимовръзките между предложението или предложенията за оповестяване и изискванията в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стандартите </w:t>
      </w:r>
      <w:r w:rsidR="00BC369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 насоките в други публикации на Съвета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(</w:t>
      </w:r>
      <w:r w:rsidR="00BC369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както на етапа на разработване, така и на етапа на изготвяне на проекта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).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C369F" w:rsidP="00045AA3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сведе до минимум дублирането при различните изисквания за оповестяване при изготвяне на проектите на МСФО стандартите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Когато повече от един стандарт съдържа сходни изисквания за оповестяване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изискванията следва да бъдат свързани в степента, в която това е възможно вместо да бъдат дублирани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C97285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C369F" w:rsidP="00045AA3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не прави препратки към нивото на същественост в разделите, посветени на оповестяванията, на отделните МСФО </w:t>
      </w:r>
      <w:r w:rsid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BE466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D94793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Избор на стандарт или стандарти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11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Г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D9479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избере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19 </w:t>
      </w:r>
      <w:r w:rsidR="00D94793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Доходи на наети лица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D9479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13 </w:t>
      </w:r>
      <w:r w:rsidR="00D94793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Оценяване по справедлива стойност,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D9479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за да тества проекта на насоки за Съвета, </w:t>
      </w:r>
      <w:r w:rsidR="00D9479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които да бъдат използвани от него при разработването и изготвянето на проект на изискванията за оповестяване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E4E7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 във връзка с проекта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—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оповестяване на счетоводна политика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 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11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FE4E7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разработи насоки и примери за включване в Изложение за практика по МСФО 2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FE4E7F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Извършване на преценки относно нивото на същественост,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FE4E7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да поясни и демонстрира прилагането на процедурата от четири стъпки за ниво на същественост спрямо оповестяването на счетоводна политика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Десет от четиринадесетте членове на Съвета изразиха съгласие, а четирима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E4E7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Следващи стъпки във връзка с проекта </w:t>
      </w:r>
      <w:r w:rsidR="00045AA3"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—</w:t>
      </w: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място на информацията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11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Е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FE4E7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не разработва изисквания по отношение на информацията по МСФО, предоставяна извън финансовия отчет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Единадесет от четиринадесетте членове на Съвета изразиха съгласие, а двама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Един от членовете на Съвета отсъстваше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E4E7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също така в порядък на работна хипотеза да не разработва изисквания по отношение на информация, която не се изисква от МСФО и която се представя в рамките на финансовия отчет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от четиринадесетте членове на Съвета изразиха съгласие, а един - несъгласие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Един от членовете на Съвета отсъстваше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E4E7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Технологии и дигитално отчитане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(</w:t>
      </w:r>
      <w:r w:rsidR="00F351EF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11</w:t>
      </w:r>
      <w:r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Ж</w:t>
      </w:r>
      <w:r w:rsidR="00045AA3" w:rsidRPr="00F614C0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)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реши в порядък на работна хипотеза</w:t>
      </w:r>
      <w:r w:rsidR="00FE4E7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реагира на обратната информация относно технологиите и дигиталното отчитане във връзка с Инициативата за оповестяване, като включи уместни съображения в насоките за Съвета, които да бъдат използвани при разработването и изготвянето на проект на целите и изискванията за оповестяване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FE4E7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реши също така в порядък на работна хипотеза да не предприема допълнителни действия в </w:t>
      </w:r>
      <w:r w:rsidR="00B922BD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рамките</w:t>
      </w:r>
      <w:r w:rsidR="00FE4E7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проекта относно Принципите на оповестяването</w:t>
      </w:r>
      <w:r w:rsidR="00B922BD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, за да прецени ефекта от технологиите и дигиталното отчитане върху оповестяването на счетоводните политики и върху мястото на информацията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Съветът реши в порядък на работна хипотеза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B922BD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да разгледа въпросите, отнасящи се до по-общите последствия от технологиите за финансово отчитане като част от инициативата на Фондация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B922BD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във връзка с технологиите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B922BD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очаква да продължи на бъдещи свои заседания с обсъжданията си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 тестване на насоките, които Съветът да използва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при разработване и изготвяне на проект на изискванията за оповестяване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B922BD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заседания Съветът очаква да обсъди измененията в Изложения за практика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2 </w:t>
      </w:r>
      <w:r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Извършване на преценки относно нивото на същественост,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за да поясни и демонстрира прилагането на процедурата от четири стъпки за ниво на същественост спрямо оповестяването на счетоводна политика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Наред с това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ще прецени необходимостта от изменение на изискванията относно оповестяванията на счетоводните политики в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паралелно с разработване на насоките и примерите за включване в Изложение за практика по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2.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8" w:name="8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Счетоводни политики и счетоводни приблизителни оценки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26)</w:t>
      </w:r>
      <w:bookmarkEnd w:id="8"/>
    </w:p>
    <w:p w:rsidR="00045AA3" w:rsidRPr="00F614C0" w:rsidRDefault="0083200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бе запознат с обобщение на становищата, получени като обратна информация от членовете на Консултативния форум по счетоводни стандарти (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ASAF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)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във връзка с конкретни аспекти на предложените изменения в </w:t>
      </w:r>
      <w:r w:rsidR="00FC354F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8 </w:t>
      </w:r>
      <w:r w:rsidR="00FC354F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Счетоводни политики</w:t>
      </w:r>
      <w:r w:rsidR="00045AA3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, </w:t>
      </w:r>
      <w:r w:rsidR="00FC354F" w:rsidRPr="00F614C0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промени в счетоводните приблизителни оценки и грешки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 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F351EF" w:rsidP="00045AA3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Следващи стъпки</w:t>
      </w:r>
    </w:p>
    <w:p w:rsidR="00045AA3" w:rsidRPr="00F614C0" w:rsidRDefault="00832004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заседания Съветът ще продължи с обсъжданията си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045AA3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</w:p>
    <w:p w:rsidR="00045AA3" w:rsidRPr="00F614C0" w:rsidRDefault="00FC354F" w:rsidP="00045AA3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9" w:name="9"/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Група </w:t>
      </w:r>
      <w:r w:rsidR="00A53601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з</w:t>
      </w:r>
      <w:r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а възникващите икономики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F351EF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Документ по програмата </w:t>
      </w:r>
      <w:r w:rsidR="00045AA3" w:rsidRPr="00F614C0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28)</w:t>
      </w:r>
      <w:bookmarkEnd w:id="9"/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На 18 юли 2018 г. Съветът по международни счетоводни стандарти („Съветът”) проведе заседание, за да бъде запознат с актуална информация относно ангажирането с Групата </w:t>
      </w:r>
      <w:r w:rsidR="00A53601">
        <w:rPr>
          <w:rFonts w:asciiTheme="minorHAnsi" w:eastAsia="Times New Roman" w:hAnsiTheme="minorHAnsi" w:cs="Helvetica"/>
          <w:color w:val="575757"/>
          <w:szCs w:val="24"/>
          <w:lang w:val="bg-BG"/>
        </w:rPr>
        <w:t>за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възникващите икономики след срещата й през май 2018 г. в Куала Лумпур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045AA3" w:rsidRPr="00F614C0" w:rsidRDefault="00C97285" w:rsidP="00045AA3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Научете повече за </w:t>
      </w:r>
      <w:hyperlink r:id="rId15" w:history="1">
        <w:r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Групата </w:t>
        </w:r>
        <w:r w:rsidR="00A5360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за</w:t>
        </w:r>
        <w:r w:rsidRPr="00F614C0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възникващите икономики</w:t>
        </w:r>
      </w:hyperlink>
      <w:r w:rsidR="00045AA3" w:rsidRPr="00F614C0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84CAA" w:rsidRPr="00F614C0" w:rsidRDefault="00B84CAA">
      <w:pPr>
        <w:rPr>
          <w:rFonts w:asciiTheme="minorHAnsi" w:hAnsiTheme="minorHAnsi"/>
          <w:lang w:val="bg-BG"/>
        </w:rPr>
      </w:pPr>
    </w:p>
    <w:sectPr w:rsidR="00B84CAA" w:rsidRPr="00F614C0" w:rsidSect="0081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0B13"/>
    <w:multiLevelType w:val="multilevel"/>
    <w:tmpl w:val="0680A88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78B2"/>
    <w:multiLevelType w:val="multilevel"/>
    <w:tmpl w:val="455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E56FD"/>
    <w:multiLevelType w:val="multilevel"/>
    <w:tmpl w:val="5D90D05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B59C6"/>
    <w:multiLevelType w:val="multilevel"/>
    <w:tmpl w:val="B20ADF2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360C7"/>
    <w:multiLevelType w:val="multilevel"/>
    <w:tmpl w:val="3410CBF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8015F"/>
    <w:multiLevelType w:val="multilevel"/>
    <w:tmpl w:val="AA0C03F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85A46"/>
    <w:multiLevelType w:val="multilevel"/>
    <w:tmpl w:val="B88A3BB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6413A"/>
    <w:multiLevelType w:val="multilevel"/>
    <w:tmpl w:val="8B2A748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262F9"/>
    <w:multiLevelType w:val="multilevel"/>
    <w:tmpl w:val="CA20B34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15ED3"/>
    <w:multiLevelType w:val="multilevel"/>
    <w:tmpl w:val="446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215F9"/>
    <w:multiLevelType w:val="multilevel"/>
    <w:tmpl w:val="984AEC2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D1504"/>
    <w:multiLevelType w:val="multilevel"/>
    <w:tmpl w:val="8E16831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5AA3"/>
    <w:rsid w:val="00034EC3"/>
    <w:rsid w:val="00045AA3"/>
    <w:rsid w:val="0006304C"/>
    <w:rsid w:val="00063D83"/>
    <w:rsid w:val="000B37A8"/>
    <w:rsid w:val="000C2D21"/>
    <w:rsid w:val="000E4298"/>
    <w:rsid w:val="001100F1"/>
    <w:rsid w:val="001372FD"/>
    <w:rsid w:val="001D2B6E"/>
    <w:rsid w:val="001D3E60"/>
    <w:rsid w:val="00261AA9"/>
    <w:rsid w:val="002D045C"/>
    <w:rsid w:val="00304229"/>
    <w:rsid w:val="00353A76"/>
    <w:rsid w:val="003A1EF4"/>
    <w:rsid w:val="004D3DB8"/>
    <w:rsid w:val="00504CA8"/>
    <w:rsid w:val="005E44EF"/>
    <w:rsid w:val="00730387"/>
    <w:rsid w:val="007E35FC"/>
    <w:rsid w:val="007E5C53"/>
    <w:rsid w:val="007F5C83"/>
    <w:rsid w:val="00817496"/>
    <w:rsid w:val="00832004"/>
    <w:rsid w:val="00874C9A"/>
    <w:rsid w:val="00894499"/>
    <w:rsid w:val="008C74CF"/>
    <w:rsid w:val="00A07A7D"/>
    <w:rsid w:val="00A20BB6"/>
    <w:rsid w:val="00A51353"/>
    <w:rsid w:val="00A53601"/>
    <w:rsid w:val="00A56C43"/>
    <w:rsid w:val="00AB5D10"/>
    <w:rsid w:val="00B84CAA"/>
    <w:rsid w:val="00B85945"/>
    <w:rsid w:val="00B922BD"/>
    <w:rsid w:val="00BC369F"/>
    <w:rsid w:val="00BD7378"/>
    <w:rsid w:val="00BE4663"/>
    <w:rsid w:val="00BE5CE9"/>
    <w:rsid w:val="00BF7FA3"/>
    <w:rsid w:val="00C97285"/>
    <w:rsid w:val="00CA483A"/>
    <w:rsid w:val="00D4390D"/>
    <w:rsid w:val="00D94793"/>
    <w:rsid w:val="00DC4A02"/>
    <w:rsid w:val="00E17B30"/>
    <w:rsid w:val="00E53CAC"/>
    <w:rsid w:val="00EA085C"/>
    <w:rsid w:val="00F23CC4"/>
    <w:rsid w:val="00F351EF"/>
    <w:rsid w:val="00F614C0"/>
    <w:rsid w:val="00FC354F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0CF69-1A51-4855-BB06-AF3F44BF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191">
              <w:marLeft w:val="0"/>
              <w:marRight w:val="0"/>
              <w:marTop w:val="0"/>
              <w:marBottom w:val="0"/>
              <w:divBdr>
                <w:top w:val="single" w:sz="18" w:space="15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uly-2018/" TargetMode="External"/><Relationship Id="rId13" Type="http://schemas.openxmlformats.org/officeDocument/2006/relationships/hyperlink" Target="https://www.ifrs.org/news-and-events/updates/iasb-updates/july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uly-2018/" TargetMode="External"/><Relationship Id="rId12" Type="http://schemas.openxmlformats.org/officeDocument/2006/relationships/hyperlink" Target="https://www.ifrs.org/news-and-events/updates/iasb-updates/july-20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uly-2018/" TargetMode="External"/><Relationship Id="rId11" Type="http://schemas.openxmlformats.org/officeDocument/2006/relationships/hyperlink" Target="https://www.ifrs.org/news-and-events/updates/iasb-updates/july-2018/" TargetMode="External"/><Relationship Id="rId5" Type="http://schemas.openxmlformats.org/officeDocument/2006/relationships/hyperlink" Target="https://www.ifrs.org/news-and-events/updates/iasb-updates/july-2018/" TargetMode="External"/><Relationship Id="rId15" Type="http://schemas.openxmlformats.org/officeDocument/2006/relationships/hyperlink" Target="https://www.ifrs.org/groups/emerging-economies-group/" TargetMode="External"/><Relationship Id="rId10" Type="http://schemas.openxmlformats.org/officeDocument/2006/relationships/hyperlink" Target="https://www.ifrs.org/news-and-events/updates/iasb-updates/july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july-2018/" TargetMode="External"/><Relationship Id="rId14" Type="http://schemas.openxmlformats.org/officeDocument/2006/relationships/hyperlink" Target="https://www.ifrs.org/groups/management-commentary-consultative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3834</Words>
  <Characters>22622</Characters>
  <Application>Microsoft Office Word</Application>
  <DocSecurity>0</DocSecurity>
  <Lines>435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VS</cp:lastModifiedBy>
  <cp:revision>8</cp:revision>
  <dcterms:created xsi:type="dcterms:W3CDTF">2018-08-20T05:18:00Z</dcterms:created>
  <dcterms:modified xsi:type="dcterms:W3CDTF">2018-08-20T13:29:00Z</dcterms:modified>
</cp:coreProperties>
</file>