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FC" w:rsidRPr="005A7BE4" w:rsidRDefault="005A7BE4" w:rsidP="002C56FC">
      <w:pPr>
        <w:pStyle w:val="Heading1"/>
        <w:shd w:val="clear" w:color="auto" w:fill="A41F35"/>
        <w:spacing w:before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5A7BE4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март 2018 г.</w:t>
      </w:r>
    </w:p>
    <w:p w:rsidR="002C56FC" w:rsidRPr="005A7BE4" w:rsidRDefault="002C56FC" w:rsidP="002C56FC">
      <w:pPr>
        <w:widowControl/>
        <w:shd w:val="clear" w:color="auto" w:fill="FFFFFF"/>
        <w:suppressAutoHyphens w:val="0"/>
        <w:outlineLvl w:val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5A7BE4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  <w:t>ASB Update March 2018</w:t>
      </w:r>
    </w:p>
    <w:p w:rsidR="002C56FC" w:rsidRPr="005A7BE4" w:rsidRDefault="005A7BE4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Настоящият бюлетин на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Съвета по международни счетоводни стандарти (IASB) (”Съветът”) представя предварителните решения на Съвета</w:t>
      </w:r>
      <w:proofErr w:type="gramEnd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Окончателните решения на Съвета по международни счетоводни стандарти </w:t>
      </w:r>
      <w:proofErr w:type="gramStart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 :МСФО</w:t>
      </w:r>
      <w:proofErr w:type="gramEnd"/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стандарти (</w:t>
      </w:r>
      <w:r w:rsidR="00081FCA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Pr="00AC41C2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 Standards), </w:t>
      </w:r>
      <w:r w:rsidR="00D440E2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зменения и </w:t>
      </w:r>
      <w:r w:rsidR="00D440E2">
        <w:rPr>
          <w:rFonts w:asciiTheme="minorHAnsi" w:eastAsia="Times New Roman" w:hAnsiTheme="minorHAnsi" w:cs="Helvetica"/>
          <w:color w:val="575757"/>
          <w:szCs w:val="24"/>
          <w:lang w:val="bg-BG"/>
        </w:rPr>
        <w:t>Р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азяснения (IFRIC</w:t>
      </w:r>
      <w:r w:rsidRPr="00AC41C2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AC41C2">
        <w:rPr>
          <w:rFonts w:asciiTheme="minorHAnsi" w:eastAsia="Times New Roman" w:hAnsiTheme="minorHAnsi" w:cs="Helvetica"/>
          <w:i/>
          <w:color w:val="575757"/>
          <w:szCs w:val="24"/>
          <w:lang w:val="bg-BG"/>
        </w:rPr>
        <w:t>Ръководството по регламентираната процедура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Фондация МСФО (</w:t>
      </w:r>
      <w:r w:rsidR="00081FCA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AC41C2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Foundation) и Комитета по разясненията на МСФО (</w:t>
      </w:r>
      <w:r w:rsidR="00D440E2">
        <w:rPr>
          <w:rFonts w:asciiTheme="minorHAnsi" w:eastAsia="Times New Roman" w:hAnsiTheme="minorHAnsi" w:cs="Helvetica"/>
          <w:color w:val="575757"/>
          <w:szCs w:val="24"/>
        </w:rPr>
        <w:t>IFRS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Interpretation Committee)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br/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br/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На 2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1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март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2018 г.,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сряда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и 22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март</w:t>
      </w: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2018 г., четвъртък, Съветът проведе публични заседания в офисите на Фондация МСФО в Лондон, Великобритания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5A7BE4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Темите, по реда на обсъждането им, включваха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6E63F9" w:rsidP="002C56F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5" w:anchor="1" w:history="1">
        <w:r w:rsidR="005A7BE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Инициатива за оповестяване – принципи на оповестяването</w:t>
        </w:r>
      </w:hyperlink>
    </w:p>
    <w:p w:rsidR="002C56FC" w:rsidRPr="005A7BE4" w:rsidRDefault="006E63F9" w:rsidP="002C56F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6" w:anchor="2" w:history="1">
        <w:r w:rsidR="005A7BE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Динамично управление на риска</w:t>
        </w:r>
      </w:hyperlink>
    </w:p>
    <w:p w:rsidR="002C56FC" w:rsidRPr="005A7BE4" w:rsidRDefault="006E63F9" w:rsidP="002C56F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7" w:anchor="3" w:history="1">
        <w:r w:rsidR="005A7BE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Дейности с регулирани цени</w:t>
        </w:r>
      </w:hyperlink>
    </w:p>
    <w:p w:rsidR="002C56FC" w:rsidRPr="005A7BE4" w:rsidRDefault="006E63F9" w:rsidP="002C56F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8" w:anchor="4" w:history="1">
        <w:r w:rsidR="005A7BE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Предложение за изменение на МСС</w:t>
        </w:r>
        <w:r w:rsidR="002C56FC" w:rsidRPr="005A7BE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8 </w:t>
        </w:r>
        <w:r w:rsidR="005A7BE4">
          <w:rPr>
            <w:rFonts w:asciiTheme="minorHAnsi" w:eastAsia="Times New Roman" w:hAnsiTheme="minorHAnsi" w:cs="Helvetica"/>
            <w:i/>
            <w:iCs/>
            <w:color w:val="CD3333"/>
            <w:szCs w:val="24"/>
            <w:lang w:val="bg-BG"/>
          </w:rPr>
          <w:t>Счетоводна политика и счетоводни приблизителни оценки</w:t>
        </w:r>
      </w:hyperlink>
    </w:p>
    <w:p w:rsidR="002C56FC" w:rsidRPr="005A7BE4" w:rsidRDefault="006E63F9" w:rsidP="002C56F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9" w:anchor="5" w:history="1">
        <w:r w:rsidR="005A7BE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Подобрения на МСФО</w:t>
        </w:r>
        <w:r w:rsidR="002C56FC" w:rsidRPr="005A7BE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8 </w:t>
        </w:r>
        <w:r w:rsidR="005A7BE4">
          <w:rPr>
            <w:rFonts w:asciiTheme="minorHAnsi" w:eastAsia="Times New Roman" w:hAnsiTheme="minorHAnsi" w:cs="Helvetica"/>
            <w:i/>
            <w:iCs/>
            <w:color w:val="CD3333"/>
            <w:szCs w:val="24"/>
            <w:lang w:val="bg-BG"/>
          </w:rPr>
          <w:t>Оперативни сегменти</w:t>
        </w:r>
      </w:hyperlink>
    </w:p>
    <w:p w:rsidR="002C56FC" w:rsidRPr="005A7BE4" w:rsidRDefault="006E63F9" w:rsidP="002C56F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10" w:anchor="6" w:history="1">
        <w:r w:rsidR="005A7BE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Преглед след въвеждане на МСФО</w:t>
        </w:r>
        <w:r w:rsidR="002C56FC" w:rsidRPr="005A7BE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13 </w:t>
        </w:r>
        <w:r w:rsidR="005A7BE4">
          <w:rPr>
            <w:rFonts w:asciiTheme="minorHAnsi" w:eastAsia="Times New Roman" w:hAnsiTheme="minorHAnsi" w:cs="Helvetica"/>
            <w:i/>
            <w:iCs/>
            <w:color w:val="CD3333"/>
            <w:szCs w:val="24"/>
            <w:lang w:val="bg-BG"/>
          </w:rPr>
          <w:t>Оценяване по справедлива стойност</w:t>
        </w:r>
      </w:hyperlink>
    </w:p>
    <w:p w:rsidR="002C56FC" w:rsidRPr="005A7BE4" w:rsidRDefault="006E63F9" w:rsidP="002C56F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11" w:anchor="7" w:history="1">
        <w:r w:rsidR="005A7BE4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Коментар на ръководството</w:t>
        </w:r>
      </w:hyperlink>
    </w:p>
    <w:p w:rsidR="002C56FC" w:rsidRPr="005A7BE4" w:rsidRDefault="005A7BE4" w:rsidP="002C56FC">
      <w:pPr>
        <w:widowControl/>
        <w:shd w:val="clear" w:color="auto" w:fill="F6F6F6"/>
        <w:suppressAutoHyphens w:val="0"/>
        <w:spacing w:before="225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Допълнителна </w:t>
      </w:r>
      <w:proofErr w:type="gramStart"/>
      <w:r w:rsidRPr="00AC41C2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информация</w:t>
      </w:r>
      <w:proofErr w:type="gramEnd"/>
    </w:p>
    <w:p w:rsidR="002C56FC" w:rsidRPr="005A7BE4" w:rsidRDefault="005A7BE4" w:rsidP="002C56FC">
      <w:pPr>
        <w:widowControl/>
        <w:shd w:val="clear" w:color="auto" w:fill="F6F6F6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AC41C2">
        <w:rPr>
          <w:rFonts w:asciiTheme="minorHAnsi" w:eastAsia="Times New Roman" w:hAnsiTheme="minorHAnsi" w:cs="Helvetica"/>
          <w:color w:val="575757"/>
          <w:szCs w:val="24"/>
          <w:lang w:val="bg-BG"/>
        </w:rPr>
        <w:t>Предстоящи заседания на Съвета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2C56FC" w:rsidP="002C56FC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5A7BE4">
        <w:rPr>
          <w:rFonts w:asciiTheme="minorHAnsi" w:eastAsia="Times New Roman" w:hAnsiTheme="minorHAnsi" w:cs="Helvetica"/>
          <w:color w:val="333333"/>
          <w:szCs w:val="24"/>
        </w:rPr>
        <w:t xml:space="preserve">23–27 </w:t>
      </w:r>
      <w:r w:rsidR="005A7BE4">
        <w:rPr>
          <w:rFonts w:asciiTheme="minorHAnsi" w:eastAsia="Times New Roman" w:hAnsiTheme="minorHAnsi" w:cs="Helvetica"/>
          <w:color w:val="333333"/>
          <w:szCs w:val="24"/>
          <w:lang w:val="bg-BG"/>
        </w:rPr>
        <w:t>април</w:t>
      </w:r>
      <w:r w:rsidRPr="005A7BE4">
        <w:rPr>
          <w:rFonts w:asciiTheme="minorHAnsi" w:eastAsia="Times New Roman" w:hAnsiTheme="minorHAnsi" w:cs="Helvetica"/>
          <w:color w:val="333333"/>
          <w:szCs w:val="24"/>
        </w:rPr>
        <w:t xml:space="preserve"> 2018</w:t>
      </w:r>
      <w:r w:rsidR="005A7BE4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2C56FC" w:rsidRPr="005A7BE4" w:rsidRDefault="002C56FC" w:rsidP="002C56FC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5A7BE4">
        <w:rPr>
          <w:rFonts w:asciiTheme="minorHAnsi" w:eastAsia="Times New Roman" w:hAnsiTheme="minorHAnsi" w:cs="Helvetica"/>
          <w:color w:val="333333"/>
          <w:szCs w:val="24"/>
        </w:rPr>
        <w:t xml:space="preserve">21–25 </w:t>
      </w:r>
      <w:r w:rsidR="005A7BE4">
        <w:rPr>
          <w:rFonts w:asciiTheme="minorHAnsi" w:eastAsia="Times New Roman" w:hAnsiTheme="minorHAnsi" w:cs="Helvetica"/>
          <w:color w:val="333333"/>
          <w:szCs w:val="24"/>
          <w:lang w:val="bg-BG"/>
        </w:rPr>
        <w:t>май</w:t>
      </w:r>
      <w:r w:rsidRPr="005A7BE4">
        <w:rPr>
          <w:rFonts w:asciiTheme="minorHAnsi" w:eastAsia="Times New Roman" w:hAnsiTheme="minorHAnsi" w:cs="Helvetica"/>
          <w:color w:val="333333"/>
          <w:szCs w:val="24"/>
        </w:rPr>
        <w:t xml:space="preserve"> 2018</w:t>
      </w:r>
      <w:r w:rsidR="005A7BE4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2C56FC" w:rsidRPr="005A7BE4" w:rsidRDefault="002C56FC" w:rsidP="002C56FC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5A7BE4">
        <w:rPr>
          <w:rFonts w:asciiTheme="minorHAnsi" w:eastAsia="Times New Roman" w:hAnsiTheme="minorHAnsi" w:cs="Helvetica"/>
          <w:color w:val="333333"/>
          <w:szCs w:val="24"/>
        </w:rPr>
        <w:t xml:space="preserve">18–22 </w:t>
      </w:r>
      <w:r w:rsidR="005A7BE4">
        <w:rPr>
          <w:rFonts w:asciiTheme="minorHAnsi" w:eastAsia="Times New Roman" w:hAnsiTheme="minorHAnsi" w:cs="Helvetica"/>
          <w:color w:val="333333"/>
          <w:szCs w:val="24"/>
          <w:lang w:val="bg-BG"/>
        </w:rPr>
        <w:t>юни</w:t>
      </w:r>
      <w:r w:rsidRPr="005A7BE4">
        <w:rPr>
          <w:rFonts w:asciiTheme="minorHAnsi" w:eastAsia="Times New Roman" w:hAnsiTheme="minorHAnsi" w:cs="Helvetica"/>
          <w:color w:val="333333"/>
          <w:szCs w:val="24"/>
        </w:rPr>
        <w:t xml:space="preserve"> 2018</w:t>
      </w:r>
      <w:r w:rsidR="005A7BE4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2C56FC" w:rsidRPr="005A7BE4" w:rsidRDefault="00111B90" w:rsidP="002C56FC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0" w:name="_GoBack"/>
      <w:bookmarkStart w:id="1" w:name="1"/>
      <w:bookmarkEnd w:id="0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—</w:t>
      </w:r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принципи на оповестяването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5A7BE4" w:rsidRPr="00111B9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11)</w:t>
      </w:r>
      <w:bookmarkEnd w:id="1"/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 xml:space="preserve">На 21 март 2018 г. Съветът проведе заседание, за да вземе решение </w:t>
      </w: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следващите стъпки в рамките на проекта, посветен на инициативата за оповестяване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—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принципи на оповестяването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E91EAB" w:rsidP="002C56FC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Придаване на приоритет на темите от </w:t>
      </w:r>
      <w:proofErr w:type="gramStart"/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документа за обсъждане </w:t>
      </w:r>
      <w:r w:rsidR="002C56FC" w:rsidRPr="005A7BE4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5A7BE4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</w:t>
      </w:r>
      <w:proofErr w:type="gramEnd"/>
      <w:r w:rsidR="005A7BE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по програмата</w:t>
      </w:r>
      <w:r w:rsidR="002C56FC" w:rsidRPr="005A7BE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11A)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</w:rPr>
        <w:t>Съветът реши в порядък на работна хипотеза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E91EAB">
        <w:rPr>
          <w:rFonts w:asciiTheme="minorHAnsi" w:eastAsia="Times New Roman" w:hAnsiTheme="minorHAnsi" w:cs="Helvetica"/>
          <w:color w:val="575757"/>
          <w:szCs w:val="24"/>
          <w:lang w:val="bg-BG"/>
        </w:rPr>
        <w:t>да разгледа обратната информация, получена по следните теми от Документа за обсъждане в рамките на проекта, посветен на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 </w:t>
      </w:r>
      <w:hyperlink r:id="rId12" w:history="1">
        <w:r w:rsidR="00E91EAB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Основни</w:t>
        </w:r>
      </w:hyperlink>
      <w:r w:rsidR="00E91EAB" w:rsidRPr="00E91EAB"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  <w:t xml:space="preserve"> финансови отчети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E91EAB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 </w:t>
      </w:r>
      <w:r w:rsidR="00E91EAB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не в рамките на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E91EAB"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проекта относно Инициативата за оповестяване – принципи на оповестяването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843CC1" w:rsidP="002C56F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Ролята на основните финансови отчети и на пояснителните приложения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2C56FC" w:rsidRPr="005A7BE4" w:rsidRDefault="00843CC1" w:rsidP="002C56F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Представяне на </w:t>
      </w: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печалбата преди лихви и данъци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(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EBIT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) и на печалбата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преди лихви, данъци и амортизация (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EBITDA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)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2C56FC" w:rsidRPr="005A7BE4" w:rsidRDefault="00843CC1" w:rsidP="002C56F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Представяне на необичайни или рядко срещащи се позиции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2C56FC" w:rsidRPr="005A7BE4" w:rsidRDefault="00843CC1" w:rsidP="002C56F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Достоверно представяне на оценките за резултатите от дейността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proofErr w:type="gramStart"/>
      <w:r>
        <w:rPr>
          <w:rFonts w:asciiTheme="minorHAnsi" w:eastAsia="Times New Roman" w:hAnsiTheme="minorHAnsi" w:cs="Helvetica"/>
          <w:color w:val="575757"/>
          <w:szCs w:val="24"/>
        </w:rPr>
        <w:t>Всичките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четиринадесет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  <w:proofErr w:type="gramEnd"/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</w:rPr>
        <w:t>Съветът реши в порядък на работна хипотеза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43CC1">
        <w:rPr>
          <w:rFonts w:asciiTheme="minorHAnsi" w:eastAsia="Times New Roman" w:hAnsiTheme="minorHAnsi" w:cs="Helvetica"/>
          <w:color w:val="575757"/>
          <w:szCs w:val="24"/>
          <w:lang w:val="bg-BG"/>
        </w:rPr>
        <w:t>да не продължава работата по следните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43CC1">
        <w:rPr>
          <w:rFonts w:asciiTheme="minorHAnsi" w:eastAsia="Times New Roman" w:hAnsiTheme="minorHAnsi" w:cs="Helvetica"/>
          <w:color w:val="575757"/>
          <w:szCs w:val="24"/>
          <w:lang w:val="bg-BG"/>
        </w:rPr>
        <w:t>теми от Документа за обсъждане в рамките на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проекта, посветен на инициативата за оповестяване</w:t>
      </w:r>
      <w:r w:rsidRPr="005A7BE4">
        <w:rPr>
          <w:rFonts w:asciiTheme="minorHAnsi" w:eastAsia="Times New Roman" w:hAnsiTheme="minorHAnsi" w:cs="Helvetica"/>
          <w:color w:val="575757"/>
          <w:szCs w:val="24"/>
        </w:rPr>
        <w:t>—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принципи на оповестяването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843CC1" w:rsidP="002C56FC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Насоки </w:t>
      </w: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използването на форматиране във финансовите отчети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2C56FC" w:rsidRPr="005A7BE4" w:rsidRDefault="00843CC1" w:rsidP="002C56FC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Насоки </w:t>
      </w: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мястото на оповестяванията на счетоводната политика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2C56FC" w:rsidRPr="005A7BE4" w:rsidRDefault="00843CC1" w:rsidP="002C56FC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Мястото на целите и изискванията за оповестяване в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081FCA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стандартите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843CC1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 допълнение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081FCA">
        <w:rPr>
          <w:rFonts w:asciiTheme="minorHAnsi" w:eastAsia="Times New Roman" w:hAnsiTheme="minorHAnsi" w:cs="Helvetica"/>
          <w:color w:val="575757"/>
          <w:szCs w:val="24"/>
        </w:rPr>
        <w:t>Съветът реши в порядък на работна хипотеза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да не пояснява използването на „представя” и „оповестява” в </w:t>
      </w:r>
      <w:r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стандартите</w:t>
      </w:r>
      <w:r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като отделна дейност, а вместо това да разгледа обратната информация във връзка с използването на тези термини, когато разглежда въпроса как Съветът изготвя </w:t>
      </w:r>
      <w:r w:rsidR="00E01F8A"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проектите на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стандартите</w:t>
      </w:r>
      <w:r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(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виж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5A7BE4"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11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Б по-долу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).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proofErr w:type="gramStart"/>
      <w:r>
        <w:rPr>
          <w:rFonts w:asciiTheme="minorHAnsi" w:eastAsia="Times New Roman" w:hAnsiTheme="minorHAnsi" w:cs="Helvetica"/>
          <w:color w:val="575757"/>
          <w:szCs w:val="24"/>
        </w:rPr>
        <w:t>Всичките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четиринадесет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  <w:proofErr w:type="gramEnd"/>
    </w:p>
    <w:p w:rsidR="002C56FC" w:rsidRPr="005A7BE4" w:rsidRDefault="00E01F8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реши, че екипът следва да извърши допълнителен анализ </w:t>
      </w: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това дали и как да продължи по-нататък работата по следните теми от Документа за обсъждане за дискутиране на следващо заседание на Съвета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E01F8A" w:rsidP="002C56FC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Мястото на информацията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т.е. МСФО </w:t>
      </w: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информация извън финансовия отчет и не-МСФО информация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във финансовия отчет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);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2C56FC" w:rsidRPr="005A7BE4" w:rsidRDefault="00E01F8A" w:rsidP="002C56FC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Кои счетоводни политики да бъдат оповестявани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  <w:proofErr w:type="gramEnd"/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proofErr w:type="gramStart"/>
      <w:r>
        <w:rPr>
          <w:rFonts w:asciiTheme="minorHAnsi" w:eastAsia="Times New Roman" w:hAnsiTheme="minorHAnsi" w:cs="Helvetica"/>
          <w:color w:val="575757"/>
          <w:szCs w:val="24"/>
        </w:rPr>
        <w:lastRenderedPageBreak/>
        <w:t>Всичките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четиринадесет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  <w:proofErr w:type="gramEnd"/>
    </w:p>
    <w:p w:rsidR="002C56FC" w:rsidRPr="005A7BE4" w:rsidRDefault="00E01F8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реши, че </w:t>
      </w:r>
      <w:r w:rsidR="00612DD9">
        <w:rPr>
          <w:rFonts w:asciiTheme="minorHAnsi" w:eastAsia="Times New Roman" w:hAnsiTheme="minorHAnsi" w:cs="Helvetica"/>
          <w:color w:val="575757"/>
          <w:szCs w:val="24"/>
          <w:lang w:val="bg-BG"/>
        </w:rPr>
        <w:t>екипът следва да изготви обобщение на взаимовръзк</w:t>
      </w:r>
      <w:r w:rsidR="0007093B">
        <w:rPr>
          <w:rFonts w:asciiTheme="minorHAnsi" w:eastAsia="Times New Roman" w:hAnsiTheme="minorHAnsi" w:cs="Helvetica"/>
          <w:color w:val="575757"/>
          <w:szCs w:val="24"/>
          <w:lang w:val="bg-BG"/>
        </w:rPr>
        <w:t>ата</w:t>
      </w:r>
      <w:r w:rsidR="00612DD9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между проектите на Съвета</w:t>
      </w:r>
      <w:proofErr w:type="gramEnd"/>
      <w:r w:rsidR="00612DD9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за по-добра комуникация, което да бъде обсъдено на следващо заседание на Съвета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proofErr w:type="gramStart"/>
      <w:r>
        <w:rPr>
          <w:rFonts w:asciiTheme="minorHAnsi" w:eastAsia="Times New Roman" w:hAnsiTheme="minorHAnsi" w:cs="Helvetica"/>
          <w:color w:val="575757"/>
          <w:szCs w:val="24"/>
        </w:rPr>
        <w:t>Всичките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четиринадесет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  <w:proofErr w:type="gramEnd"/>
    </w:p>
    <w:p w:rsidR="002C56FC" w:rsidRPr="005A7BE4" w:rsidRDefault="00E01F8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реши, че </w:t>
      </w:r>
      <w:r w:rsidR="00612DD9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екипът следва да извърши допълнителен анализ </w:t>
      </w:r>
      <w:proofErr w:type="gramStart"/>
      <w:r w:rsidR="00612DD9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 w:rsidR="00612DD9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това дали и как да разгледа ефекта от технологиите и дигиталното отчитане в рамките на обхвата на проекта „Принципи на оповестяването”, който </w:t>
      </w:r>
      <w:r w:rsidR="006C3783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анализ </w:t>
      </w:r>
      <w:r w:rsidR="00612DD9">
        <w:rPr>
          <w:rFonts w:asciiTheme="minorHAnsi" w:eastAsia="Times New Roman" w:hAnsiTheme="minorHAnsi" w:cs="Helvetica"/>
          <w:color w:val="575757"/>
          <w:szCs w:val="24"/>
          <w:lang w:val="bg-BG"/>
        </w:rPr>
        <w:t>да бъде обсъден на бъдещо заседание на Съвета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proofErr w:type="gramStart"/>
      <w:r>
        <w:rPr>
          <w:rFonts w:asciiTheme="minorHAnsi" w:eastAsia="Times New Roman" w:hAnsiTheme="minorHAnsi" w:cs="Helvetica"/>
          <w:color w:val="575757"/>
          <w:szCs w:val="24"/>
        </w:rPr>
        <w:t>Всичките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четиринадесет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  <w:proofErr w:type="gramEnd"/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</w:rPr>
        <w:t>Съветът реши в порядък на работна хипотеза</w:t>
      </w:r>
      <w:r w:rsidR="006C3783">
        <w:rPr>
          <w:rFonts w:asciiTheme="minorHAnsi" w:eastAsia="Times New Roman" w:hAnsiTheme="minorHAnsi" w:cs="Helvetica"/>
          <w:color w:val="575757"/>
          <w:szCs w:val="24"/>
          <w:lang w:val="bg-BG"/>
        </w:rPr>
        <w:t>, че ще разгледа въпроса дали да извърши допълнителна работа във връзка с нивото на същественост, когато Съветът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6C3783" w:rsidP="002C56FC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разполага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с повече информация относно практическия ефект от неотдавнашните публикации на Съвета, включително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Изложение за практика</w:t>
      </w:r>
      <w:r w:rsidR="002C56FC" w:rsidRPr="005A7BE4">
        <w:rPr>
          <w:rFonts w:asciiTheme="minorHAnsi" w:eastAsia="Times New Roman" w:hAnsiTheme="minorHAnsi" w:cs="Helvetica"/>
          <w:i/>
          <w:iCs/>
          <w:color w:val="333333"/>
          <w:szCs w:val="24"/>
        </w:rPr>
        <w:t xml:space="preserve"> 2: </w:t>
      </w:r>
      <w:r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Извършване на преценки относно нивото на същественост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 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 </w:t>
      </w:r>
      <w:r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По-добра комуникация при финансовото отчитане</w:t>
      </w:r>
      <w:r w:rsidR="002C56FC" w:rsidRPr="005A7BE4">
        <w:rPr>
          <w:rFonts w:asciiTheme="minorHAnsi" w:eastAsia="Times New Roman" w:hAnsiTheme="minorHAnsi" w:cs="Helvetica"/>
          <w:i/>
          <w:iCs/>
          <w:color w:val="333333"/>
          <w:szCs w:val="24"/>
        </w:rPr>
        <w:t xml:space="preserve">: </w:t>
      </w:r>
      <w:r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да направим оповестяванията по-съдържателни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2C56FC" w:rsidRPr="005A7BE4" w:rsidRDefault="006C3783" w:rsidP="002C56FC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е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отбелязал напредък във връзка с отделния проект, посветен на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 </w:t>
      </w:r>
      <w:hyperlink r:id="rId13" w:history="1">
        <w:r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Инициатива за оповестяване – дефиниция на същественост</w:t>
        </w:r>
        <w:r w:rsidR="002C56FC" w:rsidRPr="005A7BE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(</w:t>
        </w:r>
        <w:r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изменения в </w:t>
        </w:r>
        <w:r w:rsidR="00081FCA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>МСС</w:t>
        </w:r>
        <w:r w:rsidR="002C56FC" w:rsidRPr="005A7BE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1 </w:t>
        </w:r>
        <w:r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и</w:t>
        </w:r>
        <w:r w:rsidR="002C56FC" w:rsidRPr="005A7BE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</w:t>
        </w:r>
        <w:r w:rsidR="00081FCA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>МСС</w:t>
        </w:r>
        <w:r w:rsidR="002C56FC" w:rsidRPr="005A7BE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8)</w:t>
        </w:r>
      </w:hyperlink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proofErr w:type="gramStart"/>
      <w:r>
        <w:rPr>
          <w:rFonts w:asciiTheme="minorHAnsi" w:eastAsia="Times New Roman" w:hAnsiTheme="minorHAnsi" w:cs="Helvetica"/>
          <w:color w:val="575757"/>
          <w:szCs w:val="24"/>
        </w:rPr>
        <w:t>Всичките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четиринадесет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  <w:proofErr w:type="gramEnd"/>
    </w:p>
    <w:p w:rsidR="002C56FC" w:rsidRPr="005A7BE4" w:rsidRDefault="000F5E03" w:rsidP="002C56FC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Проблемът във връзка с оповестяванията </w:t>
      </w:r>
      <w:r w:rsidR="002C56FC" w:rsidRPr="005A7BE4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5A7BE4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11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2C56FC" w:rsidRPr="005A7BE4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2C56FC" w:rsidRPr="005A7BE4" w:rsidRDefault="00E01F8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да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0F5E03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извърши </w:t>
      </w:r>
      <w:hyperlink r:id="rId14" w:history="1">
        <w:r w:rsidR="000F5E03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целеви преглед на ниво стандарти на изискванията за оповестяване</w:t>
        </w:r>
      </w:hyperlink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0F5E03">
        <w:rPr>
          <w:rFonts w:asciiTheme="minorHAnsi" w:eastAsia="Times New Roman" w:hAnsiTheme="minorHAnsi" w:cs="Helvetica"/>
          <w:color w:val="575757"/>
          <w:szCs w:val="24"/>
          <w:lang w:val="bg-BG"/>
        </w:rPr>
        <w:t>По-конкретно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081FCA">
        <w:rPr>
          <w:rFonts w:asciiTheme="minorHAnsi" w:eastAsia="Times New Roman" w:hAnsiTheme="minorHAnsi" w:cs="Helvetica"/>
          <w:color w:val="575757"/>
          <w:szCs w:val="24"/>
        </w:rPr>
        <w:t>Съветът реши в порядък на работна хипотеза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0F5E03" w:rsidP="002C56FC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разработи насоки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>, които да бъдат използвани от самия Съвет, при разработването и изготвянето на проекта на изискванията за оповестяване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081FCA">
        <w:rPr>
          <w:rFonts w:asciiTheme="minorHAnsi" w:eastAsia="Times New Roman" w:hAnsiTheme="minorHAnsi" w:cs="Helvetica"/>
          <w:color w:val="333333"/>
          <w:szCs w:val="24"/>
        </w:rPr>
        <w:t>Съветът реши в порядък на работна хипотеза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>да разработи тези насоки като комплект от решения на Съвета и да получи формална обратна информация от заинтересованите лица, когато насоките се използват впоследствие като част от процеса по изготвяне и въвеждане на стандартите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2C56FC" w:rsidRPr="005A7BE4" w:rsidRDefault="000F5E03" w:rsidP="002C56FC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идентифицира един или два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081FCA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>стандарта, върху които да тества насоките, изготвени за Съвета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2C56FC" w:rsidRPr="005A7BE4" w:rsidRDefault="000F5E03" w:rsidP="002C56FC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тества насоките за Съвета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>, като ги приложи по отношение на стандарта или стандартите, идентифицирани в подточка (б)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Целта на прилагане на насоките върху </w:t>
      </w:r>
      <w:proofErr w:type="gramStart"/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>стандарта или стандартите</w:t>
      </w:r>
      <w:proofErr w:type="gramEnd"/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е да се подобрят съдържащите се в тях изисквания за оповестяване, с оглед да се помогне на заинтересованите лица да повишат 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>полезността на оповестяванията, предоставяни на основните потребители на финансовите отчети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Целта няма да </w:t>
      </w:r>
      <w:r w:rsidR="00C3022D">
        <w:rPr>
          <w:rFonts w:asciiTheme="minorHAnsi" w:eastAsia="Times New Roman" w:hAnsiTheme="minorHAnsi" w:cs="Helvetica"/>
          <w:color w:val="333333"/>
          <w:szCs w:val="24"/>
          <w:lang w:val="bg-BG"/>
        </w:rPr>
        <w:t>бъде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да се промени обемът на изискванията за оповестяване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>макар да е възможно това да е определено последствие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2C56FC" w:rsidRPr="005A7BE4" w:rsidRDefault="000F5E03" w:rsidP="002C56FC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изготви Проект за обсъждане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>на измененията в изискванията за оповестяванията, съдържащи се в стандарта или стандартите, идентифицирани в подточка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>б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). </w:t>
      </w:r>
      <w:r w:rsidR="00081FCA">
        <w:rPr>
          <w:rFonts w:asciiTheme="minorHAnsi" w:eastAsia="Times New Roman" w:hAnsiTheme="minorHAnsi" w:cs="Helvetica"/>
          <w:color w:val="333333"/>
          <w:szCs w:val="24"/>
        </w:rPr>
        <w:t>Съветът реши в порядък на работна хипотеза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, че Основанието за заключения на Проекта за обсъждане ще включва описание на </w:t>
      </w:r>
      <w:r w:rsidR="0007093B">
        <w:rPr>
          <w:rFonts w:asciiTheme="minorHAnsi" w:eastAsia="Times New Roman" w:hAnsiTheme="minorHAnsi" w:cs="Helvetica"/>
          <w:color w:val="333333"/>
          <w:szCs w:val="24"/>
          <w:lang w:val="bg-BG"/>
        </w:rPr>
        <w:t>възприетия</w:t>
      </w:r>
      <w:r w:rsidR="00383DE7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 Съвета подход</w:t>
      </w:r>
      <w:r w:rsidR="0007093B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за разработване на изменения в изискванията за оповестяване, за да се даде възможност на заинтересованите лица да направят коментари относно насоките за Съвета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proofErr w:type="gramStart"/>
      <w:r>
        <w:rPr>
          <w:rFonts w:asciiTheme="minorHAnsi" w:eastAsia="Times New Roman" w:hAnsiTheme="minorHAnsi" w:cs="Helvetica"/>
          <w:color w:val="575757"/>
          <w:szCs w:val="24"/>
        </w:rPr>
        <w:t>Всичките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четиринадесет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  <w:proofErr w:type="gramEnd"/>
    </w:p>
    <w:p w:rsidR="002C56FC" w:rsidRPr="005A7BE4" w:rsidRDefault="005A7BE4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2C56FC" w:rsidRPr="005A7BE4" w:rsidRDefault="000F5E03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заседание Съветът ще обсъди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07093B" w:rsidP="002C56FC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взаимовръзката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между проектите за по-добра комуникация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2C56FC" w:rsidRPr="005A7BE4" w:rsidRDefault="0007093B" w:rsidP="002C56FC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дали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 как допълнително да разгледа съображенията в Документа за обсъждане относно мястото на информацията и кои счетоводни политики да бъдат оповестявани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2C56FC" w:rsidRPr="005A7BE4" w:rsidRDefault="0007093B" w:rsidP="002C56FC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дали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 как да разгледа ефекта от технологиите и дигиталното отчитане в рамките на обхвата на този проект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2C56FC" w:rsidRPr="005A7BE4" w:rsidRDefault="0007093B" w:rsidP="002C56FC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съдържанието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насоките, които Съветът да използва при разработване и изготвяне на проекта на изискванията за оповестяване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2C56FC" w:rsidRPr="005A7BE4" w:rsidRDefault="0007093B" w:rsidP="002C56FC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кой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стандарт или кои стандарти следва да бъдат обект на целевия преглед на ниво стандарти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 </w:t>
      </w:r>
    </w:p>
    <w:p w:rsidR="002C56FC" w:rsidRPr="005A7BE4" w:rsidRDefault="002C56FC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5A7BE4">
        <w:rPr>
          <w:rFonts w:asciiTheme="minorHAnsi" w:eastAsia="Times New Roman" w:hAnsiTheme="minorHAnsi" w:cs="Helvetica"/>
          <w:b/>
          <w:bCs/>
          <w:color w:val="575757"/>
          <w:szCs w:val="24"/>
        </w:rPr>
        <w:t> </w:t>
      </w:r>
    </w:p>
    <w:p w:rsidR="002C56FC" w:rsidRPr="005A7BE4" w:rsidRDefault="006A1ADF" w:rsidP="002C56FC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2" w:name="2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Динамично управление на риска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4)</w:t>
      </w:r>
      <w:bookmarkEnd w:id="2"/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22 март 2018 г. Съветът по международни счетоводни стандарти (</w:t>
      </w:r>
      <w:r w:rsidR="00C3022D">
        <w:rPr>
          <w:rFonts w:asciiTheme="minorHAnsi" w:eastAsia="Times New Roman" w:hAnsiTheme="minorHAnsi" w:cs="Helvetica"/>
          <w:color w:val="575757"/>
          <w:szCs w:val="24"/>
          <w:lang w:val="bg-BG"/>
        </w:rPr>
        <w:t>„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C3022D">
        <w:rPr>
          <w:rFonts w:asciiTheme="minorHAnsi" w:eastAsia="Times New Roman" w:hAnsiTheme="minorHAnsi" w:cs="Helvetica"/>
          <w:color w:val="575757"/>
          <w:szCs w:val="24"/>
          <w:lang w:val="bg-BG"/>
        </w:rPr>
        <w:t>”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) проведе заседание, за да обсъди </w:t>
      </w:r>
      <w:r w:rsidR="00AF7916">
        <w:rPr>
          <w:rFonts w:asciiTheme="minorHAnsi" w:eastAsia="Times New Roman" w:hAnsiTheme="minorHAnsi" w:cs="Helvetica"/>
          <w:color w:val="575757"/>
          <w:szCs w:val="24"/>
          <w:lang w:val="bg-BG"/>
        </w:rPr>
        <w:t>целевия профил – една от основните области на счетоводния модел на динамично управление на риска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AF7916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бе запознат и с обобщение на проведените до момента обсъждания в </w:t>
      </w:r>
      <w:r w:rsidR="005A7BE4"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4A,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който бе предоставен единствено с информационна цел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Не бяха вземани никакви решения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AF7916" w:rsidP="002C56FC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Целеви профил</w:t>
      </w:r>
      <w:r w:rsidR="002C56FC" w:rsidRPr="005A7BE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(</w:t>
      </w:r>
      <w:r w:rsidR="005A7BE4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4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2C56FC" w:rsidRPr="005A7BE4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2C56FC" w:rsidRPr="005A7BE4" w:rsidRDefault="00E01F8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обсъди </w:t>
      </w:r>
      <w:r w:rsidR="00AF7916">
        <w:rPr>
          <w:rFonts w:asciiTheme="minorHAnsi" w:eastAsia="Times New Roman" w:hAnsiTheme="minorHAnsi" w:cs="Helvetica"/>
          <w:color w:val="575757"/>
          <w:szCs w:val="24"/>
          <w:lang w:val="bg-BG"/>
        </w:rPr>
        <w:t>ролята на целевия профил в модела на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AF7916">
        <w:rPr>
          <w:rFonts w:asciiTheme="minorHAnsi" w:eastAsia="Times New Roman" w:hAnsiTheme="minorHAnsi" w:cs="Helvetica"/>
          <w:color w:val="575757"/>
          <w:szCs w:val="24"/>
          <w:lang w:val="bg-BG"/>
        </w:rPr>
        <w:t>динамично управление на риска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1629C1">
        <w:rPr>
          <w:rFonts w:asciiTheme="minorHAnsi" w:eastAsia="Times New Roman" w:hAnsiTheme="minorHAnsi" w:cs="Helvetica"/>
          <w:color w:val="575757"/>
          <w:szCs w:val="24"/>
          <w:lang w:val="bg-BG"/>
        </w:rPr>
        <w:t>В частност, Съветът обсъди какво е целеви профил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1629C1">
        <w:rPr>
          <w:rFonts w:asciiTheme="minorHAnsi" w:eastAsia="Times New Roman" w:hAnsiTheme="minorHAnsi" w:cs="Helvetica"/>
          <w:color w:val="575757"/>
          <w:szCs w:val="24"/>
          <w:lang w:val="bg-BG"/>
        </w:rPr>
        <w:t>как се определя той, съответствие</w:t>
      </w:r>
      <w:r w:rsidR="00C3022D">
        <w:rPr>
          <w:rFonts w:asciiTheme="minorHAnsi" w:eastAsia="Times New Roman" w:hAnsiTheme="minorHAnsi" w:cs="Helvetica"/>
          <w:color w:val="575757"/>
          <w:szCs w:val="24"/>
          <w:lang w:val="bg-BG"/>
        </w:rPr>
        <w:t>то</w:t>
      </w:r>
      <w:r w:rsidR="001629C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профила на активите с целевия профил и времевия хоризонт на целевия профил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1629C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В </w:t>
      </w:r>
      <w:r w:rsidR="001629C1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 xml:space="preserve">документа се разглежда накратко и възможността </w:t>
      </w:r>
      <w:r w:rsidR="00C3022D">
        <w:rPr>
          <w:rFonts w:asciiTheme="minorHAnsi" w:eastAsia="Times New Roman" w:hAnsiTheme="minorHAnsi" w:cs="Helvetica"/>
          <w:color w:val="575757"/>
          <w:szCs w:val="24"/>
          <w:lang w:val="bg-BG"/>
        </w:rPr>
        <w:t>з</w:t>
      </w:r>
      <w:r w:rsidR="001629C1">
        <w:rPr>
          <w:rFonts w:asciiTheme="minorHAnsi" w:eastAsia="Times New Roman" w:hAnsiTheme="minorHAnsi" w:cs="Helvetica"/>
          <w:color w:val="575757"/>
          <w:szCs w:val="24"/>
          <w:lang w:val="bg-BG"/>
        </w:rPr>
        <w:t>а степенуване на стратегиите наред с други въпроси, които биха били уместни за обсъждане на следващи заседания на Съвета</w:t>
      </w:r>
      <w:r w:rsidR="001629C1" w:rsidRPr="001629C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1629C1">
        <w:rPr>
          <w:rFonts w:asciiTheme="minorHAnsi" w:eastAsia="Times New Roman" w:hAnsiTheme="minorHAnsi" w:cs="Helvetica"/>
          <w:color w:val="575757"/>
          <w:szCs w:val="24"/>
          <w:lang w:val="bg-BG"/>
        </w:rPr>
        <w:t>във връзка с целевия профил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</w:rPr>
        <w:t>Съветът реши в порядък на работна хипотеза</w:t>
      </w:r>
      <w:r w:rsidR="001629C1">
        <w:rPr>
          <w:rFonts w:asciiTheme="minorHAnsi" w:eastAsia="Times New Roman" w:hAnsiTheme="minorHAnsi" w:cs="Helvetica"/>
          <w:color w:val="575757"/>
          <w:szCs w:val="24"/>
          <w:lang w:val="bg-BG"/>
        </w:rPr>
        <w:t>, че екипът следва да продължи да разработва модела на базата на следното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1629C1" w:rsidP="002C56FC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Целевият профил представлява целта на ръководството по отношение на даден профил на активите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2C56FC" w:rsidRPr="005A7BE4" w:rsidRDefault="001629C1" w:rsidP="002C56FC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Стратегията на предприятието за управление на риска следва да дефинира целевия профил, вземайки под внимание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:</w:t>
      </w:r>
    </w:p>
    <w:p w:rsidR="002C56FC" w:rsidRPr="005A7BE4" w:rsidRDefault="001629C1" w:rsidP="002C56FC">
      <w:pPr>
        <w:widowControl/>
        <w:numPr>
          <w:ilvl w:val="1"/>
          <w:numId w:val="9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договорните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условия на финансовите задължения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2C56FC" w:rsidRPr="005A7BE4" w:rsidRDefault="001629C1" w:rsidP="002C56FC">
      <w:pPr>
        <w:widowControl/>
        <w:numPr>
          <w:ilvl w:val="1"/>
          <w:numId w:val="9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подхода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предприятието по отношение на базовите депозити, когато има такива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1629C1" w:rsidP="002C56FC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Номиналните стойности на профила на активите и целевия профил трябва да съвпадат, което обаче не важи за сроковете до падеж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2C56FC" w:rsidRPr="005A7BE4" w:rsidRDefault="001629C1" w:rsidP="002C56FC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Временният хоризонт на целевия профил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е срокът от време, в </w:t>
      </w: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течение на който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предприятието управлява </w:t>
      </w:r>
      <w:r w:rsidR="005711E5">
        <w:rPr>
          <w:rFonts w:asciiTheme="minorHAnsi" w:eastAsia="Times New Roman" w:hAnsiTheme="minorHAnsi" w:cs="Helvetica"/>
          <w:color w:val="333333"/>
          <w:szCs w:val="24"/>
          <w:lang w:val="bg-BG"/>
        </w:rPr>
        <w:t>лихвения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риск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proofErr w:type="gramStart"/>
      <w:r>
        <w:rPr>
          <w:rFonts w:asciiTheme="minorHAnsi" w:eastAsia="Times New Roman" w:hAnsiTheme="minorHAnsi" w:cs="Helvetica"/>
          <w:color w:val="575757"/>
          <w:szCs w:val="24"/>
        </w:rPr>
        <w:t>Всичките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  <w:proofErr w:type="gramEnd"/>
    </w:p>
    <w:p w:rsidR="002C56FC" w:rsidRPr="005A7BE4" w:rsidRDefault="005A7BE4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2C56FC" w:rsidRPr="005A7BE4" w:rsidRDefault="005711E5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През април екипът планира да обсъди критериите за допустимост по отношение на позициите в рамките на целевия профил и динамичния характер на модела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2C56FC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5A7BE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C56FC" w:rsidRPr="005A7BE4" w:rsidRDefault="006A1ADF" w:rsidP="002C56FC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3" w:name="3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Дейности с регулирани цени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9)</w:t>
      </w:r>
      <w:bookmarkEnd w:id="3"/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22 март 2018 г. Съветът проведе заседание, за да обсъди </w:t>
      </w:r>
      <w:r w:rsidR="003C33D3">
        <w:rPr>
          <w:rFonts w:asciiTheme="minorHAnsi" w:eastAsia="Times New Roman" w:hAnsiTheme="minorHAnsi" w:cs="Helvetica"/>
          <w:color w:val="575757"/>
          <w:szCs w:val="24"/>
          <w:lang w:val="bg-BG"/>
        </w:rPr>
        <w:t>възможния счетоводен модел, който се разработва по отношение на дейности, обект на регулация за определяне на цените/тарифите</w:t>
      </w:r>
      <w:r w:rsidR="003C33D3" w:rsidRPr="005A7BE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3C33D3">
        <w:rPr>
          <w:rFonts w:asciiTheme="minorHAnsi" w:eastAsia="Times New Roman" w:hAnsiTheme="minorHAnsi" w:cs="Helvetica"/>
          <w:color w:val="575757"/>
          <w:szCs w:val="24"/>
          <w:lang w:val="bg-BG"/>
        </w:rPr>
        <w:t>В частност, Съветът обсъди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3C33D3" w:rsidP="002C56FC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Кои характеристики на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регулацията за определяне на цените/тарифите</w:t>
      </w:r>
      <w:r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са както необходими, така и достатъчни,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за възникването на регулаторни активи и регулаторни пасиви и следователно трябва да дефинират обхвата на модела за признаване и оценяване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 w:rsidR="005A7BE4">
        <w:rPr>
          <w:rFonts w:asciiTheme="minorHAnsi" w:eastAsia="Times New Roman" w:hAnsiTheme="minorHAnsi" w:cs="Helvetica"/>
          <w:color w:val="333333"/>
          <w:szCs w:val="24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 9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Б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);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</w:t>
      </w:r>
    </w:p>
    <w:p w:rsidR="002C56FC" w:rsidRPr="005A7BE4" w:rsidRDefault="003C33D3" w:rsidP="002C56FC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Критериите за признаване на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регулаторни активи и регулаторни пасиви във финансовия отчет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 w:rsidR="005A7BE4">
        <w:rPr>
          <w:rFonts w:asciiTheme="minorHAnsi" w:eastAsia="Times New Roman" w:hAnsiTheme="minorHAnsi" w:cs="Helvetica"/>
          <w:color w:val="333333"/>
          <w:szCs w:val="24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9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).</w:t>
      </w:r>
    </w:p>
    <w:p w:rsidR="002C56FC" w:rsidRPr="005A7BE4" w:rsidRDefault="002B104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 xml:space="preserve">Съветът </w:t>
      </w:r>
      <w:r w:rsidR="00A941CF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бе запознат и с основна информация </w:t>
      </w:r>
      <w:proofErr w:type="gramStart"/>
      <w:r w:rsidR="00A941CF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 w:rsidR="00A941CF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счетоводния модел с обобщение на взетите до момента в порядък на работна хипотеза решения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5A7BE4"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9A, </w:t>
      </w:r>
      <w:r w:rsidR="00A941CF">
        <w:rPr>
          <w:rFonts w:asciiTheme="minorHAnsi" w:eastAsia="Times New Roman" w:hAnsiTheme="minorHAnsi" w:cs="Helvetica"/>
          <w:color w:val="575757"/>
          <w:szCs w:val="24"/>
          <w:lang w:val="bg-BG"/>
        </w:rPr>
        <w:t>който бе предоставен единствено с цел информация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).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</w:rPr>
        <w:t>Съветът реши в порядък на работна хипотеза</w:t>
      </w:r>
      <w:r w:rsidR="00A941CF">
        <w:rPr>
          <w:rFonts w:asciiTheme="minorHAnsi" w:eastAsia="Times New Roman" w:hAnsiTheme="minorHAnsi" w:cs="Helvetica"/>
          <w:color w:val="575757"/>
          <w:szCs w:val="24"/>
          <w:lang w:val="bg-BG"/>
        </w:rPr>
        <w:t>, че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A941CF" w:rsidP="002C56FC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Счетоводният модел следва да се прилага по отношение на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регулация за определяне на цените/тарифите, установена посредством формална регулаторна рамка, която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:</w:t>
      </w:r>
    </w:p>
    <w:p w:rsidR="002C56FC" w:rsidRPr="005A7BE4" w:rsidRDefault="00A941CF" w:rsidP="002C56FC">
      <w:pPr>
        <w:widowControl/>
        <w:numPr>
          <w:ilvl w:val="1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е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обвързваща, както за предприятието, така и за регулаторния орган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2C56FC" w:rsidRPr="005A7BE4" w:rsidRDefault="00A941CF" w:rsidP="002C56FC">
      <w:pPr>
        <w:widowControl/>
        <w:numPr>
          <w:ilvl w:val="1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установява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база за определяне на цената/тарифата за конкретни стоки и услуги, която включва механизъм за коригиране на цените/тарифите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Този механизъм създава и впоследствие сторнира права и задължения, предизвикани от това, че регулираната цена/тарифа в един </w:t>
      </w: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период, включва суми, отнасящи се до конкретно посочени дейности, които предприятието извършва в друг период</w:t>
      </w:r>
      <w:proofErr w:type="gramEnd"/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</w:t>
      </w:r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 а един - несъгласие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A941CF" w:rsidP="00A941C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(</w:t>
      </w: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б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)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ab/>
        <w:t>Счетоводният модел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:</w:t>
      </w:r>
    </w:p>
    <w:p w:rsidR="002C56FC" w:rsidRPr="005A7BE4" w:rsidRDefault="00A941CF" w:rsidP="002C56FC">
      <w:pPr>
        <w:widowControl/>
        <w:numPr>
          <w:ilvl w:val="1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следва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да изисква признаването на регулаторни активи или регулаторни пасиви, ако е по-вероятно те да съществуват, отколкото да не съществуват – моделът определя симетричен праг на признаване в случаите, когато съществуването</w:t>
      </w:r>
      <w:r w:rsidRPr="00A941CF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не е сигурно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;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</w:t>
      </w:r>
    </w:p>
    <w:p w:rsidR="002C56FC" w:rsidRPr="005A7BE4" w:rsidRDefault="00ED491B" w:rsidP="002C56FC">
      <w:pPr>
        <w:widowControl/>
        <w:numPr>
          <w:ilvl w:val="1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не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следва да определя прагове, които не биха позволили признаването на регулаторен актив или регулаторен пасив, за който има 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(i)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малка вероятност за входящи или изходящи потоци от икономически ползи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или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(ii)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висока несигурност на оценяването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</w:t>
      </w:r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 а един - несъгласие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5A7BE4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2C56FC" w:rsidRPr="005A7BE4" w:rsidRDefault="00E01F8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ще обсъди </w:t>
      </w:r>
      <w:r w:rsidR="00ED491B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предложения за изискванията в модела по отношение на оценяването, преди да вземе решение </w:t>
      </w:r>
      <w:proofErr w:type="gramStart"/>
      <w:r w:rsidR="00ED491B">
        <w:rPr>
          <w:rFonts w:asciiTheme="minorHAnsi" w:eastAsia="Times New Roman" w:hAnsiTheme="minorHAnsi" w:cs="Helvetica"/>
          <w:color w:val="575757"/>
          <w:szCs w:val="24"/>
          <w:lang w:val="bg-BG"/>
        </w:rPr>
        <w:t>дали да публикува Проект за обсъждане или</w:t>
      </w:r>
      <w:proofErr w:type="gramEnd"/>
      <w:r w:rsidR="00ED491B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Документ за обсъждане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ED491B">
        <w:rPr>
          <w:rFonts w:asciiTheme="minorHAnsi" w:eastAsia="Times New Roman" w:hAnsiTheme="minorHAnsi" w:cs="Helvetica"/>
          <w:color w:val="575757"/>
          <w:szCs w:val="24"/>
          <w:lang w:val="bg-BG"/>
        </w:rPr>
        <w:t>в качеството на след</w:t>
      </w:r>
      <w:r w:rsidR="005E1112">
        <w:rPr>
          <w:rFonts w:asciiTheme="minorHAnsi" w:eastAsia="Times New Roman" w:hAnsiTheme="minorHAnsi" w:cs="Helvetica"/>
          <w:color w:val="575757"/>
          <w:szCs w:val="24"/>
          <w:lang w:val="bg-BG"/>
        </w:rPr>
        <w:t>ващ</w:t>
      </w:r>
      <w:r w:rsidR="00ED491B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консултационен документ по проекта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ED491B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следващо свое заседание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E01F8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ще обсъди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дали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единствено за целите на оповестяването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ще иска да разшири обхвата на съответния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081FCA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стандарт, така че да изисква оповестявания относно форми на регулиране на цените/тарифите, различни от регулации за определяне на цените/тарифите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2C56FC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5A7BE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C56FC" w:rsidRPr="005A7BE4" w:rsidRDefault="006A1ADF" w:rsidP="002C56FC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4" w:name="4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lastRenderedPageBreak/>
        <w:t>Предложение за изменение на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r w:rsidR="00081FC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МСС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8 </w:t>
      </w:r>
      <w:r>
        <w:rPr>
          <w:rFonts w:asciiTheme="minorHAnsi" w:eastAsia="Times New Roman" w:hAnsiTheme="minorHAnsi" w:cs="Helvetica"/>
          <w:b/>
          <w:bCs/>
          <w:i/>
          <w:iCs/>
          <w:color w:val="CD3333"/>
          <w:sz w:val="34"/>
          <w:szCs w:val="34"/>
          <w:lang w:val="bg-BG"/>
        </w:rPr>
        <w:t xml:space="preserve">Счетоводна политика и счетоводни приблизителни оценки 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(</w:t>
      </w:r>
      <w:r w:rsid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26)</w:t>
      </w:r>
      <w:bookmarkEnd w:id="4"/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22 март 2018 г. Съветът проведе заседание, за да обсъди </w:t>
      </w:r>
      <w:r w:rsidR="00424D33">
        <w:rPr>
          <w:rFonts w:asciiTheme="minorHAnsi" w:eastAsia="Times New Roman" w:hAnsiTheme="minorHAnsi" w:cs="Helvetica"/>
          <w:color w:val="575757"/>
          <w:szCs w:val="24"/>
          <w:lang w:val="bg-BG"/>
        </w:rPr>
        <w:t>обобщение на коментарите във връзка с Проекта за обсъждане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 </w:t>
      </w:r>
      <w:r w:rsidR="00424D33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Счетоводна политика и счетоводни приблизителни оценки</w:t>
      </w:r>
      <w:r w:rsidR="005E111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 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(</w:t>
      </w:r>
      <w:r w:rsidR="00424D33">
        <w:rPr>
          <w:rFonts w:asciiTheme="minorHAnsi" w:eastAsia="Times New Roman" w:hAnsiTheme="minorHAnsi" w:cs="Helvetica"/>
          <w:color w:val="575757"/>
          <w:szCs w:val="24"/>
          <w:lang w:val="bg-BG"/>
        </w:rPr>
        <w:t>предложение за изменение на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8).</w:t>
      </w:r>
    </w:p>
    <w:p w:rsidR="002C56FC" w:rsidRPr="005A7BE4" w:rsidRDefault="00424D33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Предложенията бяха публикувани през септември 2017 година, като срокът за предоставяне на коментари приключи през януари 20918 г.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spellStart"/>
      <w:proofErr w:type="gramStart"/>
      <w:r>
        <w:rPr>
          <w:rFonts w:asciiTheme="minorHAnsi" w:eastAsia="Times New Roman" w:hAnsiTheme="minorHAnsi" w:cs="Helvetica"/>
          <w:color w:val="575757"/>
          <w:szCs w:val="24"/>
        </w:rPr>
        <w:t>От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не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бе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поискано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да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взема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каквито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и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да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</w:rPr>
        <w:t xml:space="preserve"> е 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</w:rPr>
        <w:t>решения</w:t>
      </w:r>
      <w:proofErr w:type="spellEnd"/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  <w:proofErr w:type="gramEnd"/>
    </w:p>
    <w:p w:rsidR="002C56FC" w:rsidRPr="005A7BE4" w:rsidRDefault="005A7BE4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2C56FC" w:rsidRPr="005A7BE4" w:rsidRDefault="00E01F8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ще обсъди </w:t>
      </w:r>
      <w:r w:rsidR="00424D33">
        <w:rPr>
          <w:rFonts w:asciiTheme="minorHAnsi" w:eastAsia="Times New Roman" w:hAnsiTheme="minorHAnsi" w:cs="Helvetica"/>
          <w:color w:val="575757"/>
          <w:szCs w:val="24"/>
          <w:lang w:val="bg-BG"/>
        </w:rPr>
        <w:t>подхода си по отношение на този проект на бъдещо свое заседание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2C56FC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5A7BE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C56FC" w:rsidRPr="00081FCA" w:rsidRDefault="006A1ADF" w:rsidP="002C56FC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</w:pPr>
      <w:bookmarkStart w:id="5" w:name="5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Подобрения на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r w:rsidR="00081FC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МСФО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8 </w:t>
      </w:r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Оперативни сегменти</w:t>
      </w:r>
      <w:bookmarkEnd w:id="5"/>
      <w:r w:rsidR="00424D33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2C56FC" w:rsidRPr="00081FC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(</w:t>
      </w:r>
      <w:r w:rsidR="005A7BE4" w:rsidRPr="00081FC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C56FC" w:rsidRPr="00081FC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27)</w:t>
      </w:r>
    </w:p>
    <w:p w:rsidR="002C56FC" w:rsidRPr="00424D33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22 март 2018 г. Съветът проведе заседание, за да обсъди </w:t>
      </w:r>
      <w:r w:rsidR="00424D33">
        <w:rPr>
          <w:rFonts w:asciiTheme="minorHAnsi" w:eastAsia="Times New Roman" w:hAnsiTheme="minorHAnsi" w:cs="Helvetica"/>
          <w:color w:val="575757"/>
          <w:szCs w:val="24"/>
          <w:lang w:val="bg-BG"/>
        </w:rPr>
        <w:t>насоките на проекта Подобрения на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8</w:t>
      </w:r>
      <w:r w:rsidR="002C56FC" w:rsidRPr="005A7BE4">
        <w:rPr>
          <w:rFonts w:asciiTheme="minorHAnsi" w:eastAsia="Times New Roman" w:hAnsiTheme="minorHAnsi" w:cs="Helvetica"/>
          <w:i/>
          <w:iCs/>
          <w:color w:val="575757"/>
          <w:szCs w:val="24"/>
        </w:rPr>
        <w:t> </w:t>
      </w:r>
      <w:r w:rsidR="00424D33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Оперативни сегменти 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(</w:t>
      </w:r>
      <w:r w:rsidR="00424D33">
        <w:rPr>
          <w:rFonts w:asciiTheme="minorHAnsi" w:eastAsia="Times New Roman" w:hAnsiTheme="minorHAnsi" w:cs="Helvetica"/>
          <w:color w:val="575757"/>
          <w:szCs w:val="24"/>
          <w:lang w:val="bg-BG"/>
        </w:rPr>
        <w:t>Изменения в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8 </w:t>
      </w:r>
      <w:r w:rsidR="00424D33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34). </w:t>
      </w:r>
      <w:r w:rsidR="00424D33">
        <w:rPr>
          <w:rFonts w:asciiTheme="minorHAnsi" w:eastAsia="Times New Roman" w:hAnsiTheme="minorHAnsi" w:cs="Helvetica"/>
          <w:color w:val="575757"/>
          <w:szCs w:val="24"/>
          <w:lang w:val="bg-BG"/>
        </w:rPr>
        <w:t>През март 2017 г. Съветът публикува Проект за обсъждане в отговор на констатациите от прегледа след въвеждане на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424D33">
        <w:rPr>
          <w:rFonts w:asciiTheme="minorHAnsi" w:eastAsia="Times New Roman" w:hAnsiTheme="minorHAnsi" w:cs="Helvetica"/>
          <w:color w:val="575757"/>
          <w:szCs w:val="24"/>
        </w:rPr>
        <w:t xml:space="preserve"> 8.</w:t>
      </w:r>
    </w:p>
    <w:p w:rsidR="002C56FC" w:rsidRPr="005A7BE4" w:rsidRDefault="00E01F8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да не продължава работата по следните предложения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424D33" w:rsidP="002C56FC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тези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, свързвани с идентифицирането на лицето, вземащо основните оперативни решения.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</w:t>
      </w:r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, а един отсъстваше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424D33" w:rsidP="002C56FC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тези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, поясняващи как да се прилага по отношение на агрегирането критерият за сходни икономически характеристики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Десет</w:t>
      </w:r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, трима – несъгласие, а един отсъстваше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424D33" w:rsidP="002C56FC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тези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, свързвани с оповестяването на допълнителна информация по сегменти, която може да бъде предоставена, ако тя помага на предприятието да изпълни основния принцип в параграфи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1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20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081FCA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8.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Десет</w:t>
      </w:r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членове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Съвета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изразиха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съгласие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с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това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54607A">
        <w:rPr>
          <w:rFonts w:asciiTheme="minorHAnsi" w:eastAsia="Times New Roman" w:hAnsiTheme="minorHAnsi" w:cs="Helvetica"/>
          <w:color w:val="575757"/>
          <w:szCs w:val="24"/>
        </w:rPr>
        <w:t>решение</w:t>
      </w:r>
      <w:proofErr w:type="spellEnd"/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, трима – несъгласие, а един отсъстваше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424D33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Първоначално Съветът бе подкрепил следните предложения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744EDE" w:rsidP="002C56FC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>Да</w:t>
      </w:r>
      <w:r w:rsidR="00424D33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изисква оповестяване на позицията и описание на ролята на лицето, вземащо основните оперативни решения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Тринадесетте присъстващи на заседанието</w:t>
      </w:r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членове на Съвета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подкрепиха предложението, а един отсъстваше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744EDE" w:rsidP="002C56FC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оцени дали да стесни обхвата на предложението предприятието да обвързва подлежащите на отчитане съгласно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081FCA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8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сегменти с други части на годишния пакет с отчетни документи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  <w:r w:rsidR="0054607A" w:rsidRP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Девет</w:t>
      </w:r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членове на Съвета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подкрепиха предложението, четирима изразиха несъгласие, а един отсъстваше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744EDE" w:rsidP="002C56FC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поясни нивото на детайлност, изисквано, за да се обяснят равняващите позиции при равняване на оповестяванията по сегменти с финансовия отчет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Дванадесет</w:t>
      </w:r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членове на Съвета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подкрепиха предложението, един изрази несъгласие, а един отсъстваше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744EDE" w:rsidP="002C56FC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Да изисква всички </w:t>
      </w: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междинни периоди на текущата и предходната финансова година да бъдат преизчислени и представени в първия междинен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отчет след промяна в състава на подлежащите на отчитане сегменти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освен ако информацията не е на разположение, а разходите за разработването й биха били прекомерни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Тринадесетте присъстващи на заседанието</w:t>
      </w:r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членове на Съвета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подкрепиха предложението, а един отсъстваше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E01F8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обаче реши, </w:t>
      </w:r>
      <w:r w:rsidR="00744EDE">
        <w:rPr>
          <w:rFonts w:asciiTheme="minorHAnsi" w:eastAsia="Times New Roman" w:hAnsiTheme="minorHAnsi" w:cs="Helvetica"/>
          <w:color w:val="575757"/>
          <w:szCs w:val="24"/>
          <w:lang w:val="bg-BG"/>
        </w:rPr>
        <w:t>че</w:t>
      </w:r>
      <w:r w:rsidR="00744EDE" w:rsidRPr="005A7BE4">
        <w:rPr>
          <w:rFonts w:asciiTheme="minorHAnsi" w:eastAsia="Times New Roman" w:hAnsiTheme="minorHAnsi" w:cs="Helvetica"/>
          <w:color w:val="575757"/>
          <w:szCs w:val="24"/>
        </w:rPr>
        <w:t xml:space="preserve"> ако</w:t>
      </w:r>
      <w:r w:rsidR="00744EDE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бъдат разгледани като съвкупност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744EDE">
        <w:rPr>
          <w:rFonts w:asciiTheme="minorHAnsi" w:eastAsia="Times New Roman" w:hAnsiTheme="minorHAnsi" w:cs="Helvetica"/>
          <w:color w:val="575757"/>
          <w:szCs w:val="24"/>
          <w:lang w:val="bg-BG"/>
        </w:rPr>
        <w:t>предложенията не биха довели до достатъчни подобрения в информацията за инвеститорите, за да оправдаят разходите, които заинтересованите страни биха понесли, ако Съветът</w:t>
      </w:r>
      <w:proofErr w:type="gramEnd"/>
      <w:r w:rsidR="00744EDE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трябваше да измени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081FCA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8. </w:t>
      </w:r>
      <w:r w:rsidR="00744EDE">
        <w:rPr>
          <w:rFonts w:asciiTheme="minorHAnsi" w:eastAsia="Times New Roman" w:hAnsiTheme="minorHAnsi" w:cs="Helvetica"/>
          <w:color w:val="575757"/>
          <w:szCs w:val="24"/>
          <w:lang w:val="bg-BG"/>
        </w:rPr>
        <w:t>Съответно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744EDE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да не изменя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081FCA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 8.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Осем </w:t>
      </w:r>
      <w:proofErr w:type="gramStart"/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членове на Съвета изразиха съгласие с това решение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петима – несъгласие, а един от членовете</w:t>
      </w:r>
      <w:proofErr w:type="gramEnd"/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отсъстваше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5A7BE4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2C56FC" w:rsidRPr="005A7BE4" w:rsidRDefault="00744EDE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Екипът планира да публикува обобщение на обратната информация и отговора на Съвета през втората половина на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2018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2C56FC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5A7BE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C56FC" w:rsidRPr="005A7BE4" w:rsidRDefault="006A1ADF" w:rsidP="002C56FC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6" w:name="6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Преглед след въвеждане на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r w:rsidR="00081FC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МСФО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13 </w:t>
      </w:r>
      <w:r>
        <w:rPr>
          <w:rFonts w:asciiTheme="minorHAnsi" w:eastAsia="Times New Roman" w:hAnsiTheme="minorHAnsi" w:cs="Helvetica"/>
          <w:b/>
          <w:bCs/>
          <w:i/>
          <w:iCs/>
          <w:color w:val="CD3333"/>
          <w:sz w:val="34"/>
          <w:szCs w:val="34"/>
          <w:lang w:val="bg-BG"/>
        </w:rPr>
        <w:t xml:space="preserve">Оценяване по справедлива стойност 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(</w:t>
      </w:r>
      <w:r w:rsid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7)</w:t>
      </w:r>
      <w:bookmarkEnd w:id="6"/>
    </w:p>
    <w:p w:rsidR="002C56FC" w:rsidRPr="005A7BE4" w:rsidRDefault="00081FC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22 март 2018 г. Съветът проведе заседание, за да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2B104A" w:rsidP="002C56FC">
      <w:pPr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оцени</w:t>
      </w:r>
      <w:proofErr w:type="gramEnd"/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на базата на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получените като обратна информация становища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дали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081FCA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13 </w:t>
      </w:r>
      <w:r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Оценяване по справедлива стойност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 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функционира както е предвидено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2C56FC" w:rsidRPr="005A7BE4" w:rsidRDefault="002B104A" w:rsidP="002C56FC">
      <w:pPr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вземе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решение дали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като резултат от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Прегледа след въвеждане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Съветът желае да обмисли евентуална </w:t>
      </w:r>
      <w:r w:rsidR="00DA4B9B">
        <w:rPr>
          <w:rFonts w:asciiTheme="minorHAnsi" w:eastAsia="Times New Roman" w:hAnsiTheme="minorHAnsi" w:cs="Helvetica"/>
          <w:color w:val="333333"/>
          <w:szCs w:val="24"/>
          <w:lang w:val="bg-BG"/>
        </w:rPr>
        <w:t>последваща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работа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2B104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достигна до заключение, че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081FCA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13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функционира както е предвидено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E01F8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Съветът реши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C56FC" w:rsidRPr="005A7BE4" w:rsidRDefault="00DA4B9B" w:rsidP="002C56FC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включи констатациите от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2B104A">
        <w:rPr>
          <w:rFonts w:asciiTheme="minorHAnsi" w:eastAsia="Times New Roman" w:hAnsiTheme="minorHAnsi" w:cs="Helvetica"/>
          <w:color w:val="575757"/>
          <w:szCs w:val="24"/>
          <w:lang w:val="bg-BG"/>
        </w:rPr>
        <w:t>Прегледа след въвеждане</w:t>
      </w:r>
      <w:r w:rsidR="002B104A" w:rsidRPr="005A7BE4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относно полезността на оповестяванията в работата във връзка с проекта „По-добри комуникации при финансовото отчитане”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 частност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проектите, посветени на Принципи на оповестяването и Основни финансови отчети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  <w:r w:rsidR="0054607A" w:rsidRP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Единадесет от четиринадесетте</w:t>
      </w:r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членове на Съвета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изразиха съгласие, един изрази несъгласие, а двама отсъстваха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2C56FC" w:rsidRPr="005A7BE4" w:rsidRDefault="00DA4B9B" w:rsidP="002C56FC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продължи да поддържа контакти с бранша на професионалните оценители, да следи новите развития в практиката и да насърчава разработването и споделянето на знания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Дванадесет от четиринадесетте</w:t>
      </w:r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членове на Съвета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изразиха съгласие, а двама отсъстваха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 w:rsidR="0054607A"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2C56FC" w:rsidRPr="005A7BE4" w:rsidRDefault="00DA4B9B" w:rsidP="002C56FC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не извършва други последващи действия в резултат на констатациите от </w:t>
      </w:r>
      <w:r w:rsidR="002B104A">
        <w:rPr>
          <w:rFonts w:asciiTheme="minorHAnsi" w:eastAsia="Times New Roman" w:hAnsiTheme="minorHAnsi" w:cs="Helvetica"/>
          <w:color w:val="575757"/>
          <w:szCs w:val="24"/>
          <w:lang w:val="bg-BG"/>
        </w:rPr>
        <w:t>Прегледа след въвеждане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например, да не извършва работа в областта на придаване на приоритет на счетоводно отчитаната единица или входящата информация на Ниво 1, тъй като разходите за такава работа биха надвишили ползите от нея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Дванадесет от четиринадесетте</w:t>
      </w:r>
      <w:r w:rsidR="0054607A">
        <w:rPr>
          <w:rFonts w:asciiTheme="minorHAnsi" w:eastAsia="Times New Roman" w:hAnsiTheme="minorHAnsi" w:cs="Helvetica"/>
          <w:color w:val="575757"/>
          <w:szCs w:val="24"/>
        </w:rPr>
        <w:t xml:space="preserve"> членове на Съвета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изразиха съгласие, а двама отсъстваха</w:t>
      </w:r>
      <w:r w:rsidR="002C56FC" w:rsidRPr="005A7BE4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2C56FC" w:rsidRPr="005A7BE4" w:rsidRDefault="005A7BE4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2C56FC" w:rsidRPr="005A7BE4" w:rsidRDefault="002B104A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Екипът ще изготви Доклад и Изложение на получените като обратна информация становища във връзка с Прегледа след въвеждане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C56FC" w:rsidRPr="005A7BE4" w:rsidRDefault="002C56FC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5A7BE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C56FC" w:rsidRPr="005A7BE4" w:rsidRDefault="00081FCA" w:rsidP="002C56FC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7" w:name="7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C56FC" w:rsidRPr="005A7BE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15)</w:t>
      </w:r>
      <w:bookmarkEnd w:id="7"/>
    </w:p>
    <w:p w:rsidR="002C56FC" w:rsidRPr="005A7BE4" w:rsidRDefault="005A7BE4" w:rsidP="002C56FC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22 март 2018 г. Съветът проведе заседание, за да направи преглед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плановете за актуализиране на Изложение за практика по МСФО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 1 </w:t>
      </w:r>
      <w:r w:rsidR="00081FC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Коментар на ръководството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081FC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отбеляза, че при реализирането на проекта той ще трябва да обмисли </w:t>
      </w:r>
      <w:r w:rsid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как</w:t>
      </w:r>
      <w:r w:rsidR="00081FC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по-общото </w:t>
      </w:r>
      <w:proofErr w:type="gramStart"/>
      <w:r w:rsidR="00081FCA">
        <w:rPr>
          <w:rFonts w:asciiTheme="minorHAnsi" w:eastAsia="Times New Roman" w:hAnsiTheme="minorHAnsi" w:cs="Helvetica"/>
          <w:color w:val="575757"/>
          <w:szCs w:val="24"/>
          <w:lang w:val="bg-BG"/>
        </w:rPr>
        <w:t>финансово отчитане би могло да допълни и подкрепи финансовите</w:t>
      </w:r>
      <w:proofErr w:type="gramEnd"/>
      <w:r w:rsidR="00081FC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отчети по МСФО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081FCA" w:rsidRPr="0054607A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2C56FC" w:rsidRPr="005A7BE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84CAA" w:rsidRPr="005A7BE4" w:rsidRDefault="00B84CAA">
      <w:pPr>
        <w:rPr>
          <w:rFonts w:asciiTheme="minorHAnsi" w:hAnsiTheme="minorHAnsi"/>
        </w:rPr>
      </w:pPr>
    </w:p>
    <w:sectPr w:rsidR="00B84CAA" w:rsidRPr="005A7BE4" w:rsidSect="0009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D43"/>
    <w:multiLevelType w:val="multilevel"/>
    <w:tmpl w:val="25D4AAF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07529"/>
    <w:multiLevelType w:val="multilevel"/>
    <w:tmpl w:val="D610CAC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7EEE"/>
    <w:multiLevelType w:val="multilevel"/>
    <w:tmpl w:val="A1DCDEA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51898"/>
    <w:multiLevelType w:val="multilevel"/>
    <w:tmpl w:val="F83C998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57F5F"/>
    <w:multiLevelType w:val="multilevel"/>
    <w:tmpl w:val="316456C8"/>
    <w:lvl w:ilvl="0">
      <w:start w:val="1"/>
      <w:numFmt w:val="russianLow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E330B6E"/>
    <w:multiLevelType w:val="multilevel"/>
    <w:tmpl w:val="67DA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47178"/>
    <w:multiLevelType w:val="multilevel"/>
    <w:tmpl w:val="98FC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22615"/>
    <w:multiLevelType w:val="multilevel"/>
    <w:tmpl w:val="D3D42A0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D2DB9"/>
    <w:multiLevelType w:val="multilevel"/>
    <w:tmpl w:val="7666CBC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96B50"/>
    <w:multiLevelType w:val="multilevel"/>
    <w:tmpl w:val="9E0CB61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D51D6"/>
    <w:multiLevelType w:val="multilevel"/>
    <w:tmpl w:val="7A90508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B694B"/>
    <w:multiLevelType w:val="multilevel"/>
    <w:tmpl w:val="4E324ED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C55BF"/>
    <w:multiLevelType w:val="multilevel"/>
    <w:tmpl w:val="081464C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C64C4"/>
    <w:multiLevelType w:val="multilevel"/>
    <w:tmpl w:val="E1DC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D17177"/>
    <w:multiLevelType w:val="multilevel"/>
    <w:tmpl w:val="E988A41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D666A"/>
    <w:multiLevelType w:val="multilevel"/>
    <w:tmpl w:val="8800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C56FC"/>
    <w:rsid w:val="0007093B"/>
    <w:rsid w:val="00081FCA"/>
    <w:rsid w:val="000957C0"/>
    <w:rsid w:val="000F5E03"/>
    <w:rsid w:val="00111B90"/>
    <w:rsid w:val="001629C1"/>
    <w:rsid w:val="002B104A"/>
    <w:rsid w:val="002C56FC"/>
    <w:rsid w:val="00383DE7"/>
    <w:rsid w:val="003A0B31"/>
    <w:rsid w:val="003C33D3"/>
    <w:rsid w:val="003D53FA"/>
    <w:rsid w:val="00424D33"/>
    <w:rsid w:val="0054607A"/>
    <w:rsid w:val="005711E5"/>
    <w:rsid w:val="005A7BE4"/>
    <w:rsid w:val="005E1112"/>
    <w:rsid w:val="00612DD9"/>
    <w:rsid w:val="006348EE"/>
    <w:rsid w:val="006A1ADF"/>
    <w:rsid w:val="006C3783"/>
    <w:rsid w:val="006E63F9"/>
    <w:rsid w:val="006F0252"/>
    <w:rsid w:val="00744EDE"/>
    <w:rsid w:val="007A45E5"/>
    <w:rsid w:val="00843CC1"/>
    <w:rsid w:val="00A20BB6"/>
    <w:rsid w:val="00A941CF"/>
    <w:rsid w:val="00AF7916"/>
    <w:rsid w:val="00B06C62"/>
    <w:rsid w:val="00B84CAA"/>
    <w:rsid w:val="00BA297C"/>
    <w:rsid w:val="00C3022D"/>
    <w:rsid w:val="00D440E2"/>
    <w:rsid w:val="00DA4B9B"/>
    <w:rsid w:val="00E01F8A"/>
    <w:rsid w:val="00E91EAB"/>
    <w:rsid w:val="00ED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B6"/>
    <w:pPr>
      <w:widowControl w:val="0"/>
      <w:suppressAutoHyphens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6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584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038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/news-and-events/updates/iasb-updates/march-2018/" TargetMode="External"/><Relationship Id="rId13" Type="http://schemas.openxmlformats.org/officeDocument/2006/relationships/hyperlink" Target="http://www.ifrs.org/projects/work-plan/definition-of-mater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rs.org/news-and-events/updates/iasb-updates/march-2018/" TargetMode="External"/><Relationship Id="rId12" Type="http://schemas.openxmlformats.org/officeDocument/2006/relationships/hyperlink" Target="http://www.ifrs.org/projects/work-plan/primary-financial-statem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frs.org/news-and-events/updates/iasb-updates/march-2018/" TargetMode="External"/><Relationship Id="rId11" Type="http://schemas.openxmlformats.org/officeDocument/2006/relationships/hyperlink" Target="http://www.ifrs.org/news-and-events/updates/iasb-updates/march-2018/" TargetMode="External"/><Relationship Id="rId5" Type="http://schemas.openxmlformats.org/officeDocument/2006/relationships/hyperlink" Target="http://www.ifrs.org/news-and-events/updates/iasb-updates/march-201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frs.org/news-and-events/updates/iasb-updates/march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rs.org/news-and-events/updates/iasb-updates/march-2018/" TargetMode="External"/><Relationship Id="rId14" Type="http://schemas.openxmlformats.org/officeDocument/2006/relationships/hyperlink" Target="http://www.ifrs.org/projects/work-plan/standards-level-review-of-disclos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2667</Words>
  <Characters>15526</Characters>
  <Application>Microsoft Office Word</Application>
  <DocSecurity>0</DocSecurity>
  <Lines>298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tvs</cp:lastModifiedBy>
  <cp:revision>18</cp:revision>
  <dcterms:created xsi:type="dcterms:W3CDTF">2018-03-27T13:34:00Z</dcterms:created>
  <dcterms:modified xsi:type="dcterms:W3CDTF">2018-03-29T05:09:00Z</dcterms:modified>
</cp:coreProperties>
</file>