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68" w:rsidRPr="00AC41C2" w:rsidRDefault="00096668" w:rsidP="00096668">
      <w:pPr>
        <w:widowControl/>
        <w:shd w:val="clear" w:color="auto" w:fill="FFFFFF"/>
        <w:suppressAutoHyphens w:val="0"/>
        <w:outlineLvl w:val="0"/>
        <w:rPr>
          <w:rFonts w:asciiTheme="minorHAnsi" w:eastAsia="Times New Roman" w:hAnsiTheme="minorHAnsi" w:cs="Helvetica"/>
          <w:b/>
          <w:bCs/>
          <w:color w:val="FFFFFF"/>
          <w:kern w:val="36"/>
          <w:sz w:val="58"/>
          <w:szCs w:val="58"/>
          <w:lang w:val="bg-BG"/>
        </w:rPr>
      </w:pPr>
    </w:p>
    <w:p w:rsidR="00096668" w:rsidRPr="00AC41C2" w:rsidRDefault="00BB4B94" w:rsidP="00096668">
      <w:pPr>
        <w:widowControl/>
        <w:shd w:val="clear" w:color="auto" w:fill="A41F35"/>
        <w:suppressAutoHyphens w:val="0"/>
        <w:outlineLvl w:val="0"/>
        <w:rPr>
          <w:rFonts w:asciiTheme="minorHAnsi" w:eastAsia="Times New Roman" w:hAnsiTheme="minorHAnsi" w:cs="Helvetica"/>
          <w:b/>
          <w:bCs/>
          <w:color w:val="FFFFFF"/>
          <w:kern w:val="36"/>
          <w:sz w:val="58"/>
          <w:szCs w:val="58"/>
          <w:lang w:val="bg-BG"/>
        </w:rPr>
      </w:pPr>
      <w:r w:rsidRPr="00AC41C2">
        <w:rPr>
          <w:rFonts w:asciiTheme="minorHAnsi" w:eastAsia="Times New Roman" w:hAnsiTheme="minorHAnsi" w:cs="Helvetica"/>
          <w:b/>
          <w:bCs/>
          <w:color w:val="FFFFFF"/>
          <w:kern w:val="36"/>
          <w:sz w:val="58"/>
          <w:szCs w:val="58"/>
          <w:lang w:val="bg-BG"/>
        </w:rPr>
        <w:t>Информационен бюлетин на Съвета по международни счетоводни стандарти (IASB) – февруари 2018 г.</w:t>
      </w:r>
    </w:p>
    <w:p w:rsidR="00096668" w:rsidRPr="00AC41C2" w:rsidRDefault="00096668" w:rsidP="00096668">
      <w:pPr>
        <w:widowControl/>
        <w:shd w:val="clear" w:color="auto" w:fill="FFFFFF"/>
        <w:suppressAutoHyphens w:val="0"/>
        <w:outlineLvl w:val="0"/>
        <w:rPr>
          <w:rFonts w:asciiTheme="minorHAnsi" w:eastAsia="Times New Roman" w:hAnsiTheme="minorHAnsi" w:cs="Helvetica"/>
          <w:b/>
          <w:bCs/>
          <w:color w:val="FFFFFF"/>
          <w:kern w:val="36"/>
          <w:sz w:val="58"/>
          <w:szCs w:val="58"/>
          <w:lang w:val="bg-BG"/>
        </w:rPr>
      </w:pPr>
      <w:bookmarkStart w:id="0" w:name="_GoBack"/>
      <w:bookmarkEnd w:id="0"/>
      <w:r w:rsidRPr="00AC41C2">
        <w:rPr>
          <w:rFonts w:asciiTheme="minorHAnsi" w:eastAsia="Times New Roman" w:hAnsiTheme="minorHAnsi" w:cs="Helvetica"/>
          <w:b/>
          <w:bCs/>
          <w:color w:val="FFFFFF"/>
          <w:kern w:val="36"/>
          <w:sz w:val="58"/>
          <w:szCs w:val="58"/>
          <w:lang w:val="bg-BG"/>
        </w:rPr>
        <w:t>IASB Update February 2018</w:t>
      </w:r>
    </w:p>
    <w:p w:rsidR="00BB4B94" w:rsidRPr="00AC41C2" w:rsidRDefault="00BB4B94" w:rsidP="00096668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Настоящият бюлетин на </w:t>
      </w:r>
      <w:proofErr w:type="gramStart"/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Съвета по международни счетоводни стандарти (IASB) (”Съветът”) представя предварителните решения на Съвета</w:t>
      </w:r>
      <w:proofErr w:type="gramEnd"/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. Окончателните решения на Съвета по международни счетоводни стандарти </w:t>
      </w:r>
      <w:proofErr w:type="gramStart"/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относно :МСФО</w:t>
      </w:r>
      <w:proofErr w:type="gramEnd"/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стандарти (IFRS</w:t>
      </w:r>
      <w:r w:rsidRPr="00AC41C2">
        <w:rPr>
          <w:rFonts w:asciiTheme="minorHAnsi" w:eastAsia="Times New Roman" w:hAnsiTheme="minorHAnsi" w:cs="Helvetica"/>
          <w:color w:val="575757"/>
          <w:szCs w:val="24"/>
          <w:vertAlign w:val="superscript"/>
          <w:lang w:val="bg-BG"/>
        </w:rPr>
        <w:t>®</w:t>
      </w: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 Standards), изменения и разяснения (IFRIC</w:t>
      </w:r>
      <w:r w:rsidRPr="00AC41C2">
        <w:rPr>
          <w:rFonts w:asciiTheme="minorHAnsi" w:eastAsia="Times New Roman" w:hAnsiTheme="minorHAnsi" w:cs="Helvetica"/>
          <w:color w:val="575757"/>
          <w:szCs w:val="24"/>
          <w:vertAlign w:val="superscript"/>
          <w:lang w:val="bg-BG"/>
        </w:rPr>
        <w:t>®</w:t>
      </w: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 Interpretations) се подлагат на официално гласуване, съгласно предвиденото в </w:t>
      </w:r>
      <w:r w:rsidRPr="00AC41C2">
        <w:rPr>
          <w:rFonts w:asciiTheme="minorHAnsi" w:eastAsia="Times New Roman" w:hAnsiTheme="minorHAnsi" w:cs="Helvetica"/>
          <w:i/>
          <w:color w:val="575757"/>
          <w:szCs w:val="24"/>
          <w:lang w:val="bg-BG"/>
        </w:rPr>
        <w:t>Ръководството по регламентираната процедура</w:t>
      </w: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на Фондация МСФО (IFRS </w:t>
      </w:r>
      <w:r w:rsidRPr="00AC41C2">
        <w:rPr>
          <w:rFonts w:asciiTheme="minorHAnsi" w:eastAsia="Times New Roman" w:hAnsiTheme="minorHAnsi" w:cs="Helvetica"/>
          <w:color w:val="575757"/>
          <w:szCs w:val="24"/>
          <w:vertAlign w:val="superscript"/>
          <w:lang w:val="bg-BG"/>
        </w:rPr>
        <w:t>®</w:t>
      </w: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Foundation) и Комитета по разясненията на МСФО (IFRS Interpretation Committee)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96668" w:rsidRPr="00AC41C2" w:rsidRDefault="00096668" w:rsidP="00096668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br/>
      </w:r>
      <w:r w:rsidR="00BB4B94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На 20 февруари 2018 г., вторник, и 2</w:t>
      </w:r>
      <w:r w:rsidR="0010689D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2</w:t>
      </w:r>
      <w:r w:rsidR="00BB4B94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февруари 2018 г., </w:t>
      </w:r>
      <w:r w:rsidR="0010689D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четвъртък</w:t>
      </w:r>
      <w:r w:rsidR="00BB4B94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, Съветът проведе публични заседания в офисите на Фондация МСФО в Лондон, Великобритания</w:t>
      </w: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96668" w:rsidRPr="00AC41C2" w:rsidRDefault="00BB4B94" w:rsidP="00096668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Темите, по реда на обсъждането им, включваха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:</w:t>
      </w:r>
    </w:p>
    <w:p w:rsidR="00096668" w:rsidRPr="00AC41C2" w:rsidRDefault="005C0DAD" w:rsidP="00096668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  <w:lang w:val="bg-BG"/>
        </w:rPr>
      </w:pPr>
      <w:hyperlink r:id="rId5" w:anchor="1" w:history="1">
        <w:r w:rsidR="001F4007" w:rsidRPr="00AC41C2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>Инициатива за оповестяване</w:t>
        </w:r>
        <w:r w:rsidR="00096668" w:rsidRPr="00AC41C2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 xml:space="preserve">: </w:t>
        </w:r>
        <w:r w:rsidR="001F4007" w:rsidRPr="00AC41C2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>принципи на оповестяването</w:t>
        </w:r>
      </w:hyperlink>
    </w:p>
    <w:p w:rsidR="00096668" w:rsidRPr="00AC41C2" w:rsidRDefault="005C0DAD" w:rsidP="00096668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  <w:lang w:val="bg-BG"/>
        </w:rPr>
      </w:pPr>
      <w:hyperlink r:id="rId6" w:anchor="2" w:history="1">
        <w:r w:rsidR="001F4007" w:rsidRPr="00AC41C2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>Основни финансови отчети</w:t>
        </w:r>
      </w:hyperlink>
    </w:p>
    <w:p w:rsidR="00096668" w:rsidRPr="00AC41C2" w:rsidRDefault="005C0DAD" w:rsidP="00096668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  <w:lang w:val="bg-BG"/>
        </w:rPr>
      </w:pPr>
      <w:hyperlink r:id="rId7" w:anchor="3" w:history="1">
        <w:r w:rsidR="001F4007" w:rsidRPr="00AC41C2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>Динамично управление на риска</w:t>
        </w:r>
      </w:hyperlink>
    </w:p>
    <w:p w:rsidR="00096668" w:rsidRPr="00AC41C2" w:rsidRDefault="005C0DAD" w:rsidP="00096668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  <w:lang w:val="bg-BG"/>
        </w:rPr>
      </w:pPr>
      <w:hyperlink r:id="rId8" w:anchor="4" w:history="1">
        <w:r w:rsidR="001F4007" w:rsidRPr="00AC41C2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>Бизнес комбинации под общ контрол</w:t>
        </w:r>
      </w:hyperlink>
    </w:p>
    <w:p w:rsidR="00096668" w:rsidRPr="00AC41C2" w:rsidRDefault="005C0DAD" w:rsidP="00096668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  <w:lang w:val="bg-BG"/>
        </w:rPr>
      </w:pPr>
      <w:hyperlink r:id="rId9" w:anchor="5" w:history="1">
        <w:r w:rsidR="001F4007" w:rsidRPr="00AC41C2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>Изследователска програма</w:t>
        </w:r>
      </w:hyperlink>
    </w:p>
    <w:p w:rsidR="00096668" w:rsidRPr="00AC41C2" w:rsidRDefault="005C0DAD" w:rsidP="00096668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  <w:lang w:val="bg-BG"/>
        </w:rPr>
      </w:pPr>
      <w:hyperlink r:id="rId10" w:anchor="6" w:history="1">
        <w:r w:rsidR="001F4007" w:rsidRPr="00AC41C2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>Застрахователни договори</w:t>
        </w:r>
      </w:hyperlink>
    </w:p>
    <w:p w:rsidR="00096668" w:rsidRPr="00AC41C2" w:rsidRDefault="005C0DAD" w:rsidP="00096668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  <w:lang w:val="bg-BG"/>
        </w:rPr>
      </w:pPr>
      <w:hyperlink r:id="rId11" w:anchor="7" w:history="1">
        <w:r w:rsidR="001F4007" w:rsidRPr="00AC41C2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>Документи за обсъждане и Проекти за обсъждане</w:t>
        </w:r>
      </w:hyperlink>
    </w:p>
    <w:p w:rsidR="00096668" w:rsidRPr="00AC41C2" w:rsidRDefault="001F4007" w:rsidP="00096668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CD3333"/>
          <w:szCs w:val="24"/>
          <w:u w:val="single"/>
          <w:lang w:val="bg-BG"/>
        </w:rPr>
      </w:pPr>
      <w:r w:rsidRPr="00AC41C2">
        <w:rPr>
          <w:rFonts w:asciiTheme="minorHAnsi" w:eastAsia="Times New Roman" w:hAnsiTheme="minorHAnsi" w:cs="Helvetica"/>
          <w:color w:val="CD3333"/>
          <w:szCs w:val="24"/>
          <w:u w:val="single"/>
          <w:lang w:val="bg-BG"/>
        </w:rPr>
        <w:t>Дейности с регулирани цени</w:t>
      </w:r>
    </w:p>
    <w:p w:rsidR="00096668" w:rsidRPr="00AC41C2" w:rsidRDefault="00BB4B94" w:rsidP="00096668">
      <w:pPr>
        <w:widowControl/>
        <w:shd w:val="clear" w:color="auto" w:fill="F6F6F6"/>
        <w:suppressAutoHyphens w:val="0"/>
        <w:spacing w:before="225" w:after="150"/>
        <w:outlineLvl w:val="2"/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</w:pPr>
      <w:r w:rsidRPr="00AC41C2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 xml:space="preserve">Допълнителна </w:t>
      </w:r>
      <w:proofErr w:type="gramStart"/>
      <w:r w:rsidRPr="00AC41C2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информация</w:t>
      </w:r>
      <w:proofErr w:type="gramEnd"/>
    </w:p>
    <w:p w:rsidR="00096668" w:rsidRPr="00AC41C2" w:rsidRDefault="00BB4B94" w:rsidP="00096668">
      <w:pPr>
        <w:widowControl/>
        <w:shd w:val="clear" w:color="auto" w:fill="F6F6F6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Предстоящи заседания на Съвета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:</w:t>
      </w:r>
    </w:p>
    <w:p w:rsidR="00096668" w:rsidRPr="00AC41C2" w:rsidRDefault="00096668" w:rsidP="00096668">
      <w:pPr>
        <w:widowControl/>
        <w:numPr>
          <w:ilvl w:val="0"/>
          <w:numId w:val="2"/>
        </w:numPr>
        <w:shd w:val="clear" w:color="auto" w:fill="F6F6F6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  <w:lang w:val="bg-BG"/>
        </w:rPr>
      </w:pPr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19–23 </w:t>
      </w:r>
      <w:r w:rsidR="00BB4B94"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март</w:t>
      </w:r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2018</w:t>
      </w:r>
      <w:r w:rsidR="00BB4B94"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г.</w:t>
      </w:r>
    </w:p>
    <w:p w:rsidR="00096668" w:rsidRPr="00AC41C2" w:rsidRDefault="00096668" w:rsidP="00096668">
      <w:pPr>
        <w:widowControl/>
        <w:numPr>
          <w:ilvl w:val="0"/>
          <w:numId w:val="2"/>
        </w:numPr>
        <w:shd w:val="clear" w:color="auto" w:fill="F6F6F6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  <w:lang w:val="bg-BG"/>
        </w:rPr>
      </w:pPr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23–27 </w:t>
      </w:r>
      <w:r w:rsidR="00BB4B94"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април</w:t>
      </w:r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2018</w:t>
      </w:r>
      <w:r w:rsidR="00BB4B94"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г.</w:t>
      </w:r>
    </w:p>
    <w:p w:rsidR="00096668" w:rsidRPr="00AC41C2" w:rsidRDefault="00096668" w:rsidP="00096668">
      <w:pPr>
        <w:widowControl/>
        <w:numPr>
          <w:ilvl w:val="0"/>
          <w:numId w:val="2"/>
        </w:numPr>
        <w:shd w:val="clear" w:color="auto" w:fill="F6F6F6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  <w:lang w:val="bg-BG"/>
        </w:rPr>
      </w:pPr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21–25 </w:t>
      </w:r>
      <w:r w:rsidR="00BB4B94"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май</w:t>
      </w:r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2018</w:t>
      </w:r>
      <w:r w:rsidR="00BB4B94"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г.</w:t>
      </w:r>
    </w:p>
    <w:p w:rsidR="00096668" w:rsidRPr="00AC41C2" w:rsidRDefault="001F4007" w:rsidP="00096668">
      <w:pPr>
        <w:widowControl/>
        <w:shd w:val="clear" w:color="auto" w:fill="FFFFFF"/>
        <w:suppressAutoHyphens w:val="0"/>
        <w:spacing w:before="300" w:after="300"/>
        <w:outlineLvl w:val="1"/>
        <w:rPr>
          <w:rFonts w:asciiTheme="minorHAnsi" w:eastAsia="Times New Roman" w:hAnsiTheme="minorHAnsi" w:cs="Helvetica"/>
          <w:b/>
          <w:bCs/>
          <w:color w:val="333333"/>
          <w:sz w:val="34"/>
          <w:szCs w:val="34"/>
          <w:lang w:val="bg-BG"/>
        </w:rPr>
      </w:pPr>
      <w:bookmarkStart w:id="1" w:name="1"/>
      <w:r w:rsidRPr="00AC41C2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lastRenderedPageBreak/>
        <w:t xml:space="preserve">Инициатива за оповестяване: принципи на оповестяването </w:t>
      </w:r>
      <w:r w:rsidR="00096668" w:rsidRPr="00AC41C2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(</w:t>
      </w:r>
      <w:r w:rsidR="0010689D" w:rsidRPr="00AC41C2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096668" w:rsidRPr="00AC41C2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 xml:space="preserve"> 11)</w:t>
      </w:r>
      <w:bookmarkEnd w:id="1"/>
    </w:p>
    <w:p w:rsidR="00096668" w:rsidRPr="00AC41C2" w:rsidRDefault="0010689D" w:rsidP="00096668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На 20 февруари 2018 г. Съветът обсъди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="00A603F7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коментарите, получени във връзка с Документа за обсъждане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 </w:t>
      </w:r>
      <w:r w:rsidR="00A603F7" w:rsidRPr="00AC41C2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Инициатива за оповестяване</w:t>
      </w:r>
      <w:r w:rsidR="00096668" w:rsidRPr="00AC41C2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—</w:t>
      </w:r>
      <w:r w:rsidR="00A603F7" w:rsidRPr="00AC41C2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принципи на оповестяването</w:t>
      </w:r>
      <w:r w:rsidR="00096668" w:rsidRPr="00AC41C2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.</w:t>
      </w:r>
    </w:p>
    <w:p w:rsidR="00096668" w:rsidRPr="00AC41C2" w:rsidRDefault="00EC7640" w:rsidP="00096668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Не бяха взети никакви решения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96668" w:rsidRPr="00AC41C2" w:rsidRDefault="0010689D" w:rsidP="00096668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AC41C2">
        <w:rPr>
          <w:rFonts w:asciiTheme="minorHAnsi" w:eastAsia="Times New Roman" w:hAnsiTheme="minorHAnsi" w:cs="Helvetica"/>
          <w:b/>
          <w:bCs/>
          <w:i/>
          <w:iCs/>
          <w:color w:val="575757"/>
          <w:szCs w:val="24"/>
          <w:lang w:val="bg-BG"/>
        </w:rPr>
        <w:t xml:space="preserve">Следващи </w:t>
      </w:r>
      <w:proofErr w:type="gramStart"/>
      <w:r w:rsidRPr="00AC41C2">
        <w:rPr>
          <w:rFonts w:asciiTheme="minorHAnsi" w:eastAsia="Times New Roman" w:hAnsiTheme="minorHAnsi" w:cs="Helvetica"/>
          <w:b/>
          <w:bCs/>
          <w:i/>
          <w:iCs/>
          <w:color w:val="575757"/>
          <w:szCs w:val="24"/>
          <w:lang w:val="bg-BG"/>
        </w:rPr>
        <w:t>етапи</w:t>
      </w:r>
      <w:proofErr w:type="gramEnd"/>
    </w:p>
    <w:p w:rsidR="00096668" w:rsidRPr="00AC41C2" w:rsidRDefault="00A603F7" w:rsidP="00096668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На заседанието на Съвета, което ще бъде проведено през март</w:t>
      </w:r>
      <w:r w:rsid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2018 година</w:t>
      </w: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, Съветът ще вземе решения </w:t>
      </w:r>
      <w:proofErr w:type="gramStart"/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относно</w:t>
      </w:r>
      <w:proofErr w:type="gramEnd"/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следващи</w:t>
      </w:r>
      <w:r w:rsidR="0010689D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етапи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по проекта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96668" w:rsidRPr="00AC41C2" w:rsidRDefault="00096668" w:rsidP="00096668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 </w:t>
      </w:r>
    </w:p>
    <w:p w:rsidR="00096668" w:rsidRPr="00AC41C2" w:rsidRDefault="001F4007" w:rsidP="00096668">
      <w:pPr>
        <w:widowControl/>
        <w:shd w:val="clear" w:color="auto" w:fill="FFFFFF"/>
        <w:suppressAutoHyphens w:val="0"/>
        <w:spacing w:before="300" w:after="300"/>
        <w:outlineLvl w:val="1"/>
        <w:rPr>
          <w:rFonts w:asciiTheme="minorHAnsi" w:eastAsia="Times New Roman" w:hAnsiTheme="minorHAnsi" w:cs="Helvetica"/>
          <w:b/>
          <w:bCs/>
          <w:color w:val="333333"/>
          <w:sz w:val="34"/>
          <w:szCs w:val="34"/>
          <w:lang w:val="bg-BG"/>
        </w:rPr>
      </w:pPr>
      <w:bookmarkStart w:id="2" w:name="2"/>
      <w:r w:rsidRPr="00AC41C2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 xml:space="preserve">Основни финансови отчети </w:t>
      </w:r>
      <w:r w:rsidR="00096668" w:rsidRPr="00AC41C2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(</w:t>
      </w:r>
      <w:r w:rsidR="0010689D" w:rsidRPr="00AC41C2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096668" w:rsidRPr="00AC41C2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 xml:space="preserve"> 21)</w:t>
      </w:r>
      <w:bookmarkEnd w:id="2"/>
    </w:p>
    <w:p w:rsidR="00096668" w:rsidRPr="00AC41C2" w:rsidRDefault="0010689D" w:rsidP="00096668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На 20 февруари 2018 г. Съветът проведе заседание, за да обсъди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:</w:t>
      </w:r>
    </w:p>
    <w:p w:rsidR="00096668" w:rsidRPr="00AC41C2" w:rsidRDefault="00AC41C2" w:rsidP="00096668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  <w:lang w:val="bg-BG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Изясняване</w:t>
      </w:r>
      <w:r w:rsidR="00BC00B5"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на предложенията във връзка с оценките на ръководството за резултатите от дейността</w:t>
      </w:r>
      <w:r w:rsidR="00096668"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;</w:t>
      </w:r>
    </w:p>
    <w:p w:rsidR="00096668" w:rsidRPr="00AC41C2" w:rsidRDefault="00BC00B5" w:rsidP="00096668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  <w:lang w:val="bg-BG"/>
        </w:rPr>
      </w:pPr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Дали в отчета за </w:t>
      </w:r>
      <w:proofErr w:type="gramStart"/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паричните потоци да се изисква представяне на инвестиционните парични</w:t>
      </w:r>
      <w:proofErr w:type="gramEnd"/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потоци от неразделно свързани асоциирани и съвместни предприятия </w:t>
      </w:r>
      <w:r w:rsid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отделно от паричните потоци от </w:t>
      </w:r>
      <w:r w:rsidR="00AC41C2"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асоциирани и съвместни предприятия</w:t>
      </w:r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, които не са неразделно свързани</w:t>
      </w:r>
      <w:r w:rsidR="00096668"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.</w:t>
      </w:r>
    </w:p>
    <w:p w:rsidR="00096668" w:rsidRPr="00AC41C2" w:rsidRDefault="00BC00B5" w:rsidP="00096668">
      <w:pPr>
        <w:widowControl/>
        <w:shd w:val="clear" w:color="auto" w:fill="FFFFFF"/>
        <w:suppressAutoHyphens w:val="0"/>
        <w:spacing w:before="300" w:after="150"/>
        <w:outlineLvl w:val="2"/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</w:pPr>
      <w:r w:rsidRPr="00AC41C2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 xml:space="preserve">Изясняване на предложенията във връзка с оценките на ръководството за резултатите от дейността </w:t>
      </w:r>
      <w:r w:rsidR="00096668" w:rsidRPr="00AC41C2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(</w:t>
      </w:r>
      <w:r w:rsidR="0010689D" w:rsidRPr="00AC41C2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Документ по програмата</w:t>
      </w:r>
      <w:r w:rsidR="00096668" w:rsidRPr="00AC41C2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 xml:space="preserve"> 21A)</w:t>
      </w:r>
    </w:p>
    <w:p w:rsidR="00096668" w:rsidRPr="00AC41C2" w:rsidRDefault="00BC00B5" w:rsidP="00096668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Съветът продължи с обсъжданията, започнати по време на проведеното през януари 2018 година заседание във връзка с предложенията </w:t>
      </w:r>
      <w:proofErr w:type="gramStart"/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относно</w:t>
      </w:r>
      <w:proofErr w:type="gramEnd"/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оценките на ръководството за резултатите от дейността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. </w:t>
      </w: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На това </w:t>
      </w:r>
      <w:proofErr w:type="gramStart"/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заседание Съветът поиска от екипа да разработи опростен подход по отношение на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оценките на ръководството за резултатите от дейността, който да бъде разгледан на бъдещо заседание</w:t>
      </w:r>
      <w:proofErr w:type="gramEnd"/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. </w:t>
      </w:r>
      <w:r w:rsidR="00EC7640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Не бяха взети никакви решения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96668" w:rsidRPr="00AC41C2" w:rsidRDefault="00BC00B5" w:rsidP="00096668">
      <w:pPr>
        <w:widowControl/>
        <w:shd w:val="clear" w:color="auto" w:fill="FFFFFF"/>
        <w:suppressAutoHyphens w:val="0"/>
        <w:spacing w:before="300" w:after="150"/>
        <w:outlineLvl w:val="2"/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</w:pPr>
      <w:r w:rsidRPr="00AC41C2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Дефинирана от ръководството</w:t>
      </w:r>
      <w:r w:rsidR="00096668" w:rsidRPr="00AC41C2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 xml:space="preserve"> </w:t>
      </w:r>
      <w:r w:rsidRPr="00AC41C2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коригирана печалба на акция</w:t>
      </w:r>
      <w:r w:rsidR="00096668" w:rsidRPr="00AC41C2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 xml:space="preserve"> (EPS)</w:t>
      </w:r>
      <w:r w:rsidR="00D74946" w:rsidRPr="00AC41C2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 xml:space="preserve"> </w:t>
      </w:r>
      <w:r w:rsidR="00096668" w:rsidRPr="00AC41C2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(</w:t>
      </w:r>
      <w:r w:rsidR="0010689D" w:rsidRPr="00AC41C2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Документ по програмата</w:t>
      </w:r>
      <w:r w:rsidR="00096668" w:rsidRPr="00AC41C2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 xml:space="preserve"> 21</w:t>
      </w:r>
      <w:r w:rsidR="00640181" w:rsidRPr="00AC41C2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Б</w:t>
      </w:r>
      <w:r w:rsidR="00096668" w:rsidRPr="00AC41C2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)</w:t>
      </w:r>
    </w:p>
    <w:p w:rsidR="00096668" w:rsidRPr="00AC41C2" w:rsidRDefault="00BC00B5" w:rsidP="00096668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 не проведе обсъждания по този документ, очаквайки разискването на опростения подход по отношение на оценките на ръководството за резултатите от дейността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96668" w:rsidRPr="00AC41C2" w:rsidRDefault="00BC00B5" w:rsidP="00096668">
      <w:pPr>
        <w:widowControl/>
        <w:shd w:val="clear" w:color="auto" w:fill="FFFFFF"/>
        <w:suppressAutoHyphens w:val="0"/>
        <w:spacing w:before="300" w:after="150"/>
        <w:outlineLvl w:val="2"/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</w:pPr>
      <w:r w:rsidRPr="00AC41C2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lastRenderedPageBreak/>
        <w:t>Представяне на</w:t>
      </w:r>
      <w:r w:rsidR="00096668" w:rsidRPr="00AC41C2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 xml:space="preserve"> </w:t>
      </w:r>
      <w:proofErr w:type="gramStart"/>
      <w:r w:rsidRPr="00AC41C2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 xml:space="preserve">паричните потоци от неразделно свързани асоциирани и съвместни предприятия и </w:t>
      </w:r>
      <w:r w:rsidR="00AC41C2" w:rsidRPr="00AC41C2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на паричните</w:t>
      </w:r>
      <w:proofErr w:type="gramEnd"/>
      <w:r w:rsidR="00AC41C2" w:rsidRPr="00AC41C2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 xml:space="preserve"> потоци</w:t>
      </w:r>
      <w:r w:rsidR="00AC41C2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 xml:space="preserve"> от</w:t>
      </w:r>
      <w:r w:rsidR="00AC41C2" w:rsidRPr="00AC41C2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 xml:space="preserve"> асоциирани и съвместни предприятия</w:t>
      </w:r>
      <w:r w:rsidRPr="00AC41C2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, които не са неразделно свързани</w:t>
      </w:r>
      <w:r w:rsidR="00D74946" w:rsidRPr="00AC41C2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 xml:space="preserve"> </w:t>
      </w:r>
      <w:r w:rsidR="00096668" w:rsidRPr="00AC41C2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(</w:t>
      </w:r>
      <w:r w:rsidR="0010689D" w:rsidRPr="00AC41C2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Документ по програмата</w:t>
      </w:r>
      <w:r w:rsidR="00096668" w:rsidRPr="00AC41C2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 xml:space="preserve"> 21</w:t>
      </w:r>
      <w:r w:rsidR="00640181" w:rsidRPr="00AC41C2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В</w:t>
      </w:r>
      <w:r w:rsidR="00096668" w:rsidRPr="00AC41C2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)</w:t>
      </w:r>
    </w:p>
    <w:p w:rsidR="00096668" w:rsidRPr="00AC41C2" w:rsidRDefault="0010689D" w:rsidP="00096668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 реши в порядък на работна хипотеза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="00CB3D09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да предложи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:</w:t>
      </w:r>
    </w:p>
    <w:p w:rsidR="00096668" w:rsidRPr="00AC41C2" w:rsidRDefault="00CB3D09" w:rsidP="00096668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  <w:lang w:val="bg-BG"/>
        </w:rPr>
      </w:pPr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Отделно представяне на</w:t>
      </w:r>
      <w:r w:rsidR="00096668"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(i) </w:t>
      </w:r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паричните потоци, които възникват между </w:t>
      </w:r>
      <w:proofErr w:type="gramStart"/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предприятието и неразделно свързаните с него асоциирани и съвместни предприятия</w:t>
      </w:r>
      <w:proofErr w:type="gramEnd"/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и</w:t>
      </w:r>
      <w:r w:rsidR="00096668"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(ii) </w:t>
      </w:r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паричните потоци, които възникват между предприятието и асоциирани и съвместни предприятия, които не са неразделно свързани с него</w:t>
      </w:r>
      <w:r w:rsidR="00096668"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. </w:t>
      </w:r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Разграничението между</w:t>
      </w:r>
      <w:r w:rsidR="00096668"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</w:t>
      </w:r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неразделно свързаните асоциирани и </w:t>
      </w:r>
      <w:proofErr w:type="gramStart"/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съвместни предприятия и асоциирани и съвместни</w:t>
      </w:r>
      <w:proofErr w:type="gramEnd"/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предприятия, които не са неразделно свързани</w:t>
      </w:r>
      <w:r w:rsid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,</w:t>
      </w:r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в отчета за паричните потоци ще бъде същото, както и в отчета или отчетите за финансовите резултати от дейността</w:t>
      </w:r>
      <w:r w:rsidR="00096668"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. </w:t>
      </w:r>
      <w:r w:rsidR="00EC7640"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Единадесет членове на Съвета изразиха съгласие, а двама – несъгласие с това решение</w:t>
      </w:r>
      <w:r w:rsidR="00096668"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. </w:t>
      </w:r>
      <w:r w:rsidR="00EC7640"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Един от членовете на Съвета отсъстваше</w:t>
      </w:r>
      <w:r w:rsidR="00096668"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.</w:t>
      </w:r>
    </w:p>
    <w:p w:rsidR="00096668" w:rsidRPr="00AC41C2" w:rsidRDefault="00CB3D09" w:rsidP="00096668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  <w:lang w:val="bg-BG"/>
        </w:rPr>
      </w:pPr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Отделното представяне на инвестиционните </w:t>
      </w:r>
      <w:proofErr w:type="gramStart"/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парични потоци от неразделно свързани асоциирани и съвместни предприятия и </w:t>
      </w:r>
      <w:r w:rsid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на паричните</w:t>
      </w:r>
      <w:proofErr w:type="gramEnd"/>
      <w:r w:rsid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потоци от</w:t>
      </w:r>
      <w:r w:rsidR="00AC41C2"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асоциирани и съвместни предприятия</w:t>
      </w:r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, които не са неразделно свързани</w:t>
      </w:r>
      <w:r w:rsid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,</w:t>
      </w:r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следва да бъде в</w:t>
      </w:r>
      <w:r w:rsidR="00096668"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</w:t>
      </w:r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рамките на раздела „Инвестиционна дейност” в отчета за паричните потоци</w:t>
      </w:r>
      <w:r w:rsidR="00096668"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. </w:t>
      </w:r>
      <w:r w:rsidR="00EC7640"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Десет от членовете на Съвета изразиха съгласие, а трима – несъгласие с това решение. Един от членовете на Съвета отсъстваше</w:t>
      </w:r>
      <w:r w:rsidR="00096668"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.</w:t>
      </w:r>
    </w:p>
    <w:p w:rsidR="00096668" w:rsidRPr="00AC41C2" w:rsidRDefault="0010689D" w:rsidP="00096668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AC41C2">
        <w:rPr>
          <w:rFonts w:asciiTheme="minorHAnsi" w:eastAsia="Times New Roman" w:hAnsiTheme="minorHAnsi" w:cs="Helvetica"/>
          <w:b/>
          <w:bCs/>
          <w:i/>
          <w:iCs/>
          <w:color w:val="575757"/>
          <w:szCs w:val="24"/>
          <w:lang w:val="bg-BG"/>
        </w:rPr>
        <w:t>Следващи етапи</w:t>
      </w:r>
    </w:p>
    <w:p w:rsidR="00096668" w:rsidRPr="00AC41C2" w:rsidRDefault="00CB3D09" w:rsidP="00096668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На бъдещо свое заседание Съветът ще продължи обсъжданията </w:t>
      </w:r>
      <w:proofErr w:type="gramStart"/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относно</w:t>
      </w:r>
      <w:proofErr w:type="gramEnd"/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оценките на ръководството за резултатите от дейността и други теми, включени в обхвата на проекта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96668" w:rsidRPr="00AC41C2" w:rsidRDefault="00096668" w:rsidP="00096668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 </w:t>
      </w:r>
    </w:p>
    <w:p w:rsidR="00096668" w:rsidRPr="00AC41C2" w:rsidRDefault="001F4007" w:rsidP="00096668">
      <w:pPr>
        <w:widowControl/>
        <w:shd w:val="clear" w:color="auto" w:fill="FFFFFF"/>
        <w:suppressAutoHyphens w:val="0"/>
        <w:spacing w:before="300" w:after="300"/>
        <w:outlineLvl w:val="1"/>
        <w:rPr>
          <w:rFonts w:asciiTheme="minorHAnsi" w:eastAsia="Times New Roman" w:hAnsiTheme="minorHAnsi" w:cs="Helvetica"/>
          <w:b/>
          <w:bCs/>
          <w:color w:val="333333"/>
          <w:sz w:val="34"/>
          <w:szCs w:val="34"/>
          <w:lang w:val="bg-BG"/>
        </w:rPr>
      </w:pPr>
      <w:bookmarkStart w:id="3" w:name="3"/>
      <w:r w:rsidRPr="00AC41C2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 xml:space="preserve">Динамично управление на риска </w:t>
      </w:r>
      <w:r w:rsidR="00096668" w:rsidRPr="00AC41C2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(</w:t>
      </w:r>
      <w:r w:rsidR="0010689D" w:rsidRPr="00AC41C2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096668" w:rsidRPr="00AC41C2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 xml:space="preserve"> 4)</w:t>
      </w:r>
      <w:bookmarkEnd w:id="3"/>
    </w:p>
    <w:p w:rsidR="00096668" w:rsidRPr="00AC41C2" w:rsidRDefault="0010689D" w:rsidP="00096668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На 22 февруари 2018 г. Съветът проведе заседание, за да обсъди </w:t>
      </w:r>
      <w:r w:rsidR="00CB3D09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профила на активите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—</w:t>
      </w:r>
      <w:r w:rsidR="00CB3D09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една от основните области на счетоводния модел на динамично управление на риска.</w:t>
      </w:r>
    </w:p>
    <w:p w:rsidR="00096668" w:rsidRPr="00AC41C2" w:rsidRDefault="00CB3D09" w:rsidP="00096668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 бе запознат и с обобщение на дискусиите, проведени до момента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(</w:t>
      </w:r>
      <w:r w:rsidR="0010689D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Документ по програмата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4A, </w:t>
      </w: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който бе представен единствено с информационна цел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). </w:t>
      </w:r>
      <w:r w:rsidR="00EC7640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Не бяха взети никакви решения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96668" w:rsidRPr="00AC41C2" w:rsidRDefault="00CB3D09" w:rsidP="00096668">
      <w:pPr>
        <w:widowControl/>
        <w:shd w:val="clear" w:color="auto" w:fill="FFFFFF"/>
        <w:suppressAutoHyphens w:val="0"/>
        <w:spacing w:before="300" w:after="150"/>
        <w:outlineLvl w:val="2"/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</w:pPr>
      <w:r w:rsidRPr="00AC41C2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Профил на активите</w:t>
      </w:r>
      <w:r w:rsidR="00096668" w:rsidRPr="00AC41C2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 xml:space="preserve"> (</w:t>
      </w:r>
      <w:r w:rsidR="0010689D" w:rsidRPr="00AC41C2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Документ по програмата</w:t>
      </w:r>
      <w:r w:rsidR="00096668" w:rsidRPr="00AC41C2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 xml:space="preserve"> 4</w:t>
      </w:r>
      <w:r w:rsidRPr="00AC41C2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Б</w:t>
      </w:r>
      <w:r w:rsidR="00096668" w:rsidRPr="00AC41C2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)</w:t>
      </w:r>
    </w:p>
    <w:p w:rsidR="00096668" w:rsidRPr="00AC41C2" w:rsidRDefault="00CB3D09" w:rsidP="00096668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Съветът </w:t>
      </w:r>
      <w:r w:rsidR="00D74946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обсъди ролята на профила на активите в рамките на модела на динамично управление на риска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. </w:t>
      </w:r>
      <w:r w:rsidR="00D74946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По-специално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, </w:t>
      </w:r>
      <w:r w:rsidR="00D74946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Съветът обсъди прилагането на определени критерии </w:t>
      </w:r>
      <w:r w:rsid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за допустимост </w:t>
      </w:r>
      <w:r w:rsidR="00D74946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по отношение на профила на </w:t>
      </w:r>
      <w:proofErr w:type="gramStart"/>
      <w:r w:rsidR="00D74946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активите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, </w:t>
      </w:r>
      <w:r w:rsidR="00D74946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както и определяне на </w:t>
      </w:r>
      <w:r w:rsidR="00D74946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lastRenderedPageBreak/>
        <w:t>конкретни позиции в рамките на профила на активите</w:t>
      </w:r>
      <w:proofErr w:type="gramEnd"/>
      <w:r w:rsidR="00D74946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и изискванията за документиране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. </w:t>
      </w:r>
      <w:r w:rsidR="00D74946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Съветът реши, че екипът </w:t>
      </w:r>
      <w:proofErr w:type="gramStart"/>
      <w:r w:rsidR="00D74946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следва да продължи разработването на модела, както следва</w:t>
      </w:r>
      <w:proofErr w:type="gramEnd"/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:</w:t>
      </w:r>
    </w:p>
    <w:p w:rsidR="00096668" w:rsidRPr="00AC41C2" w:rsidRDefault="007D2105" w:rsidP="00096668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  <w:lang w:val="bg-BG"/>
        </w:rPr>
      </w:pPr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Да определи критерии за допустимост по отношение на позиции в рамките на профила на активите</w:t>
      </w:r>
      <w:r w:rsidR="00096668"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;</w:t>
      </w:r>
    </w:p>
    <w:p w:rsidR="00096668" w:rsidRPr="00AC41C2" w:rsidRDefault="007D2105" w:rsidP="00096668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  <w:lang w:val="bg-BG"/>
        </w:rPr>
      </w:pPr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Да позволи определянето на портфейлна база</w:t>
      </w:r>
      <w:r w:rsidR="00096668"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;</w:t>
      </w:r>
    </w:p>
    <w:p w:rsidR="00096668" w:rsidRPr="00AC41C2" w:rsidRDefault="007D2105" w:rsidP="00096668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  <w:lang w:val="bg-BG"/>
        </w:rPr>
      </w:pPr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Да позволи определянето на процент от портфейла</w:t>
      </w:r>
      <w:r w:rsidR="00096668"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, </w:t>
      </w:r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при положение че бъдат изпълнени определени условия</w:t>
      </w:r>
      <w:r w:rsidR="00096668"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;</w:t>
      </w:r>
    </w:p>
    <w:p w:rsidR="00096668" w:rsidRPr="00AC41C2" w:rsidRDefault="007D2105" w:rsidP="00096668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  <w:lang w:val="bg-BG"/>
        </w:rPr>
      </w:pPr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Да не позволява доброволното отменяне на определянето</w:t>
      </w:r>
      <w:r w:rsidR="00096668"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;</w:t>
      </w:r>
    </w:p>
    <w:p w:rsidR="00096668" w:rsidRPr="00AC41C2" w:rsidRDefault="007D2105" w:rsidP="00096668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  <w:lang w:val="bg-BG"/>
        </w:rPr>
      </w:pPr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Да изисква отменяне на определянето, когато възникнат определени събития</w:t>
      </w:r>
      <w:r w:rsidR="00096668"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; </w:t>
      </w:r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и</w:t>
      </w:r>
    </w:p>
    <w:p w:rsidR="00096668" w:rsidRPr="00AC41C2" w:rsidRDefault="007D2105" w:rsidP="00096668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  <w:lang w:val="bg-BG"/>
        </w:rPr>
      </w:pPr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Да изисква формално документиране</w:t>
      </w:r>
      <w:r w:rsidR="00096668"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.</w:t>
      </w:r>
    </w:p>
    <w:p w:rsidR="00096668" w:rsidRPr="00AC41C2" w:rsidRDefault="007D2105" w:rsidP="00096668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Някои от членовете на Съвета изразиха резерви </w:t>
      </w:r>
      <w:proofErr w:type="gramStart"/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относно</w:t>
      </w:r>
      <w:proofErr w:type="gramEnd"/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рестриктивността на определени критерии за допустимост, като екипът отчете необходимостта от търсенето на външна обратна информация.</w:t>
      </w:r>
    </w:p>
    <w:p w:rsidR="00096668" w:rsidRPr="00AC41C2" w:rsidRDefault="007D2105" w:rsidP="00096668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По отношение на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proofErr w:type="gramStart"/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отмяната на определянето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, </w:t>
      </w: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някои от членовете на Съвета дадоха указания на екипа да оцени последиците за сумите, признати в отчета или отчетите за финансовите резултати от дейността</w:t>
      </w:r>
      <w:r w:rsidR="00695C7A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, произтичащи от събития, водещи до отмяна</w:t>
      </w:r>
      <w:proofErr w:type="gramEnd"/>
      <w:r w:rsidR="00695C7A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на определянето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. </w:t>
      </w:r>
      <w:r w:rsidR="00695C7A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 изиска също така от екипа да разгледа допълнителни събития, водещи до отмяна на определянето, за да осигури последователност с посочените по-горе критерии за допустимост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96668" w:rsidRPr="00AC41C2" w:rsidRDefault="0010689D" w:rsidP="00096668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AC41C2">
        <w:rPr>
          <w:rFonts w:asciiTheme="minorHAnsi" w:eastAsia="Times New Roman" w:hAnsiTheme="minorHAnsi" w:cs="Helvetica"/>
          <w:b/>
          <w:bCs/>
          <w:i/>
          <w:iCs/>
          <w:color w:val="575757"/>
          <w:szCs w:val="24"/>
          <w:lang w:val="bg-BG"/>
        </w:rPr>
        <w:t xml:space="preserve">Следващи </w:t>
      </w:r>
      <w:proofErr w:type="gramStart"/>
      <w:r w:rsidRPr="00AC41C2">
        <w:rPr>
          <w:rFonts w:asciiTheme="minorHAnsi" w:eastAsia="Times New Roman" w:hAnsiTheme="minorHAnsi" w:cs="Helvetica"/>
          <w:b/>
          <w:bCs/>
          <w:i/>
          <w:iCs/>
          <w:color w:val="575757"/>
          <w:szCs w:val="24"/>
          <w:lang w:val="bg-BG"/>
        </w:rPr>
        <w:t>етапи</w:t>
      </w:r>
      <w:proofErr w:type="gramEnd"/>
    </w:p>
    <w:p w:rsidR="00096668" w:rsidRPr="00AC41C2" w:rsidRDefault="00695C7A" w:rsidP="00096668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На бъдещо свое заседание Съветът ще обсъди целевия профил, описан в модела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96668" w:rsidRPr="00AC41C2" w:rsidRDefault="00096668" w:rsidP="00096668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 </w:t>
      </w:r>
    </w:p>
    <w:p w:rsidR="00096668" w:rsidRPr="00AC41C2" w:rsidRDefault="001F4007" w:rsidP="00096668">
      <w:pPr>
        <w:widowControl/>
        <w:shd w:val="clear" w:color="auto" w:fill="FFFFFF"/>
        <w:suppressAutoHyphens w:val="0"/>
        <w:spacing w:before="300" w:after="300"/>
        <w:outlineLvl w:val="1"/>
        <w:rPr>
          <w:rFonts w:asciiTheme="minorHAnsi" w:eastAsia="Times New Roman" w:hAnsiTheme="minorHAnsi" w:cs="Helvetica"/>
          <w:b/>
          <w:bCs/>
          <w:color w:val="333333"/>
          <w:sz w:val="34"/>
          <w:szCs w:val="34"/>
          <w:lang w:val="bg-BG"/>
        </w:rPr>
      </w:pPr>
      <w:bookmarkStart w:id="4" w:name="4"/>
      <w:r w:rsidRPr="00AC41C2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 xml:space="preserve">Бизнес комбинации под общ контрол </w:t>
      </w:r>
      <w:r w:rsidR="00096668" w:rsidRPr="00AC41C2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(</w:t>
      </w:r>
      <w:r w:rsidR="0010689D" w:rsidRPr="00AC41C2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096668" w:rsidRPr="00AC41C2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 xml:space="preserve"> 23)</w:t>
      </w:r>
      <w:bookmarkEnd w:id="4"/>
    </w:p>
    <w:p w:rsidR="00096668" w:rsidRPr="00AC41C2" w:rsidRDefault="0010689D" w:rsidP="00096668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На 22 февруари 2018 г</w:t>
      </w:r>
      <w:r w:rsidR="006B7955">
        <w:rPr>
          <w:rFonts w:asciiTheme="minorHAnsi" w:eastAsia="Times New Roman" w:hAnsiTheme="minorHAnsi" w:cs="Helvetica"/>
          <w:color w:val="575757"/>
          <w:szCs w:val="24"/>
          <w:lang w:val="bg-BG"/>
        </w:rPr>
        <w:t>одина</w:t>
      </w: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Съветът проведе заседание, за да обсъди </w:t>
      </w:r>
      <w:r w:rsidR="00695C7A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изследователския проект, посветен на бизнес комбинациите под общ контрол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96668" w:rsidRPr="00AC41C2" w:rsidRDefault="0010689D" w:rsidP="00096668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 реши в порядък на работна хипотеза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="00695C7A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да използва метода на придобиването, изложен в МСФО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3 </w:t>
      </w:r>
      <w:r w:rsidR="00695C7A" w:rsidRPr="00AC41C2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 xml:space="preserve">Бизнес </w:t>
      </w:r>
      <w:proofErr w:type="gramStart"/>
      <w:r w:rsidR="00695C7A" w:rsidRPr="00AC41C2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комбинации,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 </w:t>
      </w:r>
      <w:r w:rsidR="00695C7A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като</w:t>
      </w:r>
      <w:proofErr w:type="gramEnd"/>
      <w:r w:rsidR="00695C7A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отправна точка в анализа си на сделки и операции, попадащи в обхвата на проекта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. </w:t>
      </w:r>
      <w:r w:rsidR="00695C7A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Използването на тази отправна точка няма да предопредели </w:t>
      </w:r>
      <w:r w:rsidR="006B7955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това, </w:t>
      </w:r>
      <w:r w:rsidR="00695C7A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дали в крайна сметка Съветът ще предложи да се прилага методът на придобиването по отношение на всички или дори на множество сделки и операции в рамките на обхвата на проекта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96668" w:rsidRPr="00AC41C2" w:rsidRDefault="00BE7286" w:rsidP="00096668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Всичките четиринадесет членове на Съвета изразиха съгласие с това решение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96668" w:rsidRPr="00AC41C2" w:rsidRDefault="0010689D" w:rsidP="00096668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AC41C2">
        <w:rPr>
          <w:rFonts w:asciiTheme="minorHAnsi" w:eastAsia="Times New Roman" w:hAnsiTheme="minorHAnsi" w:cs="Helvetica"/>
          <w:b/>
          <w:bCs/>
          <w:i/>
          <w:iCs/>
          <w:color w:val="575757"/>
          <w:szCs w:val="24"/>
          <w:lang w:val="bg-BG"/>
        </w:rPr>
        <w:lastRenderedPageBreak/>
        <w:t xml:space="preserve">Следващи </w:t>
      </w:r>
      <w:proofErr w:type="gramStart"/>
      <w:r w:rsidRPr="00AC41C2">
        <w:rPr>
          <w:rFonts w:asciiTheme="minorHAnsi" w:eastAsia="Times New Roman" w:hAnsiTheme="minorHAnsi" w:cs="Helvetica"/>
          <w:b/>
          <w:bCs/>
          <w:i/>
          <w:iCs/>
          <w:color w:val="575757"/>
          <w:szCs w:val="24"/>
          <w:lang w:val="bg-BG"/>
        </w:rPr>
        <w:t>етапи</w:t>
      </w:r>
      <w:proofErr w:type="gramEnd"/>
    </w:p>
    <w:p w:rsidR="00096668" w:rsidRPr="00AC41C2" w:rsidRDefault="00695C7A" w:rsidP="00096668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Съветът очаква да продължи с обсъжданията си </w:t>
      </w:r>
      <w:proofErr w:type="gramStart"/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относно</w:t>
      </w:r>
      <w:proofErr w:type="gramEnd"/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методите за счетоводно отчитане по отношение на сделки и операции, попадащи в обхвата на проекта, на бъдещи свои заседания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96668" w:rsidRPr="00AC41C2" w:rsidRDefault="00096668" w:rsidP="00096668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 </w:t>
      </w:r>
    </w:p>
    <w:p w:rsidR="00096668" w:rsidRPr="00AC41C2" w:rsidRDefault="001F4007" w:rsidP="00096668">
      <w:pPr>
        <w:widowControl/>
        <w:shd w:val="clear" w:color="auto" w:fill="FFFFFF"/>
        <w:suppressAutoHyphens w:val="0"/>
        <w:spacing w:before="300" w:after="300"/>
        <w:outlineLvl w:val="1"/>
        <w:rPr>
          <w:rFonts w:asciiTheme="minorHAnsi" w:eastAsia="Times New Roman" w:hAnsiTheme="minorHAnsi" w:cs="Helvetica"/>
          <w:b/>
          <w:bCs/>
          <w:color w:val="333333"/>
          <w:sz w:val="34"/>
          <w:szCs w:val="34"/>
          <w:lang w:val="bg-BG"/>
        </w:rPr>
      </w:pPr>
      <w:bookmarkStart w:id="5" w:name="5"/>
      <w:r w:rsidRPr="00AC41C2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 xml:space="preserve">Актуална информация във връзка с изследователската програма </w:t>
      </w:r>
      <w:r w:rsidR="00096668" w:rsidRPr="00AC41C2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(</w:t>
      </w:r>
      <w:r w:rsidR="0010689D" w:rsidRPr="00AC41C2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096668" w:rsidRPr="00AC41C2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 xml:space="preserve"> 8)</w:t>
      </w:r>
      <w:bookmarkEnd w:id="5"/>
    </w:p>
    <w:p w:rsidR="00096668" w:rsidRPr="00AC41C2" w:rsidRDefault="00550CD9" w:rsidP="00096668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На 22 февруари 2018 г. Съветът проведе </w:t>
      </w:r>
      <w:proofErr w:type="gramStart"/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заседание, за да бъде запознат с актуална информация във връзка с изследователската си програма в периода след заседанието</w:t>
      </w:r>
      <w:proofErr w:type="gramEnd"/>
      <w:r w:rsidR="006B7955">
        <w:rPr>
          <w:rFonts w:asciiTheme="minorHAnsi" w:eastAsia="Times New Roman" w:hAnsiTheme="minorHAnsi" w:cs="Helvetica"/>
          <w:color w:val="575757"/>
          <w:szCs w:val="24"/>
          <w:lang w:val="bg-BG"/>
        </w:rPr>
        <w:t>, проведено през</w:t>
      </w: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септември 2017 година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. (</w:t>
      </w:r>
      <w:r w:rsidR="00C8749D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Информация относно работната програма на Съвета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, </w:t>
      </w:r>
      <w:r w:rsidR="00C8749D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включително изследователската му програма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, </w:t>
      </w:r>
      <w:r w:rsidR="00C8749D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е на </w:t>
      </w:r>
      <w:proofErr w:type="gramStart"/>
      <w:r w:rsidR="00C8749D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разположение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 </w:t>
      </w:r>
      <w:proofErr w:type="gramEnd"/>
      <w:r w:rsidR="005C0DAD" w:rsidRPr="00AC41C2">
        <w:rPr>
          <w:rFonts w:asciiTheme="minorHAnsi" w:hAnsiTheme="minorHAnsi"/>
          <w:lang w:val="bg-BG"/>
        </w:rPr>
        <w:fldChar w:fldCharType="begin"/>
      </w:r>
      <w:r w:rsidR="005C0DAD" w:rsidRPr="00AC41C2">
        <w:rPr>
          <w:rFonts w:asciiTheme="minorHAnsi" w:hAnsiTheme="minorHAnsi"/>
          <w:lang w:val="bg-BG"/>
        </w:rPr>
        <w:instrText>HYPERLINK "http://www.ifrs.org/projects/work-plan/"</w:instrText>
      </w:r>
      <w:r w:rsidR="005C0DAD" w:rsidRPr="00AC41C2">
        <w:rPr>
          <w:rFonts w:asciiTheme="minorHAnsi" w:hAnsiTheme="minorHAnsi"/>
          <w:lang w:val="bg-BG"/>
        </w:rPr>
        <w:fldChar w:fldCharType="separate"/>
      </w:r>
      <w:proofErr w:type="gramStart"/>
      <w:r w:rsidR="00C8749D" w:rsidRPr="00AC41C2">
        <w:rPr>
          <w:rFonts w:asciiTheme="minorHAnsi" w:eastAsia="Times New Roman" w:hAnsiTheme="minorHAnsi" w:cs="Helvetica"/>
          <w:color w:val="CD3333"/>
          <w:szCs w:val="24"/>
          <w:u w:val="single"/>
          <w:lang w:val="bg-BG"/>
        </w:rPr>
        <w:t>тук</w:t>
      </w:r>
      <w:proofErr w:type="gramEnd"/>
      <w:r w:rsidR="005C0DAD" w:rsidRPr="00AC41C2">
        <w:rPr>
          <w:rFonts w:asciiTheme="minorHAnsi" w:hAnsiTheme="minorHAnsi"/>
          <w:lang w:val="bg-BG"/>
        </w:rPr>
        <w:fldChar w:fldCharType="end"/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.)</w:t>
      </w:r>
    </w:p>
    <w:p w:rsidR="00096668" w:rsidRPr="00AC41C2" w:rsidRDefault="00E43C34" w:rsidP="00096668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По време на обсъждането Съветът направи преглед на проектите, очакващи разглеждане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. </w:t>
      </w: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Проектите, очакващи разглеждане не са включени в работната програма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. </w:t>
      </w: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Преди провеждане обаче на следващото Обществено допитване във връзка с програмата 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(</w:t>
      </w: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което трябва да бъде проведено през 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2021</w:t>
      </w: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г.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), </w:t>
      </w: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Съветът очаква да е завършил съществена част от изследователската </w:t>
      </w:r>
      <w:proofErr w:type="gramStart"/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работа, необходима във връзка с всеки един проект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, </w:t>
      </w: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без да трябва задължително да е приключил цялата работа</w:t>
      </w:r>
      <w:proofErr w:type="gramEnd"/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. </w:t>
      </w: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Съветът реши, че през </w:t>
      </w:r>
      <w:proofErr w:type="gramStart"/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следва</w:t>
      </w:r>
      <w:r w:rsidR="00D13EEB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щите няколко месеца екипът следва</w:t>
      </w:r>
      <w:proofErr w:type="gramEnd"/>
      <w:r w:rsidR="00D13EEB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да се стреми да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:</w:t>
      </w:r>
    </w:p>
    <w:p w:rsidR="00096668" w:rsidRPr="00AC41C2" w:rsidRDefault="00D13EEB" w:rsidP="00096668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  <w:lang w:val="bg-BG"/>
        </w:rPr>
      </w:pPr>
      <w:proofErr w:type="gramStart"/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извърши</w:t>
      </w:r>
      <w:proofErr w:type="gramEnd"/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определена работа във връзка с променливите и условни </w:t>
      </w:r>
      <w:r w:rsidR="006B7955">
        <w:rPr>
          <w:rFonts w:asciiTheme="minorHAnsi" w:eastAsia="Times New Roman" w:hAnsiTheme="minorHAnsi" w:cs="Helvetica"/>
          <w:color w:val="333333"/>
          <w:szCs w:val="24"/>
          <w:lang w:val="bg-BG"/>
        </w:rPr>
        <w:t>насрещни престации/</w:t>
      </w:r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възнаграждения,</w:t>
      </w:r>
      <w:r w:rsidR="00096668"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</w:t>
      </w:r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за да прецени колко широк следва да е обхватът на този изследователски проект</w:t>
      </w:r>
      <w:r w:rsidR="00096668"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.</w:t>
      </w:r>
    </w:p>
    <w:p w:rsidR="00096668" w:rsidRPr="00AC41C2" w:rsidRDefault="00D13EEB" w:rsidP="00096668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  <w:lang w:val="bg-BG"/>
        </w:rPr>
      </w:pPr>
      <w:proofErr w:type="gramStart"/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да</w:t>
      </w:r>
      <w:proofErr w:type="gramEnd"/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завърши оставащата изследователска работа във връзка с провизиите в разумен срок след като Съветът издаде </w:t>
      </w:r>
      <w:r w:rsidRPr="00AC41C2">
        <w:rPr>
          <w:rFonts w:asciiTheme="minorHAnsi" w:eastAsia="Times New Roman" w:hAnsiTheme="minorHAnsi" w:cs="Helvetica"/>
          <w:i/>
          <w:iCs/>
          <w:color w:val="333333"/>
          <w:szCs w:val="24"/>
          <w:lang w:val="bg-BG"/>
        </w:rPr>
        <w:t>Концептуалната рамка</w:t>
      </w:r>
      <w:r w:rsidR="00096668"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.</w:t>
      </w:r>
    </w:p>
    <w:p w:rsidR="00096668" w:rsidRPr="00AC41C2" w:rsidRDefault="00D13EEB" w:rsidP="00096668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  <w:lang w:val="bg-BG"/>
        </w:rPr>
      </w:pPr>
      <w:proofErr w:type="gramStart"/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да</w:t>
      </w:r>
      <w:proofErr w:type="gramEnd"/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започне работа във връзка с добивните дейности, като поиска от тези национални органи за изготвяне и въвеждане на стандарти, които изложиха свои становища </w:t>
      </w:r>
      <w:r w:rsidR="006B7955">
        <w:rPr>
          <w:rFonts w:asciiTheme="minorHAnsi" w:eastAsia="Times New Roman" w:hAnsiTheme="minorHAnsi" w:cs="Helvetica"/>
          <w:color w:val="333333"/>
          <w:szCs w:val="24"/>
          <w:lang w:val="bg-BG"/>
        </w:rPr>
        <w:t>в отговор на</w:t>
      </w:r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Документа за обсъждане от 2010 г.</w:t>
      </w:r>
      <w:r w:rsidR="00096668"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</w:t>
      </w:r>
      <w:r w:rsidRPr="00AC41C2">
        <w:rPr>
          <w:rFonts w:asciiTheme="minorHAnsi" w:eastAsia="Times New Roman" w:hAnsiTheme="minorHAnsi" w:cs="Helvetica"/>
          <w:i/>
          <w:iCs/>
          <w:color w:val="333333"/>
          <w:szCs w:val="24"/>
          <w:lang w:val="bg-BG"/>
        </w:rPr>
        <w:t xml:space="preserve">Добивни дейности, </w:t>
      </w:r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да запознаят Съвета с настъпили след това новости и събития</w:t>
      </w:r>
      <w:r w:rsidR="00096668"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.</w:t>
      </w:r>
    </w:p>
    <w:p w:rsidR="00096668" w:rsidRPr="00AC41C2" w:rsidRDefault="00D13EEB" w:rsidP="00096668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  <w:lang w:val="bg-BG"/>
        </w:rPr>
      </w:pPr>
      <w:proofErr w:type="gramStart"/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да</w:t>
      </w:r>
      <w:proofErr w:type="gramEnd"/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започне изследователска работа във връзка с пенсионни доходи, зависещи от възвръщаемостта на активите</w:t>
      </w:r>
      <w:r w:rsidR="00096668"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.</w:t>
      </w:r>
    </w:p>
    <w:p w:rsidR="00096668" w:rsidRPr="00AC41C2" w:rsidRDefault="00D13EEB" w:rsidP="00096668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  <w:lang w:val="bg-BG"/>
        </w:rPr>
      </w:pPr>
      <w:proofErr w:type="gramStart"/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да</w:t>
      </w:r>
      <w:proofErr w:type="gramEnd"/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започне изследователска работа във връзка с </w:t>
      </w:r>
      <w:r w:rsidR="006B7955">
        <w:rPr>
          <w:rFonts w:asciiTheme="minorHAnsi" w:eastAsia="Times New Roman" w:hAnsiTheme="minorHAnsi" w:cs="Helvetica"/>
          <w:color w:val="333333"/>
          <w:szCs w:val="24"/>
          <w:lang w:val="bg-BG"/>
        </w:rPr>
        <w:t>малките и средни предприятия (МСП)</w:t>
      </w:r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, които са дъщерни предприятия</w:t>
      </w:r>
      <w:r w:rsidR="00096668"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.</w:t>
      </w:r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</w:t>
      </w:r>
      <w:r w:rsidR="002F663A"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Екипът ще разгледа въпроса как тази изследователска </w:t>
      </w:r>
      <w:proofErr w:type="gramStart"/>
      <w:r w:rsidR="002F663A"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работа ще взаимодейства </w:t>
      </w:r>
      <w:r w:rsidR="004E37F0"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с работата</w:t>
      </w:r>
      <w:proofErr w:type="gramEnd"/>
      <w:r w:rsidR="004E37F0"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по</w:t>
      </w:r>
      <w:r w:rsidR="002F663A"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следващия всеобхватен преглед на стандарта </w:t>
      </w:r>
      <w:r w:rsidR="002F663A" w:rsidRPr="00AC41C2">
        <w:rPr>
          <w:rFonts w:asciiTheme="minorHAnsi" w:eastAsia="Times New Roman" w:hAnsiTheme="minorHAnsi" w:cs="Helvetica"/>
          <w:i/>
          <w:iCs/>
          <w:color w:val="333333"/>
          <w:szCs w:val="24"/>
          <w:lang w:val="bg-BG"/>
        </w:rPr>
        <w:t>МСФО за МСП</w:t>
      </w:r>
      <w:r w:rsidR="00096668"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.</w:t>
      </w:r>
    </w:p>
    <w:p w:rsidR="00096668" w:rsidRPr="00AC41C2" w:rsidRDefault="00EC7640" w:rsidP="00096668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Единадесет от четиринадесетте членове на Съвета изразиха съгласие, а трима – несъгласие с това решение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96668" w:rsidRPr="00AC41C2" w:rsidRDefault="0081467A" w:rsidP="00096668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lastRenderedPageBreak/>
        <w:t>Останалите проекти, очакващи разглеждане в рамките на изследователската програма са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: </w:t>
      </w:r>
      <w:r w:rsidR="00DD7534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Метод на собствения капитал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; </w:t>
      </w:r>
      <w:r w:rsidR="00DD7534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Механизми за остойностяване на замърсители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; </w:t>
      </w:r>
      <w:r w:rsidR="00DD7534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и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="00DD7534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Силна инфлация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: </w:t>
      </w:r>
      <w:r w:rsidR="00DD7534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обхват на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МСС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 29. </w:t>
      </w:r>
      <w:r w:rsidR="00DD7534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 възнамерява да започне работа по тези проекти през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2019 </w:t>
      </w:r>
      <w:r w:rsidR="00DD7534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г. или в началото на 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2020</w:t>
      </w:r>
      <w:r w:rsidR="00DD7534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г.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, </w:t>
      </w:r>
      <w:r w:rsidR="00DD7534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както и да пристъпи към осъществяване на Прегледите след въвеждане на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: (</w:t>
      </w: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а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) </w:t>
      </w: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МСФО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10</w:t>
      </w:r>
      <w:r w:rsidR="00096668" w:rsidRPr="00AC41C2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 </w:t>
      </w:r>
      <w:r w:rsidRPr="00AC41C2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Консолидирани финансови отчети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, </w:t>
      </w: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МСФО 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11 </w:t>
      </w:r>
      <w:r w:rsidRPr="00AC41C2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Съвместни споразумения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 </w:t>
      </w: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и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МСФО 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12 </w:t>
      </w:r>
      <w:r w:rsidRPr="00AC41C2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Оповестяване на участия в други предприятия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; </w:t>
      </w: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и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(</w:t>
      </w: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б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) </w:t>
      </w: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МСФО 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5 </w:t>
      </w:r>
      <w:r w:rsidRPr="00AC41C2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Нетекущи активи, държани за продажба и преустановени дейности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96668" w:rsidRPr="00AC41C2" w:rsidRDefault="0010689D" w:rsidP="00096668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AC41C2">
        <w:rPr>
          <w:rFonts w:asciiTheme="minorHAnsi" w:eastAsia="Times New Roman" w:hAnsiTheme="minorHAnsi" w:cs="Helvetica"/>
          <w:b/>
          <w:bCs/>
          <w:i/>
          <w:iCs/>
          <w:color w:val="575757"/>
          <w:szCs w:val="24"/>
          <w:lang w:val="bg-BG"/>
        </w:rPr>
        <w:t>Следващи етапи</w:t>
      </w:r>
    </w:p>
    <w:p w:rsidR="00096668" w:rsidRPr="00AC41C2" w:rsidRDefault="00C8749D" w:rsidP="00096668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 очаква да бъде запознат със следващата актуална информация във връзка с изследователската си програма след три-четири месеца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96668" w:rsidRPr="00AC41C2" w:rsidRDefault="00096668" w:rsidP="00096668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 </w:t>
      </w:r>
    </w:p>
    <w:p w:rsidR="00096668" w:rsidRPr="00AC41C2" w:rsidRDefault="001F4007" w:rsidP="00096668">
      <w:pPr>
        <w:widowControl/>
        <w:shd w:val="clear" w:color="auto" w:fill="FFFFFF"/>
        <w:suppressAutoHyphens w:val="0"/>
        <w:spacing w:before="300" w:after="300"/>
        <w:outlineLvl w:val="1"/>
        <w:rPr>
          <w:rFonts w:asciiTheme="minorHAnsi" w:eastAsia="Times New Roman" w:hAnsiTheme="minorHAnsi" w:cs="Helvetica"/>
          <w:b/>
          <w:bCs/>
          <w:color w:val="333333"/>
          <w:sz w:val="34"/>
          <w:szCs w:val="34"/>
          <w:lang w:val="bg-BG"/>
        </w:rPr>
      </w:pPr>
      <w:bookmarkStart w:id="6" w:name="6"/>
      <w:r w:rsidRPr="00AC41C2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Застрахователни договори</w:t>
      </w:r>
      <w:r w:rsidR="00096668" w:rsidRPr="00AC41C2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 xml:space="preserve"> (</w:t>
      </w:r>
      <w:r w:rsidR="0010689D" w:rsidRPr="00AC41C2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096668" w:rsidRPr="00AC41C2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 xml:space="preserve"> 2)</w:t>
      </w:r>
      <w:bookmarkEnd w:id="6"/>
    </w:p>
    <w:p w:rsidR="00096668" w:rsidRPr="00AC41C2" w:rsidRDefault="00550CD9" w:rsidP="00096668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На 22 февруари 2018 г. Съветът проведе заседание, за да бъде запознат с актуална информация във връзка с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:</w:t>
      </w:r>
    </w:p>
    <w:p w:rsidR="00096668" w:rsidRPr="00AC41C2" w:rsidRDefault="00FF74CF" w:rsidP="00096668">
      <w:pPr>
        <w:widowControl/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  <w:lang w:val="bg-BG"/>
        </w:rPr>
      </w:pPr>
      <w:proofErr w:type="gramStart"/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първото</w:t>
      </w:r>
      <w:proofErr w:type="gramEnd"/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заседание на</w:t>
      </w:r>
      <w:r w:rsidR="00096668"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</w:t>
      </w:r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Целевата група по въпросите на прехода към</w:t>
      </w:r>
      <w:r w:rsidR="00096668"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</w:t>
      </w:r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МСФО</w:t>
      </w:r>
      <w:r w:rsidR="00096668"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17 </w:t>
      </w:r>
      <w:r w:rsidRPr="00AC41C2">
        <w:rPr>
          <w:rFonts w:asciiTheme="minorHAnsi" w:eastAsia="Times New Roman" w:hAnsiTheme="minorHAnsi" w:cs="Helvetica"/>
          <w:i/>
          <w:iCs/>
          <w:color w:val="333333"/>
          <w:szCs w:val="24"/>
          <w:lang w:val="bg-BG"/>
        </w:rPr>
        <w:t xml:space="preserve">Застрахователни договори, </w:t>
      </w:r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проведено на 6 февруари 2018 година;</w:t>
      </w:r>
    </w:p>
    <w:p w:rsidR="00096668" w:rsidRPr="00AC41C2" w:rsidRDefault="00FF74CF" w:rsidP="00096668">
      <w:pPr>
        <w:widowControl/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  <w:lang w:val="bg-BG"/>
        </w:rPr>
      </w:pPr>
      <w:proofErr w:type="gramStart"/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образователните</w:t>
      </w:r>
      <w:proofErr w:type="gramEnd"/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дейности във връзка с</w:t>
      </w:r>
      <w:r w:rsidR="00096668"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</w:t>
      </w:r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МСФО </w:t>
      </w:r>
      <w:r w:rsidR="00096668"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17</w:t>
      </w:r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, проведени с инвеститори и анализатори в периода от средата на май 2017 г. до края на януари</w:t>
      </w:r>
      <w:r w:rsidR="00096668"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2018 </w:t>
      </w:r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г</w:t>
      </w:r>
      <w:r w:rsidR="00096668"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.</w:t>
      </w:r>
    </w:p>
    <w:p w:rsidR="00096668" w:rsidRPr="00AC41C2" w:rsidRDefault="00BE7286" w:rsidP="00096668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От Съвета не бе поискано да взема каквито и да е решения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96668" w:rsidRPr="00AC41C2" w:rsidRDefault="0010689D" w:rsidP="00096668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AC41C2">
        <w:rPr>
          <w:rFonts w:asciiTheme="minorHAnsi" w:eastAsia="Times New Roman" w:hAnsiTheme="minorHAnsi" w:cs="Helvetica"/>
          <w:b/>
          <w:bCs/>
          <w:i/>
          <w:iCs/>
          <w:color w:val="575757"/>
          <w:szCs w:val="24"/>
          <w:lang w:val="bg-BG"/>
        </w:rPr>
        <w:t xml:space="preserve">Следващи </w:t>
      </w:r>
      <w:proofErr w:type="gramStart"/>
      <w:r w:rsidRPr="00AC41C2">
        <w:rPr>
          <w:rFonts w:asciiTheme="minorHAnsi" w:eastAsia="Times New Roman" w:hAnsiTheme="minorHAnsi" w:cs="Helvetica"/>
          <w:b/>
          <w:bCs/>
          <w:i/>
          <w:iCs/>
          <w:color w:val="575757"/>
          <w:szCs w:val="24"/>
          <w:lang w:val="bg-BG"/>
        </w:rPr>
        <w:t>етапи</w:t>
      </w:r>
      <w:proofErr w:type="gramEnd"/>
    </w:p>
    <w:p w:rsidR="00096668" w:rsidRPr="00AC41C2" w:rsidRDefault="00FF74CF" w:rsidP="00096668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 ще бъде запознат с актуална информация във връзка с второто заседание на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Целевата група по въпросите на прехода, което ще се проведе на 2 май 2018 година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96668" w:rsidRPr="00AC41C2" w:rsidRDefault="00096668" w:rsidP="00096668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 </w:t>
      </w:r>
    </w:p>
    <w:p w:rsidR="00096668" w:rsidRPr="00AC41C2" w:rsidRDefault="001F4007" w:rsidP="00096668">
      <w:pPr>
        <w:widowControl/>
        <w:shd w:val="clear" w:color="auto" w:fill="FFFFFF"/>
        <w:suppressAutoHyphens w:val="0"/>
        <w:spacing w:before="300" w:after="300"/>
        <w:outlineLvl w:val="1"/>
        <w:rPr>
          <w:rFonts w:asciiTheme="minorHAnsi" w:eastAsia="Times New Roman" w:hAnsiTheme="minorHAnsi" w:cs="Helvetica"/>
          <w:b/>
          <w:bCs/>
          <w:color w:val="333333"/>
          <w:sz w:val="34"/>
          <w:szCs w:val="34"/>
          <w:lang w:val="bg-BG"/>
        </w:rPr>
      </w:pPr>
      <w:bookmarkStart w:id="7" w:name="7"/>
      <w:proofErr w:type="gramStart"/>
      <w:r w:rsidRPr="00AC41C2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Документи за обсъждане и Проекти за обсъждане</w:t>
      </w:r>
      <w:r w:rsidR="006B7955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 xml:space="preserve"> </w:t>
      </w:r>
      <w:r w:rsidR="00096668" w:rsidRPr="00AC41C2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(</w:t>
      </w:r>
      <w:r w:rsidR="0010689D" w:rsidRPr="00AC41C2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Документ</w:t>
      </w:r>
      <w:proofErr w:type="gramEnd"/>
      <w:r w:rsidR="0010689D" w:rsidRPr="00AC41C2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 xml:space="preserve"> по програмата</w:t>
      </w:r>
      <w:r w:rsidR="00096668" w:rsidRPr="00AC41C2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 xml:space="preserve"> 28)</w:t>
      </w:r>
      <w:bookmarkEnd w:id="7"/>
    </w:p>
    <w:p w:rsidR="00096668" w:rsidRPr="00AC41C2" w:rsidRDefault="00550CD9" w:rsidP="00096668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На 22 февруари 2018 г. Съветът проведе заседание, за да обсъди </w:t>
      </w:r>
      <w:r w:rsidR="00FF74CF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материал с основна информация, посветена на Документите за обсъждане и Проектите за обсъждане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. </w:t>
      </w:r>
      <w:r w:rsidR="00FF74CF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Обсъждането ще осигури информация за бъдещите решения на Съвета за това дали да бъде публикуван Документ за обсъждане или Проект за обсъждане във връзка с </w:t>
      </w:r>
      <w:r w:rsidR="00FF74CF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lastRenderedPageBreak/>
        <w:t>проектите, посветени на основните финансови отчети, репутацията и обезценката и дейностите с регулирани цени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. </w:t>
      </w:r>
      <w:r w:rsidR="00FF74CF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Не бяха взети никакви решения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96668" w:rsidRPr="00AC41C2" w:rsidRDefault="0010689D" w:rsidP="00096668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AC41C2">
        <w:rPr>
          <w:rFonts w:asciiTheme="minorHAnsi" w:eastAsia="Times New Roman" w:hAnsiTheme="minorHAnsi" w:cs="Helvetica"/>
          <w:b/>
          <w:bCs/>
          <w:i/>
          <w:iCs/>
          <w:color w:val="575757"/>
          <w:szCs w:val="24"/>
          <w:lang w:val="bg-BG"/>
        </w:rPr>
        <w:t>Следващи етапи</w:t>
      </w:r>
    </w:p>
    <w:p w:rsidR="00096668" w:rsidRPr="00AC41C2" w:rsidRDefault="00FF74CF" w:rsidP="00096668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В хода на разработване на проектите Съветът ще вземе решения какъв вид документ да публикува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96668" w:rsidRPr="00AC41C2" w:rsidRDefault="00096668" w:rsidP="00096668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 </w:t>
      </w:r>
    </w:p>
    <w:p w:rsidR="00096668" w:rsidRPr="00AC41C2" w:rsidRDefault="001F4007" w:rsidP="00096668">
      <w:pPr>
        <w:widowControl/>
        <w:shd w:val="clear" w:color="auto" w:fill="FFFFFF"/>
        <w:suppressAutoHyphens w:val="0"/>
        <w:spacing w:before="300" w:after="300"/>
        <w:outlineLvl w:val="1"/>
        <w:rPr>
          <w:rFonts w:asciiTheme="minorHAnsi" w:eastAsia="Times New Roman" w:hAnsiTheme="minorHAnsi" w:cs="Helvetica"/>
          <w:b/>
          <w:bCs/>
          <w:color w:val="333333"/>
          <w:sz w:val="34"/>
          <w:szCs w:val="34"/>
          <w:lang w:val="bg-BG"/>
        </w:rPr>
      </w:pPr>
      <w:bookmarkStart w:id="8" w:name="8"/>
      <w:r w:rsidRPr="00AC41C2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Дейности с регулирани цени</w:t>
      </w:r>
      <w:r w:rsidR="00096668" w:rsidRPr="00AC41C2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 xml:space="preserve"> (</w:t>
      </w:r>
      <w:r w:rsidR="0010689D" w:rsidRPr="00AC41C2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096668" w:rsidRPr="00AC41C2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 xml:space="preserve"> 9)</w:t>
      </w:r>
      <w:bookmarkEnd w:id="8"/>
    </w:p>
    <w:p w:rsidR="00096668" w:rsidRPr="00AC41C2" w:rsidRDefault="00550CD9" w:rsidP="00096668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На 22 февруари 2018 г. Съветът проведе заседание, за да обсъди </w:t>
      </w:r>
      <w:r w:rsidR="00FF74CF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възможния счетоводен модел, разработван във връзка с дейностите, обект на регулация с дефиниране на цените/тарифите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. </w:t>
      </w:r>
      <w:r w:rsidR="00FF74CF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В частност Съветът обсъди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:</w:t>
      </w:r>
    </w:p>
    <w:p w:rsidR="00096668" w:rsidRPr="00AC41C2" w:rsidRDefault="005D49E4" w:rsidP="00096668">
      <w:pPr>
        <w:widowControl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  <w:lang w:val="bg-BG"/>
        </w:rPr>
      </w:pPr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фокуса на модела върху допълнителните права и задължения, произтичащи от</w:t>
      </w:r>
      <w:r w:rsidR="00096668"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</w:t>
      </w:r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регулаторно споразумение от вида, обект на обсъждане</w:t>
      </w:r>
      <w:r w:rsidR="00096668"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. </w:t>
      </w:r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Допълнителни права и задължения са тези, създавани, когато предприятието изпълнява изисквания във връзка с регулирана услуга в период, различен от този, в който тези изисквания във връзка с услугата се фактурират на клиентите посредством регулираната цена/тарифа</w:t>
      </w:r>
      <w:r w:rsidR="00096668"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;</w:t>
      </w:r>
    </w:p>
    <w:p w:rsidR="00096668" w:rsidRPr="00AC41C2" w:rsidRDefault="005D49E4" w:rsidP="00096668">
      <w:pPr>
        <w:widowControl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  <w:lang w:val="bg-BG"/>
        </w:rPr>
      </w:pPr>
      <w:proofErr w:type="gramStart"/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коя</w:t>
      </w:r>
      <w:proofErr w:type="gramEnd"/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счетоводно отчитана единица би предоставила най-полезна информация за потребителите на финансовите отчети относно допълнителните права и задължения, произтичащи от регулаторно споразумение</w:t>
      </w:r>
      <w:r w:rsidR="00096668"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; </w:t>
      </w:r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и</w:t>
      </w:r>
    </w:p>
    <w:p w:rsidR="00096668" w:rsidRPr="00AC41C2" w:rsidRDefault="005D49E4" w:rsidP="00096668">
      <w:pPr>
        <w:widowControl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  <w:lang w:val="bg-BG"/>
        </w:rPr>
      </w:pPr>
      <w:proofErr w:type="gramStart"/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дали</w:t>
      </w:r>
      <w:proofErr w:type="gramEnd"/>
      <w:r w:rsidR="00096668"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</w:t>
      </w:r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допълнителните права и задължения отговарят на дефинициите за актив и пасив, съдържащи се в предстоящата да бъде издадена преработена</w:t>
      </w:r>
      <w:r w:rsidR="00096668"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 </w:t>
      </w:r>
      <w:r w:rsidRPr="00AC41C2">
        <w:rPr>
          <w:rFonts w:asciiTheme="minorHAnsi" w:eastAsia="Times New Roman" w:hAnsiTheme="minorHAnsi" w:cs="Helvetica"/>
          <w:i/>
          <w:iCs/>
          <w:color w:val="333333"/>
          <w:szCs w:val="24"/>
          <w:lang w:val="bg-BG"/>
        </w:rPr>
        <w:t>Концептуална рамка за финансово отчитане</w:t>
      </w:r>
      <w:r w:rsidR="00096668" w:rsidRPr="00AC41C2">
        <w:rPr>
          <w:rFonts w:asciiTheme="minorHAnsi" w:eastAsia="Times New Roman" w:hAnsiTheme="minorHAnsi" w:cs="Helvetica"/>
          <w:i/>
          <w:iCs/>
          <w:color w:val="333333"/>
          <w:szCs w:val="24"/>
          <w:lang w:val="bg-BG"/>
        </w:rPr>
        <w:t> </w:t>
      </w:r>
      <w:r w:rsidR="00096668"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(</w:t>
      </w:r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„</w:t>
      </w:r>
      <w:r w:rsidRPr="006B7955">
        <w:rPr>
          <w:rFonts w:asciiTheme="minorHAnsi" w:eastAsia="Times New Roman" w:hAnsiTheme="minorHAnsi" w:cs="Helvetica"/>
          <w:i/>
          <w:color w:val="333333"/>
          <w:szCs w:val="24"/>
          <w:lang w:val="bg-BG"/>
        </w:rPr>
        <w:t>Концептуалната рамка</w:t>
      </w:r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”</w:t>
      </w:r>
      <w:r w:rsidR="00096668"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).</w:t>
      </w:r>
    </w:p>
    <w:p w:rsidR="00096668" w:rsidRPr="00AC41C2" w:rsidRDefault="0010689D" w:rsidP="00096668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 реши в порядък на работна хипотеза</w:t>
      </w:r>
      <w:r w:rsidR="00FF74CF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, че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:</w:t>
      </w:r>
    </w:p>
    <w:p w:rsidR="00096668" w:rsidRPr="00AC41C2" w:rsidRDefault="005D49E4" w:rsidP="00096668">
      <w:pPr>
        <w:widowControl/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  <w:lang w:val="bg-BG"/>
        </w:rPr>
      </w:pPr>
      <w:proofErr w:type="gramStart"/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счетоводният</w:t>
      </w:r>
      <w:proofErr w:type="gramEnd"/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модел ще използва като своя счетоводно отчитана единица</w:t>
      </w:r>
      <w:r w:rsidR="00096668"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</w:t>
      </w:r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отделните времеви различия, които пораждат</w:t>
      </w:r>
      <w:r w:rsidR="00096668"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</w:t>
      </w:r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допълнителните права и задължения, произтичащи от регулаторно споразумение</w:t>
      </w:r>
      <w:r w:rsidR="00096668"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. </w:t>
      </w:r>
      <w:r w:rsidR="00BE7286"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Тринадесет членове на Съвета изразиха съгласие, а един – несъгласие с това решение</w:t>
      </w:r>
      <w:r w:rsidR="00096668"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.</w:t>
      </w:r>
    </w:p>
    <w:p w:rsidR="00096668" w:rsidRPr="00AC41C2" w:rsidRDefault="00594262" w:rsidP="00096668">
      <w:pPr>
        <w:widowControl/>
        <w:numPr>
          <w:ilvl w:val="0"/>
          <w:numId w:val="9"/>
        </w:numPr>
        <w:shd w:val="clear" w:color="auto" w:fill="FFFFFF"/>
        <w:suppressAutoHyphens w:val="0"/>
        <w:spacing w:beforeAutospacing="1" w:afterAutospacing="1"/>
        <w:ind w:left="495"/>
        <w:rPr>
          <w:rFonts w:asciiTheme="minorHAnsi" w:eastAsia="Times New Roman" w:hAnsiTheme="minorHAnsi" w:cs="Helvetica"/>
          <w:color w:val="333333"/>
          <w:szCs w:val="24"/>
          <w:lang w:val="bg-BG"/>
        </w:rPr>
      </w:pPr>
      <w:proofErr w:type="gramStart"/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настоящото</w:t>
      </w:r>
      <w:proofErr w:type="gramEnd"/>
      <w:r w:rsidR="005D49E4"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регулаторно право</w:t>
      </w:r>
      <w:r w:rsidR="00096668" w:rsidRPr="00AC41C2">
        <w:rPr>
          <w:rFonts w:asciiTheme="minorHAnsi" w:eastAsia="Times New Roman" w:hAnsiTheme="minorHAnsi" w:cs="Helvetica"/>
          <w:i/>
          <w:iCs/>
          <w:color w:val="2A2A2A"/>
          <w:szCs w:val="24"/>
          <w:shd w:val="clear" w:color="auto" w:fill="FFFFFF"/>
          <w:lang w:val="bg-BG"/>
        </w:rPr>
        <w:t>—</w:t>
      </w:r>
      <w:r w:rsidR="005D49E4"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да се начисли цена/тарифа, завишена с определена сума</w:t>
      </w:r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,</w:t>
      </w:r>
      <w:r w:rsidR="005D49E4"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като резултат от минали събития</w:t>
      </w:r>
      <w:r w:rsidR="00096668" w:rsidRPr="00AC41C2">
        <w:rPr>
          <w:rFonts w:asciiTheme="minorHAnsi" w:eastAsia="Times New Roman" w:hAnsiTheme="minorHAnsi" w:cs="Helvetica"/>
          <w:i/>
          <w:iCs/>
          <w:color w:val="2A2A2A"/>
          <w:szCs w:val="24"/>
          <w:shd w:val="clear" w:color="auto" w:fill="FFFFFF"/>
          <w:lang w:val="bg-BG"/>
        </w:rPr>
        <w:t>—</w:t>
      </w:r>
      <w:r w:rsidR="005D49E4"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отговаря на дефиницията за актив в</w:t>
      </w:r>
      <w:r w:rsidR="00096668"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</w:t>
      </w:r>
      <w:r w:rsidR="005D49E4" w:rsidRPr="00AC41C2">
        <w:rPr>
          <w:rFonts w:asciiTheme="minorHAnsi" w:eastAsia="Times New Roman" w:hAnsiTheme="minorHAnsi" w:cs="Helvetica"/>
          <w:i/>
          <w:iCs/>
          <w:color w:val="333333"/>
          <w:szCs w:val="24"/>
          <w:lang w:val="bg-BG"/>
        </w:rPr>
        <w:t>Концептуалната рамка</w:t>
      </w:r>
      <w:r w:rsidR="00096668"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. </w:t>
      </w:r>
      <w:r w:rsidR="00BE7286"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Всичките четиринадесет членове на Съвета изразиха съгласие с това решение</w:t>
      </w:r>
      <w:r w:rsidR="00096668"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.</w:t>
      </w:r>
    </w:p>
    <w:p w:rsidR="00096668" w:rsidRPr="00AC41C2" w:rsidRDefault="00594262" w:rsidP="00096668">
      <w:pPr>
        <w:widowControl/>
        <w:numPr>
          <w:ilvl w:val="0"/>
          <w:numId w:val="9"/>
        </w:numPr>
        <w:shd w:val="clear" w:color="auto" w:fill="FFFFFF"/>
        <w:suppressAutoHyphens w:val="0"/>
        <w:spacing w:beforeAutospacing="1" w:afterAutospacing="1"/>
        <w:ind w:left="495"/>
        <w:rPr>
          <w:rFonts w:asciiTheme="minorHAnsi" w:eastAsia="Times New Roman" w:hAnsiTheme="minorHAnsi" w:cs="Helvetica"/>
          <w:color w:val="333333"/>
          <w:szCs w:val="24"/>
          <w:lang w:val="bg-BG"/>
        </w:rPr>
      </w:pPr>
      <w:proofErr w:type="gramStart"/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настоящото</w:t>
      </w:r>
      <w:proofErr w:type="gramEnd"/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регулаторно задължение</w:t>
      </w:r>
      <w:r w:rsidR="00096668" w:rsidRPr="00AC41C2">
        <w:rPr>
          <w:rFonts w:asciiTheme="minorHAnsi" w:eastAsia="Times New Roman" w:hAnsiTheme="minorHAnsi" w:cs="Helvetica"/>
          <w:i/>
          <w:iCs/>
          <w:color w:val="2A2A2A"/>
          <w:szCs w:val="24"/>
          <w:shd w:val="clear" w:color="auto" w:fill="FFFFFF"/>
          <w:lang w:val="bg-BG"/>
        </w:rPr>
        <w:t>—</w:t>
      </w:r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да се предоставят стоки или услуги по цена/тарифа, намалена с определена сума</w:t>
      </w:r>
      <w:r w:rsidR="00096668"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</w:t>
      </w:r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като резултат от минали събития</w:t>
      </w:r>
      <w:r w:rsidRPr="00AC41C2">
        <w:rPr>
          <w:rFonts w:asciiTheme="minorHAnsi" w:eastAsia="Times New Roman" w:hAnsiTheme="minorHAnsi" w:cs="Helvetica"/>
          <w:i/>
          <w:iCs/>
          <w:color w:val="2A2A2A"/>
          <w:szCs w:val="24"/>
          <w:shd w:val="clear" w:color="auto" w:fill="FFFFFF"/>
          <w:lang w:val="bg-BG"/>
        </w:rPr>
        <w:t>—</w:t>
      </w:r>
      <w:r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отговаря на дефиницията за пасив в </w:t>
      </w:r>
      <w:r w:rsidRPr="00AC41C2">
        <w:rPr>
          <w:rFonts w:asciiTheme="minorHAnsi" w:eastAsia="Times New Roman" w:hAnsiTheme="minorHAnsi" w:cs="Helvetica"/>
          <w:i/>
          <w:iCs/>
          <w:color w:val="333333"/>
          <w:szCs w:val="24"/>
          <w:lang w:val="bg-BG"/>
        </w:rPr>
        <w:t>Концептуалната рамка</w:t>
      </w:r>
      <w:r w:rsidR="00096668"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. </w:t>
      </w:r>
      <w:r w:rsidR="00BE7286"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Всичките четиринадесет членове на Съвета изразиха съгласие с това решение</w:t>
      </w:r>
      <w:r w:rsidR="00096668" w:rsidRPr="00AC41C2">
        <w:rPr>
          <w:rFonts w:asciiTheme="minorHAnsi" w:eastAsia="Times New Roman" w:hAnsiTheme="minorHAnsi" w:cs="Helvetica"/>
          <w:color w:val="333333"/>
          <w:szCs w:val="24"/>
          <w:lang w:val="bg-BG"/>
        </w:rPr>
        <w:t>.</w:t>
      </w:r>
    </w:p>
    <w:p w:rsidR="00096668" w:rsidRPr="00AC41C2" w:rsidRDefault="0010689D" w:rsidP="00096668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AC41C2">
        <w:rPr>
          <w:rFonts w:asciiTheme="minorHAnsi" w:eastAsia="Times New Roman" w:hAnsiTheme="minorHAnsi" w:cs="Helvetica"/>
          <w:b/>
          <w:bCs/>
          <w:i/>
          <w:iCs/>
          <w:color w:val="575757"/>
          <w:szCs w:val="24"/>
          <w:lang w:val="bg-BG"/>
        </w:rPr>
        <w:lastRenderedPageBreak/>
        <w:t xml:space="preserve">Следващи </w:t>
      </w:r>
      <w:proofErr w:type="gramStart"/>
      <w:r w:rsidRPr="00AC41C2">
        <w:rPr>
          <w:rFonts w:asciiTheme="minorHAnsi" w:eastAsia="Times New Roman" w:hAnsiTheme="minorHAnsi" w:cs="Helvetica"/>
          <w:b/>
          <w:bCs/>
          <w:i/>
          <w:iCs/>
          <w:color w:val="575757"/>
          <w:szCs w:val="24"/>
          <w:lang w:val="bg-BG"/>
        </w:rPr>
        <w:t>етапи</w:t>
      </w:r>
      <w:proofErr w:type="gramEnd"/>
    </w:p>
    <w:p w:rsidR="00B84CAA" w:rsidRPr="00AC41C2" w:rsidRDefault="00594262" w:rsidP="00FF74CF">
      <w:pPr>
        <w:widowControl/>
        <w:shd w:val="clear" w:color="auto" w:fill="FFFFFF"/>
        <w:suppressAutoHyphens w:val="0"/>
        <w:spacing w:after="300"/>
        <w:rPr>
          <w:rFonts w:asciiTheme="minorHAnsi" w:hAnsiTheme="minorHAnsi"/>
          <w:lang w:val="bg-BG"/>
        </w:rPr>
      </w:pP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Преди да реши </w:t>
      </w:r>
      <w:proofErr w:type="gramStart"/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дали да публикува Документ за обсъждане или</w:t>
      </w:r>
      <w:proofErr w:type="gramEnd"/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Проект за обсъждане </w:t>
      </w:r>
      <w:r w:rsidR="006B7955">
        <w:rPr>
          <w:rFonts w:asciiTheme="minorHAnsi" w:eastAsia="Times New Roman" w:hAnsiTheme="minorHAnsi" w:cs="Helvetica"/>
          <w:color w:val="575757"/>
          <w:szCs w:val="24"/>
          <w:lang w:val="bg-BG"/>
        </w:rPr>
        <w:t>в качеството на</w:t>
      </w: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следващ документ за обществено допитване във връзка с този проект, Съветът ще обсъди предложенията във връзка с обхвата и изискванията за признаване, съдържащи се в модела</w:t>
      </w:r>
      <w:r w:rsidR="00096668"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sectPr w:rsidR="00B84CAA" w:rsidRPr="00AC41C2" w:rsidSect="005C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D4381"/>
    <w:multiLevelType w:val="multilevel"/>
    <w:tmpl w:val="5E2C59EC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138CC"/>
    <w:multiLevelType w:val="multilevel"/>
    <w:tmpl w:val="4D9014BC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D11F0F"/>
    <w:multiLevelType w:val="multilevel"/>
    <w:tmpl w:val="9EE09CB6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F25752"/>
    <w:multiLevelType w:val="multilevel"/>
    <w:tmpl w:val="B67644DE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C457B0"/>
    <w:multiLevelType w:val="multilevel"/>
    <w:tmpl w:val="46A0F496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D259D0"/>
    <w:multiLevelType w:val="multilevel"/>
    <w:tmpl w:val="A3684CBA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07645F"/>
    <w:multiLevelType w:val="multilevel"/>
    <w:tmpl w:val="3A403CD4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8303DB"/>
    <w:multiLevelType w:val="multilevel"/>
    <w:tmpl w:val="23B6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007530"/>
    <w:multiLevelType w:val="multilevel"/>
    <w:tmpl w:val="F932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96668"/>
    <w:rsid w:val="00096668"/>
    <w:rsid w:val="0010689D"/>
    <w:rsid w:val="001F4007"/>
    <w:rsid w:val="002876F4"/>
    <w:rsid w:val="002F663A"/>
    <w:rsid w:val="004E37F0"/>
    <w:rsid w:val="00550CD9"/>
    <w:rsid w:val="00594262"/>
    <w:rsid w:val="005C0DAD"/>
    <w:rsid w:val="005D49E4"/>
    <w:rsid w:val="00640181"/>
    <w:rsid w:val="00676144"/>
    <w:rsid w:val="00695C7A"/>
    <w:rsid w:val="006B7955"/>
    <w:rsid w:val="007D2105"/>
    <w:rsid w:val="0081467A"/>
    <w:rsid w:val="00A20BB6"/>
    <w:rsid w:val="00A603F7"/>
    <w:rsid w:val="00AC41C2"/>
    <w:rsid w:val="00B84CAA"/>
    <w:rsid w:val="00BB4B94"/>
    <w:rsid w:val="00BC00B5"/>
    <w:rsid w:val="00BE7286"/>
    <w:rsid w:val="00C8749D"/>
    <w:rsid w:val="00CB3D09"/>
    <w:rsid w:val="00D13EEB"/>
    <w:rsid w:val="00D73B0E"/>
    <w:rsid w:val="00D74946"/>
    <w:rsid w:val="00DD7534"/>
    <w:rsid w:val="00E43C34"/>
    <w:rsid w:val="00EC7640"/>
    <w:rsid w:val="00FF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ahom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B6"/>
    <w:pPr>
      <w:widowControl w:val="0"/>
      <w:suppressAutoHyphens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40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4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9821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97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5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5" w:color="C6C6C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74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3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rs.org/news-and-events/updates/iasb-updates/february-201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frs.org/news-and-events/updates/iasb-updates/february-201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frs.org/news-and-events/updates/iasb-updates/february-2018/" TargetMode="External"/><Relationship Id="rId11" Type="http://schemas.openxmlformats.org/officeDocument/2006/relationships/hyperlink" Target="http://www.ifrs.org/news-and-events/updates/iasb-updates/february-2018/" TargetMode="External"/><Relationship Id="rId5" Type="http://schemas.openxmlformats.org/officeDocument/2006/relationships/hyperlink" Target="http://www.ifrs.org/news-and-events/updates/iasb-updates/february-2018/" TargetMode="External"/><Relationship Id="rId10" Type="http://schemas.openxmlformats.org/officeDocument/2006/relationships/hyperlink" Target="http://www.ifrs.org/news-and-events/updates/iasb-updates/february-201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frs.org/news-and-events/updates/iasb-updates/february-201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1969</Words>
  <Characters>11652</Characters>
  <Application>Microsoft Office Word</Application>
  <DocSecurity>0</DocSecurity>
  <Lines>228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tvs</cp:lastModifiedBy>
  <cp:revision>2</cp:revision>
  <dcterms:created xsi:type="dcterms:W3CDTF">2018-03-01T06:59:00Z</dcterms:created>
  <dcterms:modified xsi:type="dcterms:W3CDTF">2018-03-01T06:59:00Z</dcterms:modified>
</cp:coreProperties>
</file>