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0" w:rsidRPr="009D6274" w:rsidRDefault="009802E0" w:rsidP="009802E0">
      <w:pPr>
        <w:widowControl/>
        <w:shd w:val="clear" w:color="auto" w:fill="FFFFFF"/>
        <w:suppressAutoHyphens w:val="0"/>
        <w:outlineLvl w:val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</w:pPr>
      <w:r w:rsidRPr="009D6274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  <w:t>IASB Update January 2018</w:t>
      </w:r>
    </w:p>
    <w:p w:rsidR="009802E0" w:rsidRPr="009D6274" w:rsidRDefault="009802E0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</w:p>
    <w:p w:rsidR="009802E0" w:rsidRPr="009D6274" w:rsidRDefault="009802E0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</w:p>
    <w:p w:rsidR="009802E0" w:rsidRPr="009D6274" w:rsidRDefault="009D6274" w:rsidP="009802E0">
      <w:pPr>
        <w:widowControl/>
        <w:shd w:val="clear" w:color="auto" w:fill="A41F35"/>
        <w:suppressAutoHyphens w:val="0"/>
        <w:outlineLvl w:val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</w:pPr>
      <w:r w:rsidRPr="009D6274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 xml:space="preserve">Информационен бюлетин на Съвета по международни счетоводни стандарти </w:t>
      </w:r>
      <w:r w:rsidRPr="009D6274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  <w:t>(IASB)</w:t>
      </w:r>
      <w:r w:rsidRPr="009D6274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 xml:space="preserve"> – януари 2018 г.</w:t>
      </w:r>
    </w:p>
    <w:p w:rsidR="009802E0" w:rsidRPr="009D6274" w:rsidRDefault="009802E0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</w:p>
    <w:p w:rsidR="009802E0" w:rsidRPr="009D6274" w:rsidRDefault="009802E0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</w:p>
    <w:p w:rsidR="009802E0" w:rsidRPr="009D6274" w:rsidRDefault="009D6274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9D627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 </w:t>
      </w:r>
      <w:r w:rsidRPr="009D6274">
        <w:rPr>
          <w:rFonts w:asciiTheme="minorHAnsi" w:eastAsia="Times New Roman" w:hAnsiTheme="minorHAnsi" w:cs="Helvetica"/>
          <w:color w:val="575757"/>
          <w:szCs w:val="24"/>
        </w:rPr>
        <w:t>:</w:t>
      </w:r>
      <w:r w:rsidRPr="009D6274">
        <w:rPr>
          <w:rFonts w:asciiTheme="minorHAnsi" w:eastAsia="Times New Roman" w:hAnsiTheme="minorHAnsi" w:cs="Helvetica"/>
          <w:color w:val="575757"/>
          <w:szCs w:val="24"/>
          <w:lang w:val="bg-BG"/>
        </w:rPr>
        <w:t>МСФО</w:t>
      </w:r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9D6274">
        <w:rPr>
          <w:rFonts w:asciiTheme="minorHAnsi" w:eastAsia="Times New Roman" w:hAnsiTheme="minorHAnsi" w:cs="Helvetica"/>
          <w:color w:val="575757"/>
          <w:szCs w:val="24"/>
          <w:lang w:val="bg-BG"/>
        </w:rPr>
        <w:t>стандарти (IFRS</w:t>
      </w:r>
      <w:r w:rsidRPr="009D6274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9D6274">
        <w:rPr>
          <w:rFonts w:asciiTheme="minorHAnsi" w:eastAsia="Times New Roman" w:hAnsiTheme="minorHAnsi" w:cs="Helvetica"/>
          <w:color w:val="575757"/>
          <w:szCs w:val="24"/>
          <w:lang w:val="bg-BG"/>
        </w:rPr>
        <w:t> Standards), изменения и разяснения (IFRIC</w:t>
      </w:r>
      <w:r w:rsidRPr="009D6274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9D627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9D6274">
        <w:rPr>
          <w:rFonts w:asciiTheme="minorHAnsi" w:eastAsia="Times New Roman" w:hAnsiTheme="minorHAnsi" w:cs="Helvetica"/>
          <w:i/>
          <w:color w:val="575757"/>
          <w:szCs w:val="24"/>
          <w:lang w:val="bg-BG"/>
        </w:rPr>
        <w:t>Ръководството по регламентираната процедура</w:t>
      </w:r>
      <w:r w:rsidRPr="009D627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Фондация МСФО (IFRS </w:t>
      </w:r>
      <w:r w:rsidRPr="009D6274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9D627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Foundation) и Комитета по разясненията на МСФО (IFRS Interpretation Committee</w:t>
      </w:r>
      <w:r w:rsidRPr="009D6274">
        <w:rPr>
          <w:rFonts w:asciiTheme="minorHAnsi" w:eastAsia="Times New Roman" w:hAnsiTheme="minorHAnsi" w:cs="Helvetica"/>
          <w:color w:val="575757"/>
          <w:szCs w:val="24"/>
        </w:rPr>
        <w:t>)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 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br/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br/>
      </w:r>
      <w:r w:rsidRPr="009D6274">
        <w:rPr>
          <w:rFonts w:asciiTheme="minorHAnsi" w:eastAsia="Times New Roman" w:hAnsiTheme="minorHAnsi" w:cs="Helvetica"/>
          <w:color w:val="575757"/>
          <w:szCs w:val="24"/>
          <w:lang w:val="bg-BG"/>
        </w:rPr>
        <w:t>На 24 януари 2018 г., сряда, и 25 януари 2018 г., четвъртък, Съветът проведе публични заседания в офисите на Фондация МСФО в Лондон, Великобритания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9D6274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  <w:lang w:val="bg-BG"/>
        </w:rPr>
        <w:t>Темите, по реда на обсъждането им, включваха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9802E0" w:rsidRPr="009D6274" w:rsidRDefault="003A574E" w:rsidP="009802E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5" w:anchor="1" w:history="1">
        <w:r w:rsidR="009D6274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Основни финансови отчети</w:t>
        </w:r>
      </w:hyperlink>
    </w:p>
    <w:p w:rsidR="009802E0" w:rsidRPr="009D6274" w:rsidRDefault="003A574E" w:rsidP="009802E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6" w:anchor="2" w:history="1">
        <w:r w:rsidR="009D6274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Финансови инструменти с характеристики на собствен капитал</w:t>
        </w:r>
      </w:hyperlink>
    </w:p>
    <w:p w:rsidR="009802E0" w:rsidRPr="009D6274" w:rsidRDefault="003A574E" w:rsidP="009802E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7" w:anchor="3" w:history="1">
        <w:r w:rsidR="009D6274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Концептуална рамка</w:t>
        </w:r>
      </w:hyperlink>
    </w:p>
    <w:p w:rsidR="009802E0" w:rsidRPr="009D6274" w:rsidRDefault="009D6274" w:rsidP="009802E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CD3333"/>
          <w:szCs w:val="24"/>
          <w:u w:val="single"/>
          <w:lang w:val="bg-BG"/>
        </w:rPr>
      </w:pPr>
      <w:r w:rsidRPr="009D6274">
        <w:rPr>
          <w:rFonts w:asciiTheme="minorHAnsi" w:eastAsia="Times New Roman" w:hAnsiTheme="minorHAnsi" w:cs="Helvetica"/>
          <w:color w:val="CD3333"/>
          <w:szCs w:val="24"/>
          <w:u w:val="single"/>
          <w:lang w:val="bg-BG"/>
        </w:rPr>
        <w:t xml:space="preserve">Въпроси, свързани с въвеждане и прилагане на </w:t>
      </w:r>
      <w:hyperlink r:id="rId8" w:anchor="4" w:history="1">
        <w:r w:rsidR="00807465" w:rsidRPr="009D6274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МСФО</w:t>
        </w:r>
      </w:hyperlink>
    </w:p>
    <w:p w:rsidR="009802E0" w:rsidRPr="009D6274" w:rsidRDefault="003A574E" w:rsidP="009802E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9" w:anchor="5" w:history="1">
        <w:r w:rsidR="009D6274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Репутация и обезценка</w:t>
        </w:r>
      </w:hyperlink>
    </w:p>
    <w:p w:rsidR="009802E0" w:rsidRPr="009D6274" w:rsidRDefault="003A574E" w:rsidP="009802E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10" w:anchor="6" w:history="1">
        <w:r w:rsidR="009D6274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Преглед след въвеждане на</w:t>
        </w:r>
        <w:r w:rsidR="009802E0" w:rsidRPr="009D6274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 </w:t>
        </w:r>
        <w:r w:rsidR="00807465" w:rsidRPr="009D6274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>МСФО</w:t>
        </w:r>
        <w:r w:rsidR="009802E0" w:rsidRPr="009D6274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 13 </w:t>
        </w:r>
        <w:r w:rsidR="009D6274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Оценяване по справедлива стойност</w:t>
        </w:r>
      </w:hyperlink>
    </w:p>
    <w:p w:rsidR="009802E0" w:rsidRPr="009D6274" w:rsidRDefault="00AD1695" w:rsidP="009802E0">
      <w:pPr>
        <w:widowControl/>
        <w:shd w:val="clear" w:color="auto" w:fill="F6F6F6"/>
        <w:suppressAutoHyphens w:val="0"/>
        <w:spacing w:before="225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Допълнителна информация</w:t>
      </w:r>
    </w:p>
    <w:p w:rsidR="009802E0" w:rsidRPr="009D6274" w:rsidRDefault="00AD1695" w:rsidP="009802E0">
      <w:pPr>
        <w:widowControl/>
        <w:shd w:val="clear" w:color="auto" w:fill="F6F6F6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AD1695">
        <w:rPr>
          <w:rFonts w:asciiTheme="minorHAnsi" w:eastAsia="Times New Roman" w:hAnsiTheme="minorHAnsi" w:cs="Helvetica"/>
          <w:color w:val="575757"/>
          <w:szCs w:val="24"/>
          <w:lang w:val="bg-BG"/>
        </w:rPr>
        <w:t>Предстоящи заседания на Съвета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9802E0" w:rsidRPr="009D6274" w:rsidRDefault="009802E0" w:rsidP="009802E0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 w:rsidRPr="009D6274">
        <w:rPr>
          <w:rFonts w:asciiTheme="minorHAnsi" w:eastAsia="Times New Roman" w:hAnsiTheme="minorHAnsi" w:cs="Helvetica"/>
          <w:color w:val="333333"/>
          <w:szCs w:val="24"/>
        </w:rPr>
        <w:t xml:space="preserve">19–23 </w:t>
      </w:r>
      <w:r w:rsid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>февруари</w:t>
      </w:r>
      <w:r w:rsidRPr="009D6274">
        <w:rPr>
          <w:rFonts w:asciiTheme="minorHAnsi" w:eastAsia="Times New Roman" w:hAnsiTheme="minorHAnsi" w:cs="Helvetica"/>
          <w:color w:val="333333"/>
          <w:szCs w:val="24"/>
        </w:rPr>
        <w:t xml:space="preserve"> 2018</w:t>
      </w:r>
      <w:r w:rsid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</w:p>
    <w:p w:rsidR="009802E0" w:rsidRPr="009D6274" w:rsidRDefault="009802E0" w:rsidP="009802E0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 w:rsidRPr="009D6274">
        <w:rPr>
          <w:rFonts w:asciiTheme="minorHAnsi" w:eastAsia="Times New Roman" w:hAnsiTheme="minorHAnsi" w:cs="Helvetica"/>
          <w:color w:val="333333"/>
          <w:szCs w:val="24"/>
        </w:rPr>
        <w:t xml:space="preserve">19–23 </w:t>
      </w:r>
      <w:r w:rsid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>март</w:t>
      </w:r>
      <w:r w:rsidRPr="009D6274">
        <w:rPr>
          <w:rFonts w:asciiTheme="minorHAnsi" w:eastAsia="Times New Roman" w:hAnsiTheme="minorHAnsi" w:cs="Helvetica"/>
          <w:color w:val="333333"/>
          <w:szCs w:val="24"/>
        </w:rPr>
        <w:t xml:space="preserve"> 2018</w:t>
      </w:r>
      <w:r w:rsid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</w:p>
    <w:p w:rsidR="009802E0" w:rsidRPr="009D6274" w:rsidRDefault="009802E0" w:rsidP="009802E0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 w:rsidRPr="009D6274">
        <w:rPr>
          <w:rFonts w:asciiTheme="minorHAnsi" w:eastAsia="Times New Roman" w:hAnsiTheme="minorHAnsi" w:cs="Helvetica"/>
          <w:color w:val="333333"/>
          <w:szCs w:val="24"/>
        </w:rPr>
        <w:lastRenderedPageBreak/>
        <w:t xml:space="preserve">23–27 </w:t>
      </w:r>
      <w:r w:rsid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>април</w:t>
      </w:r>
      <w:r w:rsidRPr="009D6274">
        <w:rPr>
          <w:rFonts w:asciiTheme="minorHAnsi" w:eastAsia="Times New Roman" w:hAnsiTheme="minorHAnsi" w:cs="Helvetica"/>
          <w:color w:val="333333"/>
          <w:szCs w:val="24"/>
        </w:rPr>
        <w:t xml:space="preserve"> 2018</w:t>
      </w:r>
      <w:r w:rsid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</w:p>
    <w:p w:rsidR="009802E0" w:rsidRPr="009D6274" w:rsidRDefault="00AD1695" w:rsidP="009802E0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0" w:name="1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Основни финансови отчети</w:t>
      </w:r>
      <w:r w:rsidR="009802E0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807465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9802E0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21)</w:t>
      </w:r>
      <w:bookmarkEnd w:id="0"/>
    </w:p>
    <w:p w:rsidR="009802E0" w:rsidRPr="009D6274" w:rsidRDefault="00DB0B5A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24 януари 2018 г. Съветът проведе заседание, за да обсъди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9802E0" w:rsidRPr="009D6274" w:rsidRDefault="00A32160" w:rsidP="009802E0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Въвеждане във финансовия отчет на оценките на ръководството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за резултатите от дейността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9802E0" w:rsidRPr="009D6274" w:rsidRDefault="00A32160" w:rsidP="009802E0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Представянето на дела от печалбата или загубата </w:t>
      </w:r>
      <w:r w:rsidR="008F628A">
        <w:rPr>
          <w:rFonts w:asciiTheme="minorHAnsi" w:eastAsia="Times New Roman" w:hAnsiTheme="minorHAnsi" w:cs="Helvetica"/>
          <w:color w:val="333333"/>
          <w:szCs w:val="24"/>
          <w:lang w:val="bg-BG"/>
        </w:rPr>
        <w:t>от „неразделно свързани“ асоциирани и съвместни предприятия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 отчета или отчетите за финансовите резултати от дейността.</w:t>
      </w:r>
    </w:p>
    <w:p w:rsidR="009802E0" w:rsidRPr="009D6274" w:rsidRDefault="008F628A" w:rsidP="009802E0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Изисквания по отношение на</w:t>
      </w:r>
      <w:r w:rsidR="009802E0" w:rsidRPr="009D627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оценките </w:t>
      </w:r>
      <w:r w:rsidR="00FC51EC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на ръководството 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за резултатите от дейността </w:t>
      </w:r>
      <w:r w:rsidR="009802E0" w:rsidRPr="009D6274">
        <w:rPr>
          <w:rFonts w:asciiTheme="minorHAnsi" w:eastAsia="Times New Roman" w:hAnsiTheme="minorHAnsi" w:cs="Helvetica"/>
          <w:b/>
          <w:bCs/>
          <w:color w:val="333333"/>
          <w:szCs w:val="24"/>
        </w:rPr>
        <w:t>(</w:t>
      </w:r>
      <w:r w:rsidR="00807465" w:rsidRPr="009D6274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9802E0" w:rsidRPr="009D6274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21A)</w:t>
      </w:r>
    </w:p>
    <w:p w:rsidR="009802E0" w:rsidRPr="009D6274" w:rsidRDefault="00807465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Съветът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реши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в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порядък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работна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хипотеза</w:t>
      </w:r>
      <w:proofErr w:type="spellEnd"/>
      <w:r w:rsidR="00DB0B5A">
        <w:rPr>
          <w:rFonts w:asciiTheme="minorHAnsi" w:eastAsia="Times New Roman" w:hAnsiTheme="minorHAnsi" w:cs="Helvetica"/>
          <w:color w:val="575757"/>
          <w:szCs w:val="24"/>
          <w:lang w:val="bg-BG"/>
        </w:rPr>
        <w:t>, че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9802E0" w:rsidRPr="009D6274" w:rsidRDefault="00E10FB7" w:rsidP="009802E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Всички</w:t>
      </w:r>
      <w:r w:rsidR="008F628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предприятия следва да посочват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своята ключова оценка или оценки за резултатите от дейността във финансовия отчет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9802E0" w:rsidRPr="009D6274" w:rsidRDefault="00E10FB7" w:rsidP="009802E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Ако някоя от тези оценки не е конкретизирана или дефинирана в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807465" w:rsidRPr="009D6274">
        <w:rPr>
          <w:rFonts w:asciiTheme="minorHAnsi" w:eastAsia="Times New Roman" w:hAnsiTheme="minorHAnsi" w:cs="Helvetica"/>
          <w:color w:val="333333"/>
          <w:szCs w:val="24"/>
        </w:rPr>
        <w:t>МСФО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стандартите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предприятието следва да идентифицира тези оценки като оценки </w:t>
      </w:r>
      <w:r w:rsidR="00FC51EC" w:rsidRPr="00FC51EC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на ръководството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за резултатите от дейността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9802E0" w:rsidRPr="009D6274" w:rsidRDefault="00E10FB7" w:rsidP="009802E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Ключовите оценки за резултатите от дейността, идентифицирани във финансовия отчет, следва да включват, като минимум, ключовите оценки за резултатите от дейността, комуникирани в годишния доклад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070609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070609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при условие, че екипът допълнително </w:t>
      </w:r>
      <w:r w:rsidR="00E10FB7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поясни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кога дадена оценка е „конкретизирана или дефинирана в МСФО стандартите“ и кои видове оценки биха били считани за „ключови оценки за резултатите от дейността“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8F628A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През декември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2017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г.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DB0B5A">
        <w:rPr>
          <w:rFonts w:asciiTheme="minorHAnsi" w:eastAsia="Times New Roman" w:hAnsiTheme="minorHAnsi" w:cs="Helvetica"/>
          <w:color w:val="575757"/>
          <w:szCs w:val="24"/>
        </w:rPr>
        <w:t>Съветът</w:t>
      </w:r>
      <w:proofErr w:type="spellEnd"/>
      <w:r w:rsidR="00DB0B5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DB0B5A">
        <w:rPr>
          <w:rFonts w:asciiTheme="minorHAnsi" w:eastAsia="Times New Roman" w:hAnsiTheme="minorHAnsi" w:cs="Helvetica"/>
          <w:color w:val="575757"/>
          <w:szCs w:val="24"/>
        </w:rPr>
        <w:t>реши</w:t>
      </w:r>
      <w:proofErr w:type="spellEnd"/>
      <w:r w:rsidR="00DB0B5A">
        <w:rPr>
          <w:rFonts w:asciiTheme="minorHAnsi" w:eastAsia="Times New Roman" w:hAnsiTheme="minorHAnsi" w:cs="Helvetica"/>
          <w:color w:val="575757"/>
          <w:szCs w:val="24"/>
        </w:rPr>
        <w:t xml:space="preserve"> в </w:t>
      </w:r>
      <w:proofErr w:type="spellStart"/>
      <w:r w:rsidR="00DB0B5A">
        <w:rPr>
          <w:rFonts w:asciiTheme="minorHAnsi" w:eastAsia="Times New Roman" w:hAnsiTheme="minorHAnsi" w:cs="Helvetica"/>
          <w:color w:val="575757"/>
          <w:szCs w:val="24"/>
        </w:rPr>
        <w:t>порядък</w:t>
      </w:r>
      <w:proofErr w:type="spellEnd"/>
      <w:r w:rsidR="00DB0B5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DB0B5A"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 w:rsidR="00DB0B5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DB0B5A">
        <w:rPr>
          <w:rFonts w:asciiTheme="minorHAnsi" w:eastAsia="Times New Roman" w:hAnsiTheme="minorHAnsi" w:cs="Helvetica"/>
          <w:color w:val="575757"/>
          <w:szCs w:val="24"/>
        </w:rPr>
        <w:t>работна</w:t>
      </w:r>
      <w:proofErr w:type="spellEnd"/>
      <w:r w:rsidR="00DB0B5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DB0B5A">
        <w:rPr>
          <w:rFonts w:asciiTheme="minorHAnsi" w:eastAsia="Times New Roman" w:hAnsiTheme="minorHAnsi" w:cs="Helvetica"/>
          <w:color w:val="575757"/>
          <w:szCs w:val="24"/>
        </w:rPr>
        <w:t>хипотеза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, че предприятията следва да представят оценка</w:t>
      </w:r>
      <w:r w:rsidR="00FC51EC" w:rsidRPr="00FC51EC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ръководството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за резултатите от дейността като междинен сбор в отчета или отчетите за финансовите резултати от дейността, </w:t>
      </w:r>
      <w:r w:rsidRPr="008F628A">
        <w:rPr>
          <w:rFonts w:asciiTheme="minorHAnsi" w:eastAsia="Times New Roman" w:hAnsiTheme="minorHAnsi" w:cs="Helvetica"/>
          <w:color w:val="575757"/>
          <w:szCs w:val="24"/>
          <w:lang w:val="bg-BG"/>
        </w:rPr>
        <w:t>ако това отговаря на предложената от Съвета структура на отчета или отчетите и удовлетворява изискванията на</w:t>
      </w:r>
      <w:r w:rsidRPr="008F628A">
        <w:rPr>
          <w:rFonts w:asciiTheme="minorHAnsi" w:eastAsia="Times New Roman" w:hAnsiTheme="minorHAnsi" w:cs="Helvetica"/>
          <w:color w:val="575757"/>
          <w:szCs w:val="24"/>
        </w:rPr>
        <w:t xml:space="preserve"> МСС 1</w:t>
      </w:r>
      <w:r w:rsidRPr="008F628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8F628A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 xml:space="preserve">Представяне на финансови отчети </w:t>
      </w:r>
      <w:r w:rsidRPr="008F628A">
        <w:rPr>
          <w:rFonts w:asciiTheme="minorHAnsi" w:eastAsia="Times New Roman" w:hAnsiTheme="minorHAnsi" w:cs="Helvetica"/>
          <w:color w:val="575757"/>
          <w:szCs w:val="24"/>
          <w:lang w:val="bg-BG"/>
        </w:rPr>
        <w:t>по отношение на междинните сборове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6F6776">
        <w:rPr>
          <w:rFonts w:asciiTheme="minorHAnsi" w:eastAsia="Times New Roman" w:hAnsiTheme="minorHAnsi" w:cs="Helvetica"/>
          <w:color w:val="575757"/>
          <w:szCs w:val="24"/>
          <w:lang w:val="bg-BG"/>
        </w:rPr>
        <w:t>На настоящото заседание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DB0B5A">
        <w:rPr>
          <w:rFonts w:asciiTheme="minorHAnsi" w:eastAsia="Times New Roman" w:hAnsiTheme="minorHAnsi" w:cs="Helvetica"/>
          <w:color w:val="575757"/>
          <w:szCs w:val="24"/>
        </w:rPr>
        <w:t>Съветът</w:t>
      </w:r>
      <w:proofErr w:type="spellEnd"/>
      <w:r w:rsidR="00DB0B5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DB0B5A">
        <w:rPr>
          <w:rFonts w:asciiTheme="minorHAnsi" w:eastAsia="Times New Roman" w:hAnsiTheme="minorHAnsi" w:cs="Helvetica"/>
          <w:color w:val="575757"/>
          <w:szCs w:val="24"/>
        </w:rPr>
        <w:t>реши</w:t>
      </w:r>
      <w:proofErr w:type="spellEnd"/>
      <w:r w:rsidR="00DB0B5A">
        <w:rPr>
          <w:rFonts w:asciiTheme="minorHAnsi" w:eastAsia="Times New Roman" w:hAnsiTheme="minorHAnsi" w:cs="Helvetica"/>
          <w:color w:val="575757"/>
          <w:szCs w:val="24"/>
        </w:rPr>
        <w:t xml:space="preserve"> в </w:t>
      </w:r>
      <w:proofErr w:type="spellStart"/>
      <w:r w:rsidR="00DB0B5A">
        <w:rPr>
          <w:rFonts w:asciiTheme="minorHAnsi" w:eastAsia="Times New Roman" w:hAnsiTheme="minorHAnsi" w:cs="Helvetica"/>
          <w:color w:val="575757"/>
          <w:szCs w:val="24"/>
        </w:rPr>
        <w:t>порядък</w:t>
      </w:r>
      <w:proofErr w:type="spellEnd"/>
      <w:r w:rsidR="00DB0B5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DB0B5A"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 w:rsidR="00DB0B5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DB0B5A">
        <w:rPr>
          <w:rFonts w:asciiTheme="minorHAnsi" w:eastAsia="Times New Roman" w:hAnsiTheme="minorHAnsi" w:cs="Helvetica"/>
          <w:color w:val="575757"/>
          <w:szCs w:val="24"/>
        </w:rPr>
        <w:t>работна</w:t>
      </w:r>
      <w:proofErr w:type="spellEnd"/>
      <w:r w:rsidR="00DB0B5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DB0B5A">
        <w:rPr>
          <w:rFonts w:asciiTheme="minorHAnsi" w:eastAsia="Times New Roman" w:hAnsiTheme="minorHAnsi" w:cs="Helvetica"/>
          <w:color w:val="575757"/>
          <w:szCs w:val="24"/>
        </w:rPr>
        <w:t>хипотеза</w:t>
      </w:r>
      <w:proofErr w:type="spellEnd"/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9802E0" w:rsidRPr="009D6274" w:rsidRDefault="006F6776" w:rsidP="009802E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че ако оценка</w:t>
      </w:r>
      <w:r w:rsidR="00FC51EC" w:rsidRPr="00FC51EC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на ръководството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за резултатите от дейността не отговаря на отчета или отчетите за финансовото състояние, в пояснителните пояснения следва да бъде направено отделно оповестяване на равнение между тази </w:t>
      </w:r>
      <w:r w:rsidR="00FC51EC">
        <w:rPr>
          <w:rFonts w:asciiTheme="minorHAnsi" w:eastAsia="Times New Roman" w:hAnsiTheme="minorHAnsi" w:cs="Helvetica"/>
          <w:color w:val="333333"/>
          <w:szCs w:val="24"/>
          <w:lang w:val="bg-BG"/>
        </w:rPr>
        <w:t>оценка</w:t>
      </w:r>
      <w:r w:rsidR="00FC51EC" w:rsidRPr="00FC51EC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на ръководството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за резултатите от дейността и най-подходящата оценка, конкретизирана или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lastRenderedPageBreak/>
        <w:t xml:space="preserve">дефинирана в </w:t>
      </w:r>
      <w:r w:rsidR="00807465" w:rsidRPr="009D6274">
        <w:rPr>
          <w:rFonts w:asciiTheme="minorHAnsi" w:eastAsia="Times New Roman" w:hAnsiTheme="minorHAnsi" w:cs="Helvetica"/>
          <w:color w:val="333333"/>
          <w:szCs w:val="24"/>
        </w:rPr>
        <w:t>МСФО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стандартите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>Единадесет</w:t>
      </w:r>
      <w:r w:rsidR="00AD1695" w:rsidRP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от членовете на Съвета изразиха съгласие, а </w:t>
      </w:r>
      <w:r w:rsid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>трима</w:t>
      </w:r>
      <w:r w:rsidR="00AD1695" w:rsidRP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– несъгласие с това решение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6F6776" w:rsidP="009802E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че не следва да има специални ограничители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върху оценките</w:t>
      </w:r>
      <w:r w:rsidR="00FC51EC" w:rsidRPr="00FC51EC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на ръководството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за резултатите от дейността, предоставяни в отделно равнение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AD1695" w:rsidRP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>Тринадесет от членовете на Съвета изразиха съгласие, а един – несъгласие с това решение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6F6776" w:rsidP="009802E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че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следва да се изискват следните оповестявания за всяка оценка </w:t>
      </w:r>
      <w:r w:rsidR="00FC51EC" w:rsidRPr="00FC51EC">
        <w:rPr>
          <w:rFonts w:asciiTheme="minorHAnsi" w:eastAsia="Times New Roman" w:hAnsiTheme="minorHAnsi" w:cs="Helvetica"/>
          <w:color w:val="333333"/>
          <w:szCs w:val="24"/>
          <w:lang w:val="bg-BG"/>
        </w:rPr>
        <w:t>на ръководството</w:t>
      </w:r>
      <w:r w:rsidR="00FC51EC" w:rsidRPr="00FC51EC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за резултатите от дейността 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(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включително оценка</w:t>
      </w:r>
      <w:r w:rsidR="00FC51EC" w:rsidRPr="00FC51EC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на ръководството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за резултатите от дейността, представена като междинен сбор в отчета или отчетите за финансовото състояние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):</w:t>
      </w:r>
    </w:p>
    <w:p w:rsidR="009802E0" w:rsidRPr="009D6274" w:rsidRDefault="006F6776" w:rsidP="009802E0">
      <w:pPr>
        <w:widowControl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описание на това защо оценката</w:t>
      </w:r>
      <w:r w:rsidR="00FC51EC" w:rsidRPr="00FC51EC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на ръководството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за резултатите от дейността представя виждането на ръководството за резултатите от дейността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включително обяснение за това</w:t>
      </w:r>
      <w:r w:rsidR="00FC51EC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как и защо се изчислява тази оценка</w:t>
      </w:r>
      <w:r w:rsidR="00FC51EC" w:rsidRPr="00FC51EC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на ръководството</w:t>
      </w:r>
      <w:r w:rsidR="00FC51EC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за резултатите от дейността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AD1695" w:rsidRP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>Тринадесет от членовете на Съвета изразиха съгласие, а един – несъгласие с това решение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FC51EC" w:rsidP="009802E0">
      <w:pPr>
        <w:widowControl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достатъчно обяснения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ако е налице промяна в начина, по който </w:t>
      </w:r>
      <w:r w:rsidRPr="00FC51EC">
        <w:rPr>
          <w:rFonts w:asciiTheme="minorHAnsi" w:eastAsia="Times New Roman" w:hAnsiTheme="minorHAnsi" w:cs="Helvetica"/>
          <w:color w:val="333333"/>
          <w:szCs w:val="24"/>
          <w:lang w:val="bg-BG"/>
        </w:rPr>
        <w:t>оценката на ръководството за резултатите от дейността</w:t>
      </w:r>
      <w:r w:rsidR="0020326D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се изчислява в течение на годината, за да се помогне на потребителите да разберат причините и ефекта от тази промяна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AD1695" w:rsidRP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>Тринадесет от членовете на Съвета изразиха съгласие, а един – несъгласие с това решение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20326D" w:rsidP="009802E0">
      <w:pPr>
        <w:widowControl/>
        <w:shd w:val="clear" w:color="auto" w:fill="FFFFFF"/>
        <w:suppressAutoHyphens w:val="0"/>
        <w:spacing w:after="300"/>
        <w:ind w:left="121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реши да не изисква петгодишно историческо обобщение, показващо за всяка година изчислението на </w:t>
      </w:r>
      <w:r w:rsidRPr="0020326D">
        <w:rPr>
          <w:rFonts w:asciiTheme="minorHAnsi" w:eastAsia="Times New Roman" w:hAnsiTheme="minorHAnsi" w:cs="Helvetica"/>
          <w:color w:val="575757"/>
          <w:szCs w:val="24"/>
          <w:lang w:val="bg-BG"/>
        </w:rPr>
        <w:t>оценката на ръководството за резултатите от дейността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AD1695">
        <w:rPr>
          <w:rFonts w:asciiTheme="minorHAnsi" w:eastAsia="Times New Roman" w:hAnsiTheme="minorHAnsi" w:cs="Helvetica"/>
          <w:color w:val="575757"/>
          <w:szCs w:val="24"/>
          <w:lang w:val="bg-BG"/>
        </w:rPr>
        <w:t>Осем</w:t>
      </w:r>
      <w:r w:rsidR="00AD1695" w:rsidRPr="00AD169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от членовете на Съвета изразиха съгласие, а </w:t>
      </w:r>
      <w:r w:rsidR="00AD1695">
        <w:rPr>
          <w:rFonts w:asciiTheme="minorHAnsi" w:eastAsia="Times New Roman" w:hAnsiTheme="minorHAnsi" w:cs="Helvetica"/>
          <w:color w:val="575757"/>
          <w:szCs w:val="24"/>
          <w:lang w:val="bg-BG"/>
        </w:rPr>
        <w:t>шест</w:t>
      </w:r>
      <w:r w:rsidR="00AD1695" w:rsidRPr="00AD169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– несъгласие с това решение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20326D" w:rsidP="009802E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че равнението между </w:t>
      </w:r>
      <w:r w:rsidRPr="0020326D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оценката на ръководството за резултатите от дейността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 най-подходящата оценка, конкретизирана или дефинирана в МСФО стандартите следва да се предоставя отделно от информацията за оперативните сегменти, оповестявана в съответствие с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807465" w:rsidRPr="009D6274">
        <w:rPr>
          <w:rFonts w:asciiTheme="minorHAnsi" w:eastAsia="Times New Roman" w:hAnsiTheme="minorHAnsi" w:cs="Helvetica"/>
          <w:color w:val="333333"/>
          <w:szCs w:val="24"/>
        </w:rPr>
        <w:t>МСФО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8 </w:t>
      </w:r>
      <w:r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>Оперативни сегменти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На предприятията обаче няма да бъде забранено да включват оценките на ръководството за резултатите от дейността в информацията за оперативните сегменти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Наред с това ще се изискват и следните оповестявания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:</w:t>
      </w:r>
    </w:p>
    <w:p w:rsidR="009802E0" w:rsidRPr="009D6274" w:rsidRDefault="0020326D" w:rsidP="009802E0">
      <w:pPr>
        <w:widowControl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обяснение за това как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Pr="0020326D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оценката на ръководството за резултатите от дейността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се различава от общия сбор на оценките за печалбата или загубата на подлежащите на отчитане сегменти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9802E0" w:rsidRPr="009D6274" w:rsidRDefault="0020326D" w:rsidP="009802E0">
      <w:pPr>
        <w:widowControl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ако нито една от оценките</w:t>
      </w:r>
      <w:r w:rsidRPr="0020326D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на ръководството за резултатите от дейността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не отговаря на информацията за оперативните сегменти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обяснение защо това е така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>Единадесет</w:t>
      </w:r>
      <w:r w:rsidR="00AD1695" w:rsidRP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от членовете на Съвета изразиха съгласие, а </w:t>
      </w:r>
      <w:r w:rsid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>трима</w:t>
      </w:r>
      <w:r w:rsidR="00AD1695" w:rsidRP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– несъгласие с това решение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FC51EC" w:rsidP="009802E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не посочва в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807465" w:rsidRPr="009D6274">
        <w:rPr>
          <w:rFonts w:asciiTheme="minorHAnsi" w:eastAsia="Times New Roman" w:hAnsiTheme="minorHAnsi" w:cs="Helvetica"/>
          <w:color w:val="333333"/>
          <w:szCs w:val="24"/>
        </w:rPr>
        <w:t>МСФО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стандартите, че оценките на ръководството за резултатите от дейността не са оценки, конкретизирани или дефинирани в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807465" w:rsidRPr="009D6274">
        <w:rPr>
          <w:rFonts w:asciiTheme="minorHAnsi" w:eastAsia="Times New Roman" w:hAnsiTheme="minorHAnsi" w:cs="Helvetica"/>
          <w:color w:val="333333"/>
          <w:szCs w:val="24"/>
        </w:rPr>
        <w:t>МСФО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стандартите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070609">
        <w:rPr>
          <w:rFonts w:asciiTheme="minorHAnsi" w:eastAsia="Times New Roman" w:hAnsiTheme="minorHAnsi" w:cs="Helvetica"/>
          <w:color w:val="333333"/>
          <w:szCs w:val="24"/>
          <w:lang w:val="bg-BG"/>
        </w:rPr>
        <w:t>Всичките четиринадесет членове на Съвета</w:t>
      </w:r>
      <w:r w:rsidR="00070609" w:rsidRPr="00070609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изразиха съгласие</w:t>
      </w:r>
      <w:r w:rsidR="00070609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с това решение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E122D9" w:rsidP="009802E0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 w:rsidRPr="00E122D9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lastRenderedPageBreak/>
        <w:t>Представянето на дела от печалбата или загубата от „неразделно свързани“ асоциирани и съвместни предприятия</w:t>
      </w:r>
      <w:r w:rsidR="009802E0" w:rsidRPr="009D6274">
        <w:rPr>
          <w:rFonts w:asciiTheme="minorHAnsi" w:eastAsia="Times New Roman" w:hAnsiTheme="minorHAnsi" w:cs="Helvetica"/>
          <w:b/>
          <w:bCs/>
          <w:color w:val="333333"/>
          <w:szCs w:val="24"/>
        </w:rPr>
        <w:t> (</w:t>
      </w:r>
      <w:r w:rsidR="00807465" w:rsidRPr="009D6274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9802E0" w:rsidRPr="009D6274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21</w:t>
      </w:r>
      <w:r w:rsidR="00332379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Б</w:t>
      </w:r>
      <w:r w:rsidR="009802E0" w:rsidRPr="009D6274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9802E0" w:rsidRPr="009D6274" w:rsidRDefault="00807465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Съветът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реши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в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порядък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работна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хипотеза</w:t>
      </w:r>
      <w:proofErr w:type="spellEnd"/>
      <w:r w:rsidR="00DB0B5A">
        <w:rPr>
          <w:rFonts w:asciiTheme="minorHAnsi" w:eastAsia="Times New Roman" w:hAnsiTheme="minorHAnsi" w:cs="Helvetica"/>
          <w:color w:val="575757"/>
          <w:szCs w:val="24"/>
          <w:lang w:val="bg-BG"/>
        </w:rPr>
        <w:t>, че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9802E0" w:rsidRPr="009D6274" w:rsidRDefault="003A65ED" w:rsidP="009802E0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от предприятията следва да се изисква да представят резултатите на „неразделно свързани“ асоциирани и съвместни предприятия отделно от тези на асоциирани и съвместни предприятия, които не са „неразделно свързани“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>Дванадесет</w:t>
      </w:r>
      <w:r w:rsidR="00AD1695" w:rsidRP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от членовете на Съвета изразиха съгласие, а </w:t>
      </w:r>
      <w:r w:rsid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>двама</w:t>
      </w:r>
      <w:r w:rsidR="00AD1695" w:rsidRP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– несъгласие с това решение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3A65ED" w:rsidP="009802E0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Първият документ по регламентираната процедура във връзка с проекта следва да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:</w:t>
      </w:r>
    </w:p>
    <w:p w:rsidR="009802E0" w:rsidRPr="009D6274" w:rsidRDefault="003A65ED" w:rsidP="009802E0">
      <w:pPr>
        <w:widowControl/>
        <w:numPr>
          <w:ilvl w:val="1"/>
          <w:numId w:val="6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използва предложената от Съвета дефиниция на „приходи/разходи от инвестиции“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(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от заседанието на Съвета през ноември 2017 г.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)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като база за разделянето между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Pr="003A65ED">
        <w:rPr>
          <w:rFonts w:asciiTheme="minorHAnsi" w:eastAsia="Times New Roman" w:hAnsiTheme="minorHAnsi" w:cs="Helvetica"/>
          <w:color w:val="333333"/>
          <w:szCs w:val="24"/>
          <w:lang w:val="bg-BG"/>
        </w:rPr>
        <w:t>неразделно свързани асоциирани и съвместни предприятия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и такива, които не са неразделно свързани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като включи неизчерпателен списък на индикатори, които биха могли да бъдат използвани, за да се направи това разграничение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Девет</w:t>
      </w:r>
      <w:r w:rsidRPr="003A65ED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от членовете на Съвета изразиха съгласие, а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петима</w:t>
      </w:r>
      <w:r w:rsidRPr="003A65ED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– несъгласие с това решение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3A65ED" w:rsidP="009802E0">
      <w:pPr>
        <w:widowControl/>
        <w:numPr>
          <w:ilvl w:val="1"/>
          <w:numId w:val="6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предложи представянето в отчета или отчетите за финансовите резултати от дейността на дела от печалбата или загубата на неразделно свързани асоциирани и съвместни предприятия като позиция на отделен ред над категорията „</w:t>
      </w:r>
      <w:r w:rsidRPr="003A65ED">
        <w:rPr>
          <w:rFonts w:asciiTheme="minorHAnsi" w:eastAsia="Times New Roman" w:hAnsiTheme="minorHAnsi" w:cs="Helvetica"/>
          <w:color w:val="333333"/>
          <w:szCs w:val="24"/>
          <w:lang w:val="bg-BG"/>
        </w:rPr>
        <w:t>приходи/разходи от инвестиции“</w:t>
      </w:r>
      <w:r w:rsidRPr="003A65ED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 да изисква нов междинен сбор над тази позиция на отделен ред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AD1695" w:rsidRPr="00AD1695">
        <w:rPr>
          <w:rFonts w:asciiTheme="minorHAnsi" w:eastAsia="Times New Roman" w:hAnsiTheme="minorHAnsi" w:cs="Helvetica"/>
          <w:color w:val="333333"/>
          <w:szCs w:val="24"/>
          <w:lang w:val="bg-BG"/>
        </w:rPr>
        <w:t>Дванадесет от членовете на Съвета изразиха съгласие, а двама – несъгласие с това решение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3A65ED" w:rsidP="009802E0">
      <w:pPr>
        <w:widowControl/>
        <w:numPr>
          <w:ilvl w:val="1"/>
          <w:numId w:val="6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обсъди</w:t>
      </w:r>
      <w:r w:rsidRPr="003A65ED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разгледани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те</w:t>
      </w:r>
      <w:r w:rsidRPr="003A65ED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от Съвета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алтернативни подходи за представяне</w:t>
      </w:r>
      <w:r w:rsidRPr="003A65ED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на дела от печалбата или загубата на неразделно свързани асоциирани и съвместни предприятия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 w:rsidR="00315BCF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както в рамките, така и извън </w:t>
      </w:r>
      <w:r w:rsidR="00315BCF" w:rsidRPr="00315BCF">
        <w:rPr>
          <w:rFonts w:asciiTheme="minorHAnsi" w:eastAsia="Times New Roman" w:hAnsiTheme="minorHAnsi" w:cs="Helvetica"/>
          <w:color w:val="333333"/>
          <w:szCs w:val="24"/>
          <w:lang w:val="bg-BG"/>
        </w:rPr>
        <w:t>категорията „приходи/разходи от инвестиции“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 w:rsidR="00315BCF">
        <w:rPr>
          <w:rFonts w:asciiTheme="minorHAnsi" w:eastAsia="Times New Roman" w:hAnsiTheme="minorHAnsi" w:cs="Helvetica"/>
          <w:color w:val="333333"/>
          <w:szCs w:val="24"/>
          <w:lang w:val="bg-BG"/>
        </w:rPr>
        <w:t>и причините, изтъкнати от Съвета за отхвърляне на тези подходи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  <w:r w:rsidR="00315BCF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="00070609" w:rsidRPr="00070609">
        <w:rPr>
          <w:rFonts w:asciiTheme="minorHAnsi" w:eastAsia="Times New Roman" w:hAnsiTheme="minorHAnsi" w:cs="Helvetica"/>
          <w:color w:val="333333"/>
          <w:szCs w:val="24"/>
          <w:lang w:val="bg-BG"/>
        </w:rPr>
        <w:t>Всичките четиринадесет членове на Съвета изразиха съгласие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807465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9D6274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9802E0" w:rsidRPr="009D6274" w:rsidRDefault="00315BCF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</w:t>
      </w:r>
      <w:r w:rsidRPr="00315BCF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а бъдещи свои заседания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ще продължи обсъжданията по теми, попадащи в рамките на проекта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9802E0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9D627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9802E0" w:rsidRPr="009D6274" w:rsidRDefault="00AD1695" w:rsidP="009802E0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1" w:name="2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Финансови инструменти с характеристики на собствен капитал</w:t>
      </w:r>
      <w:r w:rsidR="009802E0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807465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9802E0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5)</w:t>
      </w:r>
      <w:bookmarkEnd w:id="1"/>
    </w:p>
    <w:p w:rsidR="009802E0" w:rsidRPr="009D6274" w:rsidRDefault="00DB0B5A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B0B5A">
        <w:rPr>
          <w:rFonts w:asciiTheme="minorHAnsi" w:eastAsia="Times New Roman" w:hAnsiTheme="minorHAnsi" w:cs="Helvetica"/>
          <w:color w:val="575757"/>
          <w:szCs w:val="24"/>
          <w:lang w:val="bg-BG"/>
        </w:rPr>
        <w:t>На 24 януари 2018 г. Съветът проведе заседание, за да обсъди</w:t>
      </w:r>
      <w:r w:rsidRPr="00DB0B5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15BCF">
        <w:rPr>
          <w:rFonts w:asciiTheme="minorHAnsi" w:eastAsia="Times New Roman" w:hAnsiTheme="minorHAnsi" w:cs="Helvetica"/>
          <w:color w:val="575757"/>
          <w:szCs w:val="24"/>
          <w:lang w:val="bg-BG"/>
        </w:rPr>
        <w:t>въпрос, повдигнат във връзка с проекта на текста преди гласуване на Документа за обсъждане, посветен на финансовите инструменти с характеристики на собствен капитал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B134F7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 xml:space="preserve">Въпросът се отнася до това как подходът „Гама“ класифицира недеривативни инструменти със сложна структура на </w:t>
      </w:r>
      <w:r w:rsidR="007C5F9C">
        <w:rPr>
          <w:rFonts w:asciiTheme="minorHAnsi" w:eastAsia="Times New Roman" w:hAnsiTheme="minorHAnsi" w:cs="Helvetica"/>
          <w:color w:val="575757"/>
          <w:szCs w:val="24"/>
          <w:lang w:val="bg-BG"/>
        </w:rPr>
        <w:t>погасяване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Проблемът възниква, когато предприятието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има опцията да ограничи размера на претенция към наличните икономически ресурси на предприятието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(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например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опция да уреди претенцията, като предостави фиксиран брой акции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),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но има и опцията да уреди претенцията по сума, която се влияе от други променливи, които са независими от икономическите ресурси на предприятието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обсъди въпроса дали подобен инструмент би могъл да бъде анализиран като основен договор, който е инструмент на собствения капитал и внедрен деривативен актив, ако издателят държи опцията да уреди претенцията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B134F7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В случаите, когато предприятието няма опцията да ограничи размера на претенцията към наличните икономически ресурси на предприятието, инструментът би бил анализиран като </w:t>
      </w:r>
      <w:r w:rsidRPr="00B134F7">
        <w:rPr>
          <w:rFonts w:asciiTheme="minorHAnsi" w:eastAsia="Times New Roman" w:hAnsiTheme="minorHAnsi" w:cs="Helvetica"/>
          <w:color w:val="575757"/>
          <w:szCs w:val="24"/>
          <w:lang w:val="bg-BG"/>
        </w:rPr>
        <w:t>основен договор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 внедрен дериватив, които са пасиви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7C5F9C">
        <w:rPr>
          <w:rFonts w:asciiTheme="minorHAnsi" w:eastAsia="Times New Roman" w:hAnsiTheme="minorHAnsi" w:cs="Helvetica"/>
          <w:color w:val="575757"/>
          <w:szCs w:val="24"/>
          <w:lang w:val="bg-BG"/>
        </w:rPr>
        <w:t>Тази позиция е в съответствие с предварителното виждане на Съвета относно условните събития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807465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Съветът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реши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в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порядък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работна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хипотеза</w:t>
      </w:r>
      <w:proofErr w:type="spellEnd"/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9802E0" w:rsidRPr="009D6274" w:rsidRDefault="007C5F9C" w:rsidP="009802E0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преди да предложи конкретни счетоводни изисквания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постави въпроса в Документа за обсъждане и да потърси обратна информация относно това дали отделянето на внедрените деривативи може да е потенциално решение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;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и</w:t>
      </w:r>
    </w:p>
    <w:p w:rsidR="009802E0" w:rsidRPr="009D6274" w:rsidRDefault="007C5F9C" w:rsidP="009802E0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 w:rsidRPr="007C5F9C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да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повдигне</w:t>
      </w:r>
      <w:r w:rsidRPr="007C5F9C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въпрос в Документа за обсъждане</w:t>
      </w:r>
      <w:r w:rsidRPr="007C5F9C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относно това дали и как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изискванията за разпределяне </w:t>
      </w:r>
      <w:r>
        <w:rPr>
          <w:rFonts w:asciiTheme="minorHAnsi" w:eastAsia="Times New Roman" w:hAnsiTheme="minorHAnsi" w:cs="Helvetica"/>
          <w:color w:val="333333"/>
          <w:szCs w:val="24"/>
        </w:rPr>
        <w:t>(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отнасяне</w:t>
      </w:r>
      <w:r>
        <w:rPr>
          <w:rFonts w:asciiTheme="minorHAnsi" w:eastAsia="Times New Roman" w:hAnsiTheme="minorHAnsi" w:cs="Helvetica"/>
          <w:color w:val="333333"/>
          <w:szCs w:val="24"/>
        </w:rPr>
        <w:t>)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могат да спомогнат за предоставянето на информация относно сложни погашения, ако внедреният дериватив не се отделя от основния договор, който е инструмент на собствения капитал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070609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070609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Всичките четиринадесет членове на Съвета изразиха съгласие с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тези</w:t>
      </w:r>
      <w:r w:rsidRPr="00070609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решени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я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807465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9D6274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9802E0" w:rsidRPr="009D6274" w:rsidRDefault="007C5F9C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очаква да публикува Документа за обсъждане през второто тримесечие на 2018 година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9802E0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9D627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9802E0" w:rsidRPr="009D6274" w:rsidRDefault="00AD1695" w:rsidP="009802E0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2" w:name="3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Концептуална рамка</w:t>
      </w:r>
      <w:r w:rsidR="009802E0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807465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9802E0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10)</w:t>
      </w:r>
      <w:bookmarkEnd w:id="2"/>
    </w:p>
    <w:p w:rsidR="009802E0" w:rsidRPr="009D6274" w:rsidRDefault="00DB0B5A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B0B5A">
        <w:rPr>
          <w:rFonts w:asciiTheme="minorHAnsi" w:eastAsia="Times New Roman" w:hAnsiTheme="minorHAnsi" w:cs="Helvetica"/>
          <w:color w:val="575757"/>
          <w:szCs w:val="24"/>
          <w:lang w:val="bg-BG"/>
        </w:rPr>
        <w:t>На 2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5</w:t>
      </w:r>
      <w:r w:rsidRPr="00DB0B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януари 2018 г. Съветът проведе заседание, за да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бъде запознат с актуална информация относно текущото състояние на проекта, посветен на Концептуалната рамка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AD1695" w:rsidRPr="00AD1695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807465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9D6274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9802E0" w:rsidRPr="009D6274" w:rsidRDefault="00DB0B5A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Съветът възнамерява да публикува преработената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 </w:t>
      </w:r>
      <w:r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Концептуална рамка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 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през март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2018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г., а </w:t>
      </w:r>
      <w:r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Препратките към Концептуалната рамка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 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заедно или скоро след преработената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DB0B5A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Концептуална рамка</w:t>
      </w:r>
      <w:r w:rsidRPr="00DB0B5A">
        <w:rPr>
          <w:rFonts w:asciiTheme="minorHAnsi" w:eastAsia="Times New Roman" w:hAnsiTheme="minorHAnsi" w:cs="Helvetica"/>
          <w:i/>
          <w:iCs/>
          <w:color w:val="575757"/>
          <w:szCs w:val="24"/>
        </w:rPr>
        <w:t> 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9802E0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9D627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9802E0" w:rsidRPr="009D6274" w:rsidRDefault="00AD1695" w:rsidP="009802E0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3" w:name="4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Въпроси, свързани с въвеждане и прилагане на</w:t>
      </w:r>
      <w:r w:rsidR="009802E0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r w:rsidR="00807465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МСФО</w:t>
      </w:r>
      <w:r w:rsidR="009802E0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стандартите</w:t>
      </w:r>
      <w:bookmarkEnd w:id="3"/>
    </w:p>
    <w:p w:rsidR="009802E0" w:rsidRPr="009D6274" w:rsidRDefault="00DB0B5A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B0B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25 януари 2018 г. Съветът проведе заседание, за да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обсъди </w:t>
      </w:r>
      <w:r w:rsidR="00396F88">
        <w:rPr>
          <w:rFonts w:asciiTheme="minorHAnsi" w:eastAsia="Times New Roman" w:hAnsiTheme="minorHAnsi" w:cs="Helvetica"/>
          <w:color w:val="575757"/>
          <w:szCs w:val="24"/>
          <w:lang w:val="bg-BG"/>
        </w:rPr>
        <w:t>проекти за въвеждане и поддържане на стандарти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05506C" w:rsidP="009802E0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Стокови кредити и свързани с тях сделки</w:t>
      </w:r>
      <w:r w:rsidR="009802E0" w:rsidRPr="009D627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—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потенциален нов изследователски проект</w:t>
      </w:r>
      <w:r w:rsidR="009802E0" w:rsidRPr="009D627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(</w:t>
      </w:r>
      <w:r w:rsidR="00807465" w:rsidRPr="009D627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Документ по програмата</w:t>
      </w:r>
      <w:r w:rsidR="009802E0" w:rsidRPr="009D627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12A)</w:t>
      </w:r>
    </w:p>
    <w:p w:rsidR="009802E0" w:rsidRPr="009D6274" w:rsidRDefault="0005506C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обсъди някои сделки и операции, които биха могли да формират част от изследователски проект, който да бъде добавен към програмата на Съвета, включително сделки и операции с участието на специфични видове стоки, дигитални валути и парникови квоти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05506C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По-специално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обсъди две отличителни характеристики на тези сделки и операции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 именно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че те включват артикули, държани с инвестиционна цел или артикули, използвани по начин, сходен с начина, по който се използват паричните средства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AD1695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AD1695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807465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9D6274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9802E0" w:rsidRPr="009D6274" w:rsidRDefault="0005506C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бъдещо свое заседание </w:t>
      </w:r>
      <w:r w:rsidRPr="0005506C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ще </w:t>
      </w:r>
      <w:r w:rsidRPr="0005506C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обсъди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дали да добави изследователски проект, посветен на някои или на всички такива сделки и операции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05506C" w:rsidP="009802E0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Данъчно облагане при оценяване по справедлива стойност</w:t>
      </w:r>
      <w:r w:rsidR="009802E0" w:rsidRPr="009D627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(</w:t>
      </w:r>
      <w:r w:rsidR="00807465" w:rsidRPr="009D627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МСС</w:t>
      </w:r>
      <w:r w:rsidR="009802E0" w:rsidRPr="009D627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41)—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потенциално годишно подобрение</w:t>
      </w:r>
      <w:r w:rsidR="009802E0" w:rsidRPr="009D627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(</w:t>
      </w:r>
      <w:r w:rsidR="00807465" w:rsidRPr="009D627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Документ по програмата</w:t>
      </w:r>
      <w:r w:rsidR="009802E0" w:rsidRPr="009D627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12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Б</w:t>
      </w:r>
      <w:r w:rsidR="009802E0" w:rsidRPr="009D627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)</w:t>
      </w:r>
    </w:p>
    <w:p w:rsidR="009802E0" w:rsidRPr="009D6274" w:rsidRDefault="0005506C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05506C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обсъди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направената от Комитета по разясненията на </w:t>
      </w:r>
      <w:r w:rsidR="00807465" w:rsidRPr="009D6274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препоръка да предложи изменение на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07465" w:rsidRPr="009D6274">
        <w:rPr>
          <w:rFonts w:asciiTheme="minorHAnsi" w:eastAsia="Times New Roman" w:hAnsiTheme="minorHAnsi" w:cs="Helvetica"/>
          <w:color w:val="575757"/>
          <w:szCs w:val="24"/>
        </w:rPr>
        <w:t>МСС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41 </w:t>
      </w:r>
      <w:r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Земеделие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 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като част от следващия цикъл на Съвета с Годишни подобрения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Изменението ще отстрани изискването предприятията да изключват паричните потоци от данъци при оценяването на справедливата стойност на биологични активи</w:t>
      </w:r>
      <w:r w:rsidR="0023619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 помощта на техниката на настоящата стойност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AD1695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 членове на Съвета изразиха съгласие с това предложение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807465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lastRenderedPageBreak/>
        <w:t>Съветът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реши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в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порядък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работна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хипотеза</w:t>
      </w:r>
      <w:proofErr w:type="spellEnd"/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A424AD">
        <w:rPr>
          <w:rFonts w:asciiTheme="minorHAnsi" w:eastAsia="Times New Roman" w:hAnsiTheme="minorHAnsi" w:cs="Helvetica"/>
          <w:color w:val="575757"/>
          <w:szCs w:val="24"/>
          <w:lang w:val="bg-BG"/>
        </w:rPr>
        <w:t>да предложи предприятията да прилагат измененията по отношение на справедлива стойност, оценявана след датата на влизане в сила на измененията, като по-ранното прилагане е разрешено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AD1695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AD1695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 членове на Съвета изразиха съгласие с това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решение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807465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9D6274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9802E0" w:rsidRPr="009D6274" w:rsidRDefault="00A424AD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A424AD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бъдещо свое заседание Съветът ще обсъди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стъпките от регламентираната процедура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9802E0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9D627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9802E0" w:rsidRPr="009D6274" w:rsidRDefault="00AD1695" w:rsidP="009802E0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4" w:name="5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Репутация и обезценка</w:t>
      </w:r>
      <w:r w:rsidR="009802E0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807465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9802E0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18)</w:t>
      </w:r>
      <w:bookmarkEnd w:id="4"/>
    </w:p>
    <w:p w:rsidR="009802E0" w:rsidRPr="009D6274" w:rsidRDefault="000D4CE6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0D4CE6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25 януари 2018 г. Съветът проведе заседание, за да обсъди </w:t>
      </w:r>
      <w:r w:rsidR="00872E2B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дали може да опрости изчислението на стойността в употреба, без да прави теста за обезценка в </w:t>
      </w:r>
      <w:r w:rsidR="00807465" w:rsidRPr="009D6274">
        <w:rPr>
          <w:rFonts w:asciiTheme="minorHAnsi" w:eastAsia="Times New Roman" w:hAnsiTheme="minorHAnsi" w:cs="Helvetica"/>
          <w:color w:val="575757"/>
          <w:szCs w:val="24"/>
        </w:rPr>
        <w:t>МСС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36 </w:t>
      </w:r>
      <w:r w:rsidR="00872E2B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Обезценка на активи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 </w:t>
      </w:r>
      <w:r w:rsidR="00872E2B">
        <w:rPr>
          <w:rFonts w:asciiTheme="minorHAnsi" w:eastAsia="Times New Roman" w:hAnsiTheme="minorHAnsi" w:cs="Helvetica"/>
          <w:color w:val="575757"/>
          <w:szCs w:val="24"/>
          <w:lang w:val="bg-BG"/>
        </w:rPr>
        <w:t>по-малко стриктен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807465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Съветът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реши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в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порядък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работна</w:t>
      </w:r>
      <w:proofErr w:type="spellEnd"/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9D6274">
        <w:rPr>
          <w:rFonts w:asciiTheme="minorHAnsi" w:eastAsia="Times New Roman" w:hAnsiTheme="minorHAnsi" w:cs="Helvetica"/>
          <w:color w:val="575757"/>
          <w:szCs w:val="24"/>
        </w:rPr>
        <w:t>хипотеза</w:t>
      </w:r>
      <w:proofErr w:type="spellEnd"/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72E2B">
        <w:rPr>
          <w:rFonts w:asciiTheme="minorHAnsi" w:eastAsia="Times New Roman" w:hAnsiTheme="minorHAnsi" w:cs="Helvetica"/>
          <w:color w:val="575757"/>
          <w:szCs w:val="24"/>
          <w:lang w:val="bg-BG"/>
        </w:rPr>
        <w:t>да обмисли отстраняване на изискването предприятието да изключва от изчислението на стойността в употреба паричните потоци, произтичащи от бъдещо преструктуриране или бъдещо усъвършенстване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AD1695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Тринадесет от членовете на Съвета изразиха съгласие, а един – несъгласие с това решение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872E2B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spellStart"/>
      <w:r w:rsidRPr="00872E2B">
        <w:rPr>
          <w:rFonts w:asciiTheme="minorHAnsi" w:eastAsia="Times New Roman" w:hAnsiTheme="minorHAnsi" w:cs="Helvetica"/>
          <w:color w:val="575757"/>
          <w:szCs w:val="24"/>
        </w:rPr>
        <w:t>Съветът</w:t>
      </w:r>
      <w:proofErr w:type="spellEnd"/>
      <w:r w:rsidRPr="00872E2B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872E2B">
        <w:rPr>
          <w:rFonts w:asciiTheme="minorHAnsi" w:eastAsia="Times New Roman" w:hAnsiTheme="minorHAnsi" w:cs="Helvetica"/>
          <w:color w:val="575757"/>
          <w:szCs w:val="24"/>
        </w:rPr>
        <w:t>реши</w:t>
      </w:r>
      <w:proofErr w:type="spellEnd"/>
      <w:r w:rsidRPr="00872E2B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също така </w:t>
      </w:r>
      <w:r w:rsidRPr="00872E2B">
        <w:rPr>
          <w:rFonts w:asciiTheme="minorHAnsi" w:eastAsia="Times New Roman" w:hAnsiTheme="minorHAnsi" w:cs="Helvetica"/>
          <w:color w:val="575757"/>
          <w:szCs w:val="24"/>
        </w:rPr>
        <w:t xml:space="preserve">в </w:t>
      </w:r>
      <w:proofErr w:type="spellStart"/>
      <w:r w:rsidRPr="00872E2B">
        <w:rPr>
          <w:rFonts w:asciiTheme="minorHAnsi" w:eastAsia="Times New Roman" w:hAnsiTheme="minorHAnsi" w:cs="Helvetica"/>
          <w:color w:val="575757"/>
          <w:szCs w:val="24"/>
        </w:rPr>
        <w:t>порядък</w:t>
      </w:r>
      <w:proofErr w:type="spellEnd"/>
      <w:r w:rsidRPr="00872E2B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872E2B"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 w:rsidRPr="00872E2B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872E2B">
        <w:rPr>
          <w:rFonts w:asciiTheme="minorHAnsi" w:eastAsia="Times New Roman" w:hAnsiTheme="minorHAnsi" w:cs="Helvetica"/>
          <w:color w:val="575757"/>
          <w:szCs w:val="24"/>
        </w:rPr>
        <w:t>работна</w:t>
      </w:r>
      <w:proofErr w:type="spellEnd"/>
      <w:r w:rsidRPr="00872E2B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Pr="00872E2B">
        <w:rPr>
          <w:rFonts w:asciiTheme="minorHAnsi" w:eastAsia="Times New Roman" w:hAnsiTheme="minorHAnsi" w:cs="Helvetica"/>
          <w:color w:val="575757"/>
          <w:szCs w:val="24"/>
        </w:rPr>
        <w:t>хипотеза</w:t>
      </w:r>
      <w:proofErr w:type="spellEnd"/>
      <w:r w:rsidRPr="00872E2B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872E2B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да обмисли отстраняване на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изричното </w:t>
      </w:r>
      <w:r w:rsidRPr="00872E2B">
        <w:rPr>
          <w:rFonts w:asciiTheme="minorHAnsi" w:eastAsia="Times New Roman" w:hAnsiTheme="minorHAnsi" w:cs="Helvetica"/>
          <w:color w:val="575757"/>
          <w:szCs w:val="24"/>
          <w:lang w:val="bg-BG"/>
        </w:rPr>
        <w:t>изискване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за изчисляване на стойността в употреба да се използват входящи данни преди данъчно облагане и да се оповестяват използваните дисконтови проценти преди данъчно облагане.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Вместо това, от предприятието ще се изисква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9802E0" w:rsidRPr="009D6274" w:rsidRDefault="00872E2B" w:rsidP="009802E0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използва вътрешно съгласувани предположения относно паричните потоци и дисконтовите проценти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9802E0" w:rsidRPr="009D6274" w:rsidRDefault="00872E2B" w:rsidP="009802E0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оповестява действително използвания дисконтов процент или проценти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070609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070609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807465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9D6274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9802E0" w:rsidRPr="009D6274" w:rsidRDefault="00872E2B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бъдещо свое заседание Съветът ще</w:t>
      </w:r>
      <w:bookmarkStart w:id="5" w:name="_GoBack"/>
      <w:bookmarkEnd w:id="5"/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9802E0" w:rsidRPr="009D6274" w:rsidRDefault="00145B94" w:rsidP="009802E0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обсъди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дали да се формират междинни сборове за някои нематериални активи в рамките на репутация, придобита в бизнес комбинация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9802E0" w:rsidRPr="009D6274" w:rsidRDefault="00145B94" w:rsidP="009802E0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lastRenderedPageBreak/>
        <w:t>вземе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решение дали следващият етап на проекта следва да бъде документ за обсъждане или проект за обсъждане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9802E0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9D627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9802E0" w:rsidRPr="009D6274" w:rsidRDefault="00AD1695" w:rsidP="009802E0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6" w:name="6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Преглед след въвеждане на</w:t>
      </w:r>
      <w:r w:rsidR="009802E0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r w:rsidR="00807465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МСФО</w:t>
      </w:r>
      <w:r w:rsidR="009802E0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13 </w:t>
      </w:r>
      <w:r>
        <w:rPr>
          <w:rFonts w:asciiTheme="minorHAnsi" w:eastAsia="Times New Roman" w:hAnsiTheme="minorHAnsi" w:cs="Helvetica"/>
          <w:b/>
          <w:bCs/>
          <w:i/>
          <w:iCs/>
          <w:color w:val="CD3333"/>
          <w:sz w:val="34"/>
          <w:szCs w:val="34"/>
          <w:lang w:val="bg-BG"/>
        </w:rPr>
        <w:t xml:space="preserve">Оценяване по справедлива стойност </w:t>
      </w:r>
      <w:r w:rsidR="009802E0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(</w:t>
      </w:r>
      <w:r w:rsidR="00807465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9802E0" w:rsidRPr="009D627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7)</w:t>
      </w:r>
      <w:bookmarkEnd w:id="6"/>
    </w:p>
    <w:p w:rsidR="009802E0" w:rsidRPr="009D6274" w:rsidRDefault="000D4CE6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0D4CE6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25 януари 2018 г. Съветът проведе заседание, за да обсъди </w:t>
      </w:r>
      <w:r w:rsidR="00145B94">
        <w:rPr>
          <w:rFonts w:asciiTheme="minorHAnsi" w:eastAsia="Times New Roman" w:hAnsiTheme="minorHAnsi" w:cs="Helvetica"/>
          <w:color w:val="575757"/>
          <w:szCs w:val="24"/>
          <w:lang w:val="bg-BG"/>
        </w:rPr>
        <w:t>становищата, получени като обратна информация от фаза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2 </w:t>
      </w:r>
      <w:r w:rsidR="00145B9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Прегледа след въвеждане на </w:t>
      </w:r>
      <w:r w:rsidR="00807465" w:rsidRPr="009D6274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13 </w:t>
      </w:r>
      <w:r w:rsidR="00145B94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 xml:space="preserve">Оценяване по справедлива </w:t>
      </w:r>
      <w:proofErr w:type="gramStart"/>
      <w:r w:rsidR="00145B94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стойност</w:t>
      </w:r>
      <w:r w:rsidR="009802E0" w:rsidRPr="009D6274">
        <w:rPr>
          <w:rFonts w:asciiTheme="minorHAnsi" w:eastAsia="Times New Roman" w:hAnsiTheme="minorHAnsi" w:cs="Helvetica"/>
          <w:i/>
          <w:iCs/>
          <w:color w:val="575757"/>
          <w:szCs w:val="24"/>
        </w:rPr>
        <w:t> 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(</w:t>
      </w:r>
      <w:r w:rsidR="00807465" w:rsidRPr="009D6274">
        <w:rPr>
          <w:rFonts w:asciiTheme="minorHAnsi" w:eastAsia="Times New Roman" w:hAnsiTheme="minorHAnsi" w:cs="Helvetica"/>
          <w:color w:val="575757"/>
          <w:szCs w:val="24"/>
        </w:rPr>
        <w:t>МСФО</w:t>
      </w:r>
      <w:proofErr w:type="gramEnd"/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13), </w:t>
      </w:r>
      <w:r w:rsidR="00145B94">
        <w:rPr>
          <w:rFonts w:asciiTheme="minorHAnsi" w:eastAsia="Times New Roman" w:hAnsiTheme="minorHAnsi" w:cs="Helvetica"/>
          <w:color w:val="575757"/>
          <w:szCs w:val="24"/>
          <w:lang w:val="bg-BG"/>
        </w:rPr>
        <w:t>включително обратна информация от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9802E0" w:rsidRPr="009D6274" w:rsidRDefault="00145B94" w:rsidP="009802E0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Искането за предоставяне на информация във връзка с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807465" w:rsidRPr="009D6274">
        <w:rPr>
          <w:rFonts w:asciiTheme="minorHAnsi" w:eastAsia="Times New Roman" w:hAnsiTheme="minorHAnsi" w:cs="Helvetica"/>
          <w:color w:val="333333"/>
          <w:szCs w:val="24"/>
        </w:rPr>
        <w:t>МСФО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13,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публикувано през май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2017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г. и затворено за предоставяне на коментари през септември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2017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9802E0" w:rsidRPr="009D6274" w:rsidRDefault="00145B94" w:rsidP="009802E0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Външния преглед на научната литература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проведен между юни и ноември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2017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9802E0" w:rsidRPr="009D6274" w:rsidRDefault="00145B94" w:rsidP="009802E0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Научноизследователската работа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извършена от екипа и приключила в рамките на фаза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2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от Прегледа след въвеждане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145B94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Работата във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фаза</w:t>
      </w:r>
      <w:r w:rsidRPr="009D6274">
        <w:rPr>
          <w:rFonts w:asciiTheme="minorHAnsi" w:eastAsia="Times New Roman" w:hAnsiTheme="minorHAnsi" w:cs="Helvetica"/>
          <w:color w:val="333333"/>
          <w:szCs w:val="24"/>
        </w:rPr>
        <w:t xml:space="preserve"> 2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от Прегледа след въвеждане</w:t>
      </w:r>
      <w:r w:rsidRPr="009D627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се фокусира върху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9802E0" w:rsidRPr="009D6274" w:rsidRDefault="00145B94" w:rsidP="009802E0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Оповестяванията </w:t>
      </w: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относно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оценките по справедлива стойност, с оглед получаване на по-задълбочено разбиране за гледната точка както на потребителите, така и на съставителите,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относно полезността на оповестяванията във връзка с оценяването по справедлива стойност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145B94" w:rsidP="009802E0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Дали да се даде приоритет на входящите данни на </w:t>
      </w:r>
      <w:r w:rsidR="007F3846">
        <w:rPr>
          <w:rFonts w:asciiTheme="minorHAnsi" w:eastAsia="Times New Roman" w:hAnsiTheme="minorHAnsi" w:cs="Helvetica"/>
          <w:color w:val="333333"/>
          <w:szCs w:val="24"/>
          <w:lang w:val="bg-BG"/>
        </w:rPr>
        <w:t>Н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иво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 1 </w:t>
      </w:r>
      <w:r w:rsidR="007F3846">
        <w:rPr>
          <w:rFonts w:asciiTheme="minorHAnsi" w:eastAsia="Times New Roman" w:hAnsiTheme="minorHAnsi" w:cs="Helvetica"/>
          <w:color w:val="333333"/>
          <w:szCs w:val="24"/>
          <w:lang w:val="bg-BG"/>
        </w:rPr>
        <w:t>или</w:t>
      </w:r>
      <w:proofErr w:type="gramEnd"/>
      <w:r w:rsidR="007F3846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на счетоводно отчитаната единица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7F3846">
        <w:rPr>
          <w:rFonts w:asciiTheme="minorHAnsi" w:eastAsia="Times New Roman" w:hAnsiTheme="minorHAnsi" w:cs="Helvetica"/>
          <w:color w:val="333333"/>
          <w:szCs w:val="24"/>
          <w:lang w:val="bg-BG"/>
        </w:rPr>
        <w:t>Екипът направи оценка на мащаба и ефекта от този проблем и проучи настоящата практика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7F3846" w:rsidP="009802E0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Прилагане на концепцията за </w:t>
      </w:r>
      <w:r w:rsidR="00283968">
        <w:rPr>
          <w:rFonts w:asciiTheme="minorHAnsi" w:eastAsia="Times New Roman" w:hAnsiTheme="minorHAnsi" w:cs="Helvetica"/>
          <w:color w:val="333333"/>
          <w:szCs w:val="24"/>
          <w:lang w:val="bg-BG"/>
        </w:rPr>
        <w:t>„използване с цел максимизиране на стойността (оптимално използване)” при оценяване на справедливата стойност на нефинансови активи, с оглед по-добро разбиране на предизвикателствата при прилагането на тази концепция и дали допълнителна подкрепа би била от полза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283968" w:rsidP="009802E0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Прилагане на преценки в някои области, с оглед оценяване на предизвикателствата и дали допълнителна подкрепа би била от полза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283968" w:rsidP="009802E0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Дали има необходимост от допълнителни материали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например образователни материали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относно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оценяването по справедлива стойност на биологични активи и некотирани капиталови инструменти</w:t>
      </w:r>
      <w:r w:rsidR="009802E0" w:rsidRPr="009D627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9802E0" w:rsidRPr="009D6274" w:rsidRDefault="00AD1695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9802E0" w:rsidRPr="009D6274" w:rsidRDefault="00807465" w:rsidP="009802E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9D6274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B84CAA" w:rsidRPr="009D6274" w:rsidRDefault="000D4CE6" w:rsidP="00283968">
      <w:pPr>
        <w:widowControl/>
        <w:shd w:val="clear" w:color="auto" w:fill="FFFFFF"/>
        <w:suppressAutoHyphens w:val="0"/>
        <w:spacing w:after="300"/>
        <w:rPr>
          <w:rFonts w:asciiTheme="minorHAnsi" w:hAnsiTheme="minorHAnsi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бъдещо свое заседание Съветът ще обсъди дали да предприема каквито и да е стъпки в резултат на тази обратна информация</w:t>
      </w:r>
      <w:r w:rsidR="009802E0" w:rsidRPr="009D6274">
        <w:rPr>
          <w:rFonts w:asciiTheme="minorHAnsi" w:eastAsia="Times New Roman" w:hAnsiTheme="minorHAnsi" w:cs="Helvetica"/>
          <w:color w:val="575757"/>
          <w:szCs w:val="24"/>
        </w:rPr>
        <w:t>.</w:t>
      </w:r>
    </w:p>
    <w:sectPr w:rsidR="00B84CAA" w:rsidRPr="009D6274" w:rsidSect="003A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BD2"/>
    <w:multiLevelType w:val="multilevel"/>
    <w:tmpl w:val="EFE48CC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D277A"/>
    <w:multiLevelType w:val="multilevel"/>
    <w:tmpl w:val="5680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19DF"/>
    <w:multiLevelType w:val="multilevel"/>
    <w:tmpl w:val="6EF4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356BB"/>
    <w:multiLevelType w:val="multilevel"/>
    <w:tmpl w:val="DA84AD5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4EC4"/>
    <w:multiLevelType w:val="multilevel"/>
    <w:tmpl w:val="8DFC906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103DA"/>
    <w:multiLevelType w:val="multilevel"/>
    <w:tmpl w:val="6D98D6C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10603"/>
    <w:multiLevelType w:val="multilevel"/>
    <w:tmpl w:val="55E6BF8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B4266"/>
    <w:multiLevelType w:val="multilevel"/>
    <w:tmpl w:val="6AFCBB5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E4557F"/>
    <w:multiLevelType w:val="multilevel"/>
    <w:tmpl w:val="41F2657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70830"/>
    <w:multiLevelType w:val="multilevel"/>
    <w:tmpl w:val="BEDA2E3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32E88"/>
    <w:multiLevelType w:val="multilevel"/>
    <w:tmpl w:val="D646EFD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802E0"/>
    <w:rsid w:val="0005506C"/>
    <w:rsid w:val="00070609"/>
    <w:rsid w:val="000D4CE6"/>
    <w:rsid w:val="000F4233"/>
    <w:rsid w:val="00145B94"/>
    <w:rsid w:val="001B7815"/>
    <w:rsid w:val="001C0301"/>
    <w:rsid w:val="00200091"/>
    <w:rsid w:val="0020326D"/>
    <w:rsid w:val="00205073"/>
    <w:rsid w:val="00236192"/>
    <w:rsid w:val="00283968"/>
    <w:rsid w:val="00315BCF"/>
    <w:rsid w:val="00332352"/>
    <w:rsid w:val="00332379"/>
    <w:rsid w:val="00396F88"/>
    <w:rsid w:val="003A574E"/>
    <w:rsid w:val="003A65ED"/>
    <w:rsid w:val="00471E6F"/>
    <w:rsid w:val="006F6776"/>
    <w:rsid w:val="00711F57"/>
    <w:rsid w:val="007C5F9C"/>
    <w:rsid w:val="007F3846"/>
    <w:rsid w:val="00807465"/>
    <w:rsid w:val="008415B4"/>
    <w:rsid w:val="008669C4"/>
    <w:rsid w:val="00872E2B"/>
    <w:rsid w:val="008F628A"/>
    <w:rsid w:val="009802E0"/>
    <w:rsid w:val="009D6274"/>
    <w:rsid w:val="009F541B"/>
    <w:rsid w:val="00A20BB6"/>
    <w:rsid w:val="00A32160"/>
    <w:rsid w:val="00A424AD"/>
    <w:rsid w:val="00AC7B1E"/>
    <w:rsid w:val="00AD1695"/>
    <w:rsid w:val="00B134F7"/>
    <w:rsid w:val="00B84CAA"/>
    <w:rsid w:val="00C44980"/>
    <w:rsid w:val="00DB0B5A"/>
    <w:rsid w:val="00E10FB7"/>
    <w:rsid w:val="00E122D9"/>
    <w:rsid w:val="00F238EC"/>
    <w:rsid w:val="00FC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B6"/>
    <w:pPr>
      <w:widowControl w:val="0"/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7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0707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66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org/news-and-events/updates/iasb-updates/january-2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rs.org/news-and-events/updates/iasb-updates/january-20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s.org/news-and-events/updates/iasb-updates/january-201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frs.org/news-and-events/updates/iasb-updates/january-2018/" TargetMode="External"/><Relationship Id="rId10" Type="http://schemas.openxmlformats.org/officeDocument/2006/relationships/hyperlink" Target="http://www.ifrs.org/news-and-events/updates/iasb-updates/january-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rs.org/news-and-events/updates/iasb-updates/january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2355</Words>
  <Characters>13922</Characters>
  <Application>Microsoft Office Word</Application>
  <DocSecurity>0</DocSecurity>
  <Lines>272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tvs</cp:lastModifiedBy>
  <cp:revision>2</cp:revision>
  <dcterms:created xsi:type="dcterms:W3CDTF">2018-02-05T05:01:00Z</dcterms:created>
  <dcterms:modified xsi:type="dcterms:W3CDTF">2018-02-05T05:01:00Z</dcterms:modified>
</cp:coreProperties>
</file>