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84" w:rsidRPr="00684498" w:rsidRDefault="00355A84" w:rsidP="00355A84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bookmarkStart w:id="0" w:name="_GoBack"/>
      <w:bookmarkEnd w:id="0"/>
      <w:r w:rsidRPr="00684498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IA</w:t>
      </w:r>
    </w:p>
    <w:p w:rsidR="00355A84" w:rsidRPr="00684498" w:rsidRDefault="00684498" w:rsidP="00684498">
      <w:pPr>
        <w:widowControl/>
        <w:shd w:val="clear" w:color="auto" w:fill="A41F35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684498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</w:t>
      </w:r>
      <w:r w:rsidRPr="00684498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(</w:t>
      </w:r>
      <w:r w:rsidR="00355A84" w:rsidRPr="00684498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IASB</w:t>
      </w:r>
      <w:r w:rsidRPr="00684498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)</w:t>
      </w:r>
      <w:r w:rsidRPr="00684498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 – ноември 2017 г.</w:t>
      </w:r>
    </w:p>
    <w:p w:rsidR="00355A84" w:rsidRPr="00684498" w:rsidRDefault="00355A84" w:rsidP="00355A84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684498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SB Update November 2017</w:t>
      </w:r>
    </w:p>
    <w:p w:rsidR="00355A84" w:rsidRPr="00684498" w:rsidRDefault="00684498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стандарти (IFRS</w:t>
      </w:r>
      <w:r w:rsidRPr="00684498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> Standards), изменения и разяснения (IFRIC</w:t>
      </w:r>
      <w:r w:rsidRPr="00684498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684498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(IFRS </w:t>
      </w:r>
      <w:r w:rsidRPr="00684498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Foundation) и Комитета по разясненията на МСФО (IFRS Interpretation Committee)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br/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br/>
      </w: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>На 14 ноември 2017 г.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</w:t>
      </w: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вторник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684498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проведе публични заседания в офисите на Фондация МСФО в Лондон, Великобритания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br/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br/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A1459E" w:rsidP="00355A8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5" w:anchor="1" w:history="1">
        <w:r w:rsidR="00684498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Динамично управление на риска</w:t>
        </w:r>
      </w:hyperlink>
    </w:p>
    <w:p w:rsidR="00355A84" w:rsidRPr="00684498" w:rsidRDefault="00A1459E" w:rsidP="00355A8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6" w:anchor="2" w:history="1">
        <w:r w:rsidR="00684498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Подобрения в МСФО</w:t>
        </w:r>
        <w:r w:rsidR="00355A84" w:rsidRPr="00684498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8</w:t>
        </w:r>
      </w:hyperlink>
    </w:p>
    <w:p w:rsidR="00355A84" w:rsidRPr="00684498" w:rsidRDefault="00A1459E" w:rsidP="00355A8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7" w:anchor="3" w:history="1">
        <w:r w:rsidR="00684498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Основни финансови отчети</w:t>
        </w:r>
      </w:hyperlink>
    </w:p>
    <w:p w:rsidR="00355A84" w:rsidRPr="00684498" w:rsidRDefault="00A1459E" w:rsidP="00355A84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8" w:anchor="4" w:history="1">
        <w:r w:rsidR="00684498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Разширено корпоративно отчитане</w:t>
        </w:r>
      </w:hyperlink>
    </w:p>
    <w:p w:rsidR="00355A84" w:rsidRPr="00684498" w:rsidRDefault="005A548F" w:rsidP="00355A84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 w:rsidRPr="005A548F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Допълнителна информация</w:t>
      </w:r>
    </w:p>
    <w:p w:rsidR="00355A84" w:rsidRPr="00684498" w:rsidRDefault="005A548F" w:rsidP="00355A84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548F">
        <w:rPr>
          <w:rFonts w:asciiTheme="minorHAnsi" w:eastAsia="Times New Roman" w:hAnsiTheme="minorHAnsi" w:cs="Helvetica"/>
          <w:color w:val="575757"/>
          <w:szCs w:val="24"/>
          <w:lang w:val="bg-BG"/>
        </w:rPr>
        <w:t>Предстоящи заседания на Съвета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355A84" w:rsidP="00355A84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684498">
        <w:rPr>
          <w:rFonts w:asciiTheme="minorHAnsi" w:eastAsia="Times New Roman" w:hAnsiTheme="minorHAnsi" w:cs="Helvetica"/>
          <w:color w:val="333333"/>
          <w:szCs w:val="24"/>
        </w:rPr>
        <w:t xml:space="preserve">11–15 </w:t>
      </w:r>
      <w:r w:rsidR="00684498">
        <w:rPr>
          <w:rFonts w:asciiTheme="minorHAnsi" w:eastAsia="Times New Roman" w:hAnsiTheme="minorHAnsi" w:cs="Helvetica"/>
          <w:color w:val="333333"/>
          <w:szCs w:val="24"/>
          <w:lang w:val="bg-BG"/>
        </w:rPr>
        <w:t>декември</w:t>
      </w:r>
      <w:r w:rsidRPr="00684498">
        <w:rPr>
          <w:rFonts w:asciiTheme="minorHAnsi" w:eastAsia="Times New Roman" w:hAnsiTheme="minorHAnsi" w:cs="Helvetica"/>
          <w:color w:val="333333"/>
          <w:szCs w:val="24"/>
        </w:rPr>
        <w:t xml:space="preserve"> 2017</w:t>
      </w:r>
      <w:r w:rsidR="00684498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355A84" w:rsidRPr="00684498" w:rsidRDefault="00355A84" w:rsidP="00355A84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684498">
        <w:rPr>
          <w:rFonts w:asciiTheme="minorHAnsi" w:eastAsia="Times New Roman" w:hAnsiTheme="minorHAnsi" w:cs="Helvetica"/>
          <w:color w:val="333333"/>
          <w:szCs w:val="24"/>
        </w:rPr>
        <w:t xml:space="preserve">22–26 </w:t>
      </w:r>
      <w:r w:rsidR="00684498">
        <w:rPr>
          <w:rFonts w:asciiTheme="minorHAnsi" w:eastAsia="Times New Roman" w:hAnsiTheme="minorHAnsi" w:cs="Helvetica"/>
          <w:color w:val="333333"/>
          <w:szCs w:val="24"/>
          <w:lang w:val="bg-BG"/>
        </w:rPr>
        <w:t>януари</w:t>
      </w:r>
      <w:r w:rsidRPr="00684498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684498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355A84" w:rsidRPr="00684498" w:rsidRDefault="00355A84" w:rsidP="00355A84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684498">
        <w:rPr>
          <w:rFonts w:asciiTheme="minorHAnsi" w:eastAsia="Times New Roman" w:hAnsiTheme="minorHAnsi" w:cs="Helvetica"/>
          <w:color w:val="333333"/>
          <w:szCs w:val="24"/>
        </w:rPr>
        <w:t xml:space="preserve">19–23 </w:t>
      </w:r>
      <w:r w:rsidR="00684498">
        <w:rPr>
          <w:rFonts w:asciiTheme="minorHAnsi" w:eastAsia="Times New Roman" w:hAnsiTheme="minorHAnsi" w:cs="Helvetica"/>
          <w:color w:val="333333"/>
          <w:szCs w:val="24"/>
          <w:lang w:val="bg-BG"/>
        </w:rPr>
        <w:t>февруари</w:t>
      </w:r>
      <w:r w:rsidRPr="00684498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684498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355A84" w:rsidRPr="00684498" w:rsidRDefault="00407C03" w:rsidP="00355A84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1" w:name="1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4)</w:t>
      </w:r>
      <w:bookmarkEnd w:id="1"/>
    </w:p>
    <w:p w:rsidR="00355A84" w:rsidRPr="00684498" w:rsidRDefault="005A548F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548F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1</w:t>
      </w:r>
      <w:r w:rsidRPr="005A548F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4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ноември</w:t>
      </w:r>
      <w:r w:rsidRPr="005A548F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2017 г. Съветът проведе заседание, за да обсъди</w:t>
      </w:r>
      <w:r w:rsidRPr="005A548F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205A65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предложените два подхода за счетоводен модел, който по-успешно да отразява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 </w:t>
      </w:r>
      <w:hyperlink r:id="rId9" w:history="1">
        <w:r w:rsidR="00205A65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динамичното управление на риска</w:t>
        </w:r>
      </w:hyperlink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205A65">
        <w:rPr>
          <w:rFonts w:asciiTheme="minorHAnsi" w:eastAsia="Times New Roman" w:hAnsiTheme="minorHAnsi" w:cs="Helvetica"/>
          <w:color w:val="575757"/>
          <w:szCs w:val="24"/>
          <w:lang w:val="bg-BG"/>
        </w:rPr>
        <w:t>при финансовото отчитане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205A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По-конкретно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обсъди целите на модела и дали би трябвало да приложи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205A65" w:rsidP="00355A8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Техника на базата на хеджиране на паричния поток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или</w:t>
      </w:r>
    </w:p>
    <w:p w:rsidR="00355A84" w:rsidRPr="00684498" w:rsidRDefault="00205A65" w:rsidP="00355A84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205A65">
        <w:rPr>
          <w:rFonts w:asciiTheme="minorHAnsi" w:eastAsia="Times New Roman" w:hAnsiTheme="minorHAnsi" w:cs="Helvetica"/>
          <w:color w:val="333333"/>
          <w:szCs w:val="24"/>
          <w:lang w:val="bg-BG"/>
        </w:rPr>
        <w:t>Техника на базата на хеджиране на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справедливата стойност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205A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 че екипът следва да се фокусира върху по-нататъшното разработване на модел, базиран на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</w:t>
      </w:r>
      <w:r w:rsidRPr="00205A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ехника на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основата</w:t>
      </w:r>
      <w:r w:rsidRPr="00205A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хеджиране на паричния поток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Ч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етиринадесет членове на Съвета изразиха съгласие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нито един несъгласие с това решение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355A84" w:rsidRPr="00684498" w:rsidRDefault="00205A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следващото заседание на Съвета екипът ще представи проекто-план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355A84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684498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355A84" w:rsidRPr="00684498" w:rsidRDefault="00407C03" w:rsidP="00355A84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2" w:name="2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Подобрения в МСФО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8 </w:t>
      </w:r>
      <w:r>
        <w:rPr>
          <w:rFonts w:asciiTheme="minorHAnsi" w:eastAsia="Times New Roman" w:hAnsiTheme="minorHAnsi" w:cs="Helvetica"/>
          <w:b/>
          <w:bCs/>
          <w:i/>
          <w:iCs/>
          <w:color w:val="CD3333"/>
          <w:sz w:val="34"/>
          <w:szCs w:val="34"/>
          <w:lang w:val="bg-BG"/>
        </w:rPr>
        <w:t>Оперативни сегменти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 (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27)</w:t>
      </w:r>
      <w:bookmarkEnd w:id="2"/>
    </w:p>
    <w:p w:rsidR="00355A84" w:rsidRPr="00684498" w:rsidRDefault="005A548F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548F">
        <w:rPr>
          <w:rFonts w:asciiTheme="minorHAnsi" w:eastAsia="Times New Roman" w:hAnsiTheme="minorHAnsi" w:cs="Helvetica"/>
          <w:color w:val="575757"/>
          <w:szCs w:val="24"/>
          <w:lang w:val="bg-BG"/>
        </w:rPr>
        <w:t>На 14 ноември 2017 г. Съветът проведе заседание, за да обсъди</w:t>
      </w:r>
      <w:r w:rsidRPr="005A548F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B565A">
        <w:rPr>
          <w:rFonts w:asciiTheme="minorHAnsi" w:eastAsia="Times New Roman" w:hAnsiTheme="minorHAnsi" w:cs="Helvetica"/>
          <w:color w:val="575757"/>
          <w:szCs w:val="24"/>
          <w:lang w:val="bg-BG"/>
        </w:rPr>
        <w:t>обобщение на коментарите, получени във връзка с Проекта за обсъждане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3B56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Подобрения в МСФО</w:t>
      </w:r>
      <w:r w:rsidR="00355A84" w:rsidRPr="00684498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8 </w:t>
      </w:r>
      <w:r w:rsidR="003B56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Оперативни сегменти</w:t>
      </w:r>
      <w:r w:rsidR="00355A84" w:rsidRPr="00684498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(</w:t>
      </w:r>
      <w:hyperlink r:id="rId10" w:history="1">
        <w:r w:rsidR="003B565A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предложение за изменение на МСФО</w:t>
        </w:r>
        <w:r w:rsidR="00355A84" w:rsidRPr="00684498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8 </w:t>
        </w:r>
        <w:r w:rsidR="003B565A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</w:t>
        </w:r>
        <w:r w:rsidR="00355A84" w:rsidRPr="00684498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</w:t>
        </w:r>
        <w:r w:rsidR="00B7706E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МСС</w:t>
        </w:r>
        <w:r w:rsidR="00355A84" w:rsidRPr="00684498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34</w:t>
        </w:r>
      </w:hyperlink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).</w:t>
      </w:r>
    </w:p>
    <w:p w:rsidR="00355A84" w:rsidRPr="00684498" w:rsidRDefault="002A4BD0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Тези п</w:t>
      </w:r>
      <w:r w:rsidR="003B565A">
        <w:rPr>
          <w:rFonts w:asciiTheme="minorHAnsi" w:eastAsia="Times New Roman" w:hAnsiTheme="minorHAnsi" w:cs="Helvetica"/>
          <w:color w:val="575757"/>
          <w:szCs w:val="24"/>
          <w:lang w:val="bg-BG"/>
        </w:rPr>
        <w:t>редложения произтичат от прегледа след въвеждане на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B565A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8.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Предложенията бяха публикувани през март 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2017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година и бяха закрити за предоставянето на коментари през юли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2017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355A84" w:rsidRPr="00684498" w:rsidRDefault="002A4BD0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ще обсъди своя подход спрямо проекта на бъдещо заседание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355A84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684498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355A84" w:rsidRPr="00684498" w:rsidRDefault="00407C03" w:rsidP="00355A84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3" w:name="3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21)</w:t>
      </w:r>
      <w:bookmarkEnd w:id="3"/>
    </w:p>
    <w:p w:rsidR="00355A84" w:rsidRPr="00684498" w:rsidRDefault="005A548F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548F">
        <w:rPr>
          <w:rFonts w:asciiTheme="minorHAnsi" w:eastAsia="Times New Roman" w:hAnsiTheme="minorHAnsi" w:cs="Helvetica"/>
          <w:color w:val="575757"/>
          <w:szCs w:val="24"/>
          <w:lang w:val="bg-BG"/>
        </w:rPr>
        <w:t>На 14 ноември 2017 г. Съветът проведе заседание, за да обсъди</w:t>
      </w:r>
      <w:r w:rsidRPr="005A548F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проекта, отнасящ се до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 </w:t>
      </w:r>
      <w:hyperlink r:id="rId11" w:history="1">
        <w:r w:rsidR="00751C65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Основни финансови отчети</w:t>
        </w:r>
      </w:hyperlink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2A4BD0">
        <w:rPr>
          <w:rFonts w:asciiTheme="minorHAnsi" w:eastAsia="Times New Roman" w:hAnsiTheme="minorHAnsi" w:cs="Helvetica"/>
          <w:color w:val="575757"/>
          <w:szCs w:val="24"/>
          <w:lang w:val="bg-BG"/>
        </w:rPr>
        <w:t>възобновявайки обсъжданията от заседанието на Съвета, проведено през септември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2017 </w:t>
      </w:r>
      <w:r w:rsidR="002A4BD0">
        <w:rPr>
          <w:rFonts w:asciiTheme="minorHAnsi" w:eastAsia="Times New Roman" w:hAnsiTheme="minorHAnsi" w:cs="Helvetica"/>
          <w:color w:val="575757"/>
          <w:szCs w:val="24"/>
          <w:lang w:val="bg-BG"/>
        </w:rPr>
        <w:t>година, посветени на подобренията в отчета или отчетите за финансовите резултати от дейността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2C195C" w:rsidP="00355A84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lastRenderedPageBreak/>
        <w:t>Представяне на инвестиционна категория в отчета/отчетите за финансовите резултати от дейността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407C03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21A)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2C195C" w:rsidP="00355A8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промени наименованието на „инвестиционната“ категория на „приходи/разходи от инвестиции“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Дванадесет от членовете на Съвета изразиха съгласие, а един – несъгласие с това решение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Един от членовете отсъстваше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2C195C" w:rsidP="00355A8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дефинира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P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>„приходи/разходи от инвестиции“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 помощта на подход на базата на принципи като „</w:t>
      </w:r>
      <w:r w:rsidRP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приходи/разходи от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активи, които генерират възвръщаемост самостоятелно и до голяма степен независимо от други ресурси, държани от предприятието“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Единадесет</w:t>
      </w:r>
      <w:r w:rsidRP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трима</w:t>
      </w:r>
      <w:r w:rsidRP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1A17ED" w:rsidP="00355A8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предостави списък на някои позиции/статии, които обикновено биха били третирани като „инвестиционни“ и</w:t>
      </w:r>
      <w:r w:rsidRPr="001A17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списък на някои позиции/статии, които обикновено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не </w:t>
      </w:r>
      <w:r w:rsidRPr="001A17ED">
        <w:rPr>
          <w:rFonts w:asciiTheme="minorHAnsi" w:eastAsia="Times New Roman" w:hAnsiTheme="minorHAnsi" w:cs="Helvetica"/>
          <w:color w:val="333333"/>
          <w:szCs w:val="24"/>
          <w:lang w:val="bg-BG"/>
        </w:rPr>
        <w:t>биха били третирани като „инвестиционни“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по отношение на нефинансови предприятия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>Тринадесет</w:t>
      </w:r>
      <w:r w:rsidR="002C195C" w:rsidRP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 w:rsid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>един от членовете</w:t>
      </w:r>
      <w:r w:rsidR="002C195C" w:rsidRPr="002C195C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1A17ED" w:rsidP="00355A84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Да не поставя наименование „оперативна печалба“ на междинния сбор преди категорията </w:t>
      </w:r>
      <w:r w:rsidRPr="001A17ED">
        <w:rPr>
          <w:rFonts w:asciiTheme="minorHAnsi" w:eastAsia="Times New Roman" w:hAnsiTheme="minorHAnsi" w:cs="Helvetica"/>
          <w:color w:val="333333"/>
          <w:szCs w:val="24"/>
          <w:lang w:val="bg-BG"/>
        </w:rPr>
        <w:t>„приходи/разходи от инвестиции“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Десет</w:t>
      </w:r>
      <w:r w:rsidRPr="001A17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четирима</w:t>
      </w:r>
      <w:r w:rsidRPr="001A17E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1A17ED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не достигна до решение относно представянето на дела от печалбата или загубата на асоциирани и съвместни предприятия,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отчитани счетоводно с помощта на метода на собствения капитал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 тази връзка Съветът даде указания на екипа да включи в първия документ, посветен на стъпките от регламентираната процедура по проекта, коментар относно възможните различни подходи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По-специално този коментар ще разгледа следните два подхода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1A17ED" w:rsidP="00355A8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Включването на дела от печалбата или загубата на всички асоциирани и съвместни предприятия, отчитани счетоводно с помощта на метода на собствения капитал, </w:t>
      </w:r>
      <w:r w:rsid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>в рамките на една-единствена категория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D00918" w:rsidP="00355A84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Включването на дела от печалбата или загубата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на интегрирани </w:t>
      </w:r>
      <w:r>
        <w:rPr>
          <w:rFonts w:asciiTheme="minorHAnsi" w:eastAsia="Times New Roman" w:hAnsiTheme="minorHAnsi" w:cs="Helvetica"/>
          <w:color w:val="333333"/>
          <w:szCs w:val="24"/>
        </w:rPr>
        <w:t>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съставляващи неразделна част</w:t>
      </w:r>
      <w:r>
        <w:rPr>
          <w:rFonts w:asciiTheme="minorHAnsi" w:eastAsia="Times New Roman" w:hAnsiTheme="minorHAnsi" w:cs="Helvetica"/>
          <w:color w:val="333333"/>
          <w:szCs w:val="24"/>
        </w:rPr>
        <w:t xml:space="preserve">) </w:t>
      </w:r>
      <w:r w:rsidRP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>асоциирани и съвместни предприятия</w:t>
      </w:r>
      <w:r w:rsidRPr="00D0091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над </w:t>
      </w:r>
      <w:r w:rsidRP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>категорията „приходи/разходи от инвестиции“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а на дела </w:t>
      </w:r>
      <w:r w:rsidRP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от печалбата или загубата на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не </w:t>
      </w:r>
      <w:r w:rsidRP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>интегрирани</w:t>
      </w:r>
      <w:r w:rsidRPr="00D0091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P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>асоциирани и съвместни предприятия</w:t>
      </w:r>
      <w:r w:rsidRPr="00D0091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в рамките на </w:t>
      </w:r>
      <w:r w:rsidRPr="00D00918">
        <w:rPr>
          <w:rFonts w:asciiTheme="minorHAnsi" w:eastAsia="Times New Roman" w:hAnsiTheme="minorHAnsi" w:cs="Helvetica"/>
          <w:color w:val="333333"/>
          <w:szCs w:val="24"/>
          <w:lang w:val="bg-BG"/>
        </w:rPr>
        <w:t>категорията „приходи/разходи от инвестиции“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D00918" w:rsidP="00355A84">
      <w:pPr>
        <w:widowControl/>
        <w:shd w:val="clear" w:color="auto" w:fill="FFFFFF"/>
        <w:suppressAutoHyphens w:val="0"/>
        <w:spacing w:before="300" w:after="30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Дефиниция на финансови приходи/разходи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407C03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1A26AE" w:rsidP="00355A8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Да използва в дефиницията за „финансови приходи/разходи“ </w:t>
      </w:r>
      <w:r w:rsidR="00363B1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„парични средства и парични еквиваленти“ като заместител на парични средства и временното </w:t>
      </w:r>
      <w:r w:rsidR="00363B1A"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инвестиране на излишъка от парични средства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363B1A" w:rsidRPr="00363B1A">
        <w:rPr>
          <w:rFonts w:asciiTheme="minorHAnsi" w:eastAsia="Times New Roman" w:hAnsiTheme="minorHAnsi" w:cs="Helvetica"/>
          <w:color w:val="333333"/>
          <w:szCs w:val="24"/>
          <w:lang w:val="bg-BG"/>
        </w:rPr>
        <w:t>Десет от членовете на Съвета изразиха съгласие, а четирима – несъгласие с това решение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363B1A" w:rsidP="00355A8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изисква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Pr="00363B1A">
        <w:rPr>
          <w:rFonts w:asciiTheme="minorHAnsi" w:eastAsia="Times New Roman" w:hAnsiTheme="minorHAnsi" w:cs="Helvetica"/>
          <w:color w:val="333333"/>
          <w:szCs w:val="24"/>
          <w:lang w:val="bg-BG"/>
        </w:rPr>
        <w:t>„финансови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те</w:t>
      </w:r>
      <w:r w:rsidRPr="00363B1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приходи/разходи“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да обхващат следните пет позиции на отделни редове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355A84" w:rsidRPr="00684498" w:rsidRDefault="00363B1A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„лихвени приходи от парични средства и парични еквиваленти, изчислени с помощта на метода на ефективната лихва“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355A84" w:rsidRPr="00684498" w:rsidRDefault="00363B1A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„други приходи от </w:t>
      </w:r>
      <w:r w:rsidRPr="00363B1A">
        <w:rPr>
          <w:rFonts w:asciiTheme="minorHAnsi" w:eastAsia="Times New Roman" w:hAnsiTheme="minorHAnsi" w:cs="Helvetica"/>
          <w:color w:val="333333"/>
          <w:szCs w:val="24"/>
          <w:lang w:val="bg-BG"/>
        </w:rPr>
        <w:t>парични средства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,</w:t>
      </w:r>
      <w:r w:rsidRPr="00363B1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парични еквиваленти</w:t>
      </w:r>
      <w:r w:rsidRPr="00363B1A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 дейности по финансиране“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355A84" w:rsidRPr="00684498" w:rsidRDefault="00363B1A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„разходи от дейности по финансиране“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355A84" w:rsidRPr="00684498" w:rsidRDefault="00363B1A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„други финансови приходи“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355A84" w:rsidRPr="00684498" w:rsidRDefault="00363B1A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„други финансови разходи“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членове на Съвета изразиха съгласие, 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двама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- несъгласие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решение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63B1A">
        <w:rPr>
          <w:rFonts w:asciiTheme="minorHAnsi" w:eastAsia="Times New Roman" w:hAnsiTheme="minorHAnsi" w:cs="Helvetica"/>
          <w:color w:val="575757"/>
          <w:szCs w:val="24"/>
          <w:lang w:val="bg-BG"/>
        </w:rPr>
        <w:t>Някои членове на Съвета направиха определени редакционни предложения по отношение на позициите на отделни редове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63B1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отбеляза също така, че може да е необходима самостоятелна позиция на отделен ред за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63B1A">
        <w:rPr>
          <w:rFonts w:asciiTheme="minorHAnsi" w:eastAsia="Times New Roman" w:hAnsiTheme="minorHAnsi" w:cs="Helvetica"/>
          <w:color w:val="575757"/>
          <w:szCs w:val="24"/>
          <w:lang w:val="bg-BG"/>
        </w:rPr>
        <w:t>обезценката на паричните средства и паричните еквиваленти, в случай че тя е съществена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5936B9" w:rsidP="00355A84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поясни настоящото описание на „дейности по финансиране“ в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B7706E">
        <w:rPr>
          <w:rFonts w:asciiTheme="minorHAnsi" w:eastAsia="Times New Roman" w:hAnsiTheme="minorHAnsi" w:cs="Helvetica"/>
          <w:color w:val="333333"/>
          <w:szCs w:val="24"/>
        </w:rPr>
        <w:t>МСС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7 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Отчет за паричните потоци,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 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като посочи, че дейност по финансиране включва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355A84" w:rsidRPr="00684498" w:rsidRDefault="005936B9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Получаването или използването на ресурс от лице/страна, предоставяща финансиране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или от предоставянето на кредит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).</w:t>
      </w:r>
    </w:p>
    <w:p w:rsidR="00355A84" w:rsidRPr="00684498" w:rsidRDefault="005936B9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Очакването, че ресурсът ще бъде върнат на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Pr="005936B9">
        <w:rPr>
          <w:rFonts w:asciiTheme="minorHAnsi" w:eastAsia="Times New Roman" w:hAnsiTheme="minorHAnsi" w:cs="Helvetica"/>
          <w:color w:val="333333"/>
          <w:szCs w:val="24"/>
          <w:lang w:val="bg-BG"/>
        </w:rPr>
        <w:t>лице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то</w:t>
      </w:r>
      <w:r w:rsidRPr="005936B9">
        <w:rPr>
          <w:rFonts w:asciiTheme="minorHAnsi" w:eastAsia="Times New Roman" w:hAnsiTheme="minorHAnsi" w:cs="Helvetica"/>
          <w:color w:val="333333"/>
          <w:szCs w:val="24"/>
          <w:lang w:val="bg-BG"/>
        </w:rPr>
        <w:t>/страна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та</w:t>
      </w:r>
      <w:r w:rsidRPr="005936B9">
        <w:rPr>
          <w:rFonts w:asciiTheme="minorHAnsi" w:eastAsia="Times New Roman" w:hAnsiTheme="minorHAnsi" w:cs="Helvetica"/>
          <w:color w:val="333333"/>
          <w:szCs w:val="24"/>
          <w:lang w:val="bg-BG"/>
        </w:rPr>
        <w:t>, предоставяща финансиране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5936B9" w:rsidP="00355A84">
      <w:pPr>
        <w:widowControl/>
        <w:numPr>
          <w:ilvl w:val="1"/>
          <w:numId w:val="6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 w:rsidRPr="005936B9">
        <w:rPr>
          <w:rFonts w:asciiTheme="minorHAnsi" w:eastAsia="Times New Roman" w:hAnsiTheme="minorHAnsi" w:cs="Helvetica"/>
          <w:color w:val="333333"/>
          <w:szCs w:val="24"/>
          <w:lang w:val="bg-BG"/>
        </w:rPr>
        <w:t>Очакването, че лице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то</w:t>
      </w:r>
      <w:r w:rsidRPr="005936B9">
        <w:rPr>
          <w:rFonts w:asciiTheme="minorHAnsi" w:eastAsia="Times New Roman" w:hAnsiTheme="minorHAnsi" w:cs="Helvetica"/>
          <w:color w:val="333333"/>
          <w:szCs w:val="24"/>
          <w:lang w:val="bg-BG"/>
        </w:rPr>
        <w:t>/страна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та</w:t>
      </w:r>
      <w:r w:rsidRPr="005936B9">
        <w:rPr>
          <w:rFonts w:asciiTheme="minorHAnsi" w:eastAsia="Times New Roman" w:hAnsiTheme="minorHAnsi" w:cs="Helvetica"/>
          <w:color w:val="333333"/>
          <w:szCs w:val="24"/>
          <w:lang w:val="bg-BG"/>
        </w:rPr>
        <w:t>, предоставяща финансиране</w:t>
      </w:r>
      <w:r w:rsidRPr="005936B9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ще бъде подходящо компенсирана посредством заплащане на финансов разход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9E1F15">
        <w:rPr>
          <w:rFonts w:asciiTheme="minorHAnsi" w:eastAsia="Times New Roman" w:hAnsiTheme="minorHAnsi" w:cs="Helvetica"/>
          <w:color w:val="333333"/>
          <w:szCs w:val="24"/>
          <w:lang w:val="bg-BG"/>
        </w:rPr>
        <w:t>Финансовият разход зависи както от сумата на кредита, така и от неговия срок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560C2F" w:rsidRPr="00560C2F">
        <w:rPr>
          <w:rFonts w:asciiTheme="minorHAnsi" w:eastAsia="Times New Roman" w:hAnsiTheme="minorHAnsi" w:cs="Helvetica"/>
          <w:color w:val="575757"/>
          <w:szCs w:val="24"/>
          <w:lang w:val="bg-BG"/>
        </w:rPr>
        <w:t>Някои членове на Съвета направиха редакционни предложения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A76022" w:rsidP="00355A84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По-добри начини за комуникиране на друг всеобхватен доход</w:t>
      </w:r>
      <w:r w:rsidR="00355A84" w:rsidRPr="00684498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ДВД</w:t>
      </w:r>
      <w:r w:rsidR="00355A84" w:rsidRPr="00684498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) 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407C03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76022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промени наименованието на двете категории в раздела от отчета/отчетите за финансовите резултати от дейността „Друг всеобхватен доход“, както следва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A76022" w:rsidP="00355A8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„Преоценки, отчитани извън печалбата или загубата“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понастоящем, „Позиции от ДВД, които няма да бъдат рекласифицирани впоследствие в печалбата или загубата“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);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355A84" w:rsidRPr="00684498" w:rsidRDefault="00A76022" w:rsidP="00355A84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„</w:t>
      </w:r>
      <w:r w:rsidR="00A02FBF">
        <w:rPr>
          <w:rFonts w:asciiTheme="minorHAnsi" w:eastAsia="Times New Roman" w:hAnsiTheme="minorHAnsi" w:cs="Helvetica"/>
          <w:color w:val="333333"/>
          <w:szCs w:val="24"/>
          <w:lang w:val="bg-BG"/>
        </w:rPr>
        <w:t>П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риходи и разходи, които в бъдеще ще бъдат включени в печалбата или загубата“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 w:rsidRPr="00A7602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понастоящем, „Позиции от ДВД, които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впоследствие ще</w:t>
      </w:r>
      <w:r w:rsidRPr="00A7602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бъдат рекласифицирани в печалбата или загубата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).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Осем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членове на Съвета изразиха съгласие, 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шестима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- несъгласие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решение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76022">
        <w:rPr>
          <w:rFonts w:asciiTheme="minorHAnsi" w:eastAsia="Times New Roman" w:hAnsiTheme="minorHAnsi" w:cs="Helvetica"/>
          <w:color w:val="575757"/>
          <w:szCs w:val="24"/>
          <w:lang w:val="bg-BG"/>
        </w:rPr>
        <w:t>да не въвежда нов междинен сбор между двете категории в раздела, посветен на ДВД в отчета/отчетите за финансовите резултати от дейността, наречен „</w:t>
      </w:r>
      <w:r w:rsidR="00657E7D">
        <w:rPr>
          <w:rFonts w:asciiTheme="minorHAnsi" w:eastAsia="Times New Roman" w:hAnsiTheme="minorHAnsi" w:cs="Helvetica"/>
          <w:color w:val="575757"/>
          <w:szCs w:val="24"/>
          <w:lang w:val="bg-BG"/>
        </w:rPr>
        <w:t>П</w:t>
      </w:r>
      <w:r w:rsidR="00A76022">
        <w:rPr>
          <w:rFonts w:asciiTheme="minorHAnsi" w:eastAsia="Times New Roman" w:hAnsiTheme="minorHAnsi" w:cs="Helvetica"/>
          <w:color w:val="575757"/>
          <w:szCs w:val="24"/>
          <w:lang w:val="bg-BG"/>
        </w:rPr>
        <w:t>риходи след преоценки,</w:t>
      </w:r>
      <w:r w:rsidR="00A76022" w:rsidRPr="00A7602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="00A76022" w:rsidRPr="00A76022">
        <w:rPr>
          <w:rFonts w:asciiTheme="minorHAnsi" w:eastAsia="Times New Roman" w:hAnsiTheme="minorHAnsi" w:cs="Helvetica"/>
          <w:color w:val="575757"/>
          <w:szCs w:val="24"/>
          <w:lang w:val="bg-BG"/>
        </w:rPr>
        <w:t>отчитани извън печалбата или загубата</w:t>
      </w:r>
      <w:r w:rsidR="00A76022">
        <w:rPr>
          <w:rFonts w:asciiTheme="minorHAnsi" w:eastAsia="Times New Roman" w:hAnsiTheme="minorHAnsi" w:cs="Helvetica"/>
          <w:color w:val="575757"/>
          <w:szCs w:val="24"/>
          <w:lang w:val="bg-BG"/>
        </w:rPr>
        <w:t>“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членове на Съвета изразиха съгласие, а двама - несъгласие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решение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766805" w:rsidP="00355A8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че екипът следва да проучи въпроса дали са налице искания за отстраняване на следните възможности за представяне в </w:t>
      </w:r>
      <w:r w:rsidR="00B7706E">
        <w:rPr>
          <w:rFonts w:asciiTheme="minorHAnsi" w:eastAsia="Times New Roman" w:hAnsiTheme="minorHAnsi" w:cs="Helvetica"/>
          <w:color w:val="333333"/>
          <w:szCs w:val="24"/>
        </w:rPr>
        <w:t>МСС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1 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Представяне на финансови отчети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 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 отношение на ДВД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355A84" w:rsidRPr="00684498" w:rsidRDefault="00766805" w:rsidP="00355A84">
      <w:pPr>
        <w:widowControl/>
        <w:numPr>
          <w:ilvl w:val="1"/>
          <w:numId w:val="8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представяне на позициите от ДВД или нетно от свързаните с тях данъчни ефекти,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или преди свързаните с тях данъчни ефекти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 w:rsidR="00B7706E">
        <w:rPr>
          <w:rFonts w:asciiTheme="minorHAnsi" w:eastAsia="Times New Roman" w:hAnsiTheme="minorHAnsi" w:cs="Helvetica"/>
          <w:color w:val="333333"/>
          <w:szCs w:val="24"/>
          <w:lang w:val="bg-BG"/>
        </w:rPr>
        <w:t>параграф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91 </w:t>
      </w:r>
      <w:r w:rsidR="00B7706E">
        <w:rPr>
          <w:rFonts w:asciiTheme="minorHAnsi" w:eastAsia="Times New Roman" w:hAnsiTheme="minorHAnsi" w:cs="Helvetica"/>
          <w:color w:val="333333"/>
          <w:szCs w:val="24"/>
          <w:lang w:val="bg-BG"/>
        </w:rPr>
        <w:t>от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B7706E">
        <w:rPr>
          <w:rFonts w:asciiTheme="minorHAnsi" w:eastAsia="Times New Roman" w:hAnsiTheme="minorHAnsi" w:cs="Helvetica"/>
          <w:color w:val="333333"/>
          <w:szCs w:val="24"/>
        </w:rPr>
        <w:t>МСС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1);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355A84" w:rsidRPr="00684498" w:rsidRDefault="00766805" w:rsidP="00355A84">
      <w:pPr>
        <w:widowControl/>
        <w:numPr>
          <w:ilvl w:val="1"/>
          <w:numId w:val="8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представяне на корекциите от рекласификация в отчета или отчетите за финансовите резултати от дейността или в пояснителните приложения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 w:rsidR="00B7706E" w:rsidRPr="00B7706E">
        <w:rPr>
          <w:rFonts w:asciiTheme="minorHAnsi" w:eastAsia="Times New Roman" w:hAnsiTheme="minorHAnsi" w:cs="Helvetica"/>
          <w:color w:val="333333"/>
          <w:szCs w:val="24"/>
          <w:lang w:val="bg-BG"/>
        </w:rPr>
        <w:t>параграф</w:t>
      </w:r>
      <w:r w:rsidR="00B7706E" w:rsidRPr="00B7706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94</w:t>
      </w:r>
      <w:r w:rsidR="00B7706E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B7706E">
        <w:rPr>
          <w:rFonts w:asciiTheme="minorHAnsi" w:eastAsia="Times New Roman" w:hAnsiTheme="minorHAnsi" w:cs="Helvetica"/>
          <w:color w:val="333333"/>
          <w:szCs w:val="24"/>
        </w:rPr>
        <w:t>МСС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1).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Всичките членове на Съвета изразиха съгласие с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това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решени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66805" w:rsidP="00355A8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не разработва отделни насоки или образователни материали за предприятията във връзка с представянето на друг всеобхватен доход, а да вземе под внимание както печалбата или загубата, така и ДВД, при разработването на предложения за по-добро агрегиране/дезагрегиране и допълнителни минимално изисквани позиции на отделни редове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751C65">
        <w:rPr>
          <w:rFonts w:asciiTheme="minorHAnsi" w:eastAsia="Times New Roman" w:hAnsiTheme="minorHAnsi" w:cs="Helvetica"/>
          <w:color w:val="333333"/>
          <w:szCs w:val="24"/>
          <w:lang w:val="bg-BG"/>
        </w:rPr>
        <w:t>Тринадесет от четиринадесетте</w:t>
      </w:r>
      <w:r w:rsidR="00751C65" w:rsidRPr="00751C65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членове на Съвета изразиха съгласие с това решение</w:t>
      </w:r>
      <w:r w:rsidR="00751C65">
        <w:rPr>
          <w:rFonts w:asciiTheme="minorHAnsi" w:eastAsia="Times New Roman" w:hAnsiTheme="minorHAnsi" w:cs="Helvetica"/>
          <w:color w:val="333333"/>
          <w:szCs w:val="24"/>
          <w:lang w:val="bg-BG"/>
        </w:rPr>
        <w:t>, като един от членовете се въздържа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766805" w:rsidP="00355A84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</w:t>
      </w:r>
      <w:r w:rsidRPr="00766805">
        <w:rPr>
          <w:rFonts w:asciiTheme="minorHAnsi" w:eastAsia="Times New Roman" w:hAnsiTheme="minorHAnsi" w:cs="Helvetica"/>
          <w:color w:val="333333"/>
          <w:szCs w:val="24"/>
          <w:lang w:val="bg-BG"/>
        </w:rPr>
        <w:t>а не разработва образователни материали за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инвеститорите във вид на казуси, които илюстрират защо е важно за потребителите на финансови отчети да вземат под внимание позициите от ДВД при извършвания от тях анализ на дружествата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751C65" w:rsidRPr="00751C65">
        <w:rPr>
          <w:rFonts w:asciiTheme="minorHAnsi" w:eastAsia="Times New Roman" w:hAnsiTheme="minorHAnsi" w:cs="Helvetica"/>
          <w:color w:val="333333"/>
          <w:szCs w:val="24"/>
          <w:lang w:val="bg-BG"/>
        </w:rPr>
        <w:t>Всичките членове на Съвета изразиха съгласие с това решение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продължи с обсъжданията си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355A84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684498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355A84" w:rsidRPr="00684498" w:rsidRDefault="00407C03" w:rsidP="00355A84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4" w:name="4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Разширено корпоративно отчитане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28)</w:t>
      </w:r>
      <w:bookmarkEnd w:id="4"/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На 14 ноември 2017 г. Съветът проведе заседание, за да обсъди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355A84" w:rsidRPr="00684498" w:rsidRDefault="0011459B" w:rsidP="00355A8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актуална информация относно развития и новости във връзка с разширеното корпоративно отчитане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355A84" w:rsidRPr="00684498" w:rsidRDefault="0011459B" w:rsidP="00355A84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предложение към програмата да се добави проект във връзка с актуализация на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hyperlink r:id="rId12" w:history="1">
        <w:r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Изложението за практика по МСФО</w:t>
        </w:r>
        <w:r w:rsidR="00355A84" w:rsidRPr="00684498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 </w:t>
        </w:r>
        <w:r>
          <w:rPr>
            <w:rFonts w:asciiTheme="minorHAnsi" w:eastAsia="Times New Roman" w:hAnsiTheme="minorHAnsi" w:cs="Helvetica"/>
            <w:i/>
            <w:iCs/>
            <w:color w:val="CD3333"/>
            <w:szCs w:val="24"/>
            <w:lang w:val="bg-BG"/>
          </w:rPr>
          <w:t>Коментар на ръководството</w:t>
        </w:r>
      </w:hyperlink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,</w:t>
      </w:r>
      <w:r w:rsidR="00355A84" w:rsidRPr="00684498">
        <w:rPr>
          <w:rFonts w:asciiTheme="minorHAnsi" w:eastAsia="Times New Roman" w:hAnsiTheme="minorHAnsi" w:cs="Helvetica"/>
          <w:i/>
          <w:iCs/>
          <w:color w:val="333333"/>
          <w:szCs w:val="24"/>
        </w:rPr>
        <w:t> 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издадено през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 xml:space="preserve"> 2010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</w:t>
      </w:r>
      <w:r w:rsidR="00355A84" w:rsidRPr="00684498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355A84" w:rsidRPr="00684498" w:rsidRDefault="0011459B" w:rsidP="00355A84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Актуална информация във връзка с последните развития и новости</w:t>
      </w:r>
      <w:r w:rsidR="00355A84" w:rsidRPr="00684498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 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407C03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28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355A84" w:rsidRPr="00684498" w:rsidRDefault="0011459B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бе запознат с актуална информация за последните развития и новости във връзка с разширеното корпоративно отчитане след март 2017 година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11459B" w:rsidP="00355A84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Обхват на интереса на Фондацията във връзка с разширеното корпоративно отчитане</w:t>
      </w:r>
      <w:r w:rsidR="00355A84" w:rsidRPr="00684498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407C03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355A84" w:rsidRPr="00684498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28B)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11459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че интересът на Фондацията към разширеното корпоративно отчитане следва да бъде ограничен до предоставянето на друга финансова информация, която да отговори на нуждите на настоящи и потенциални инвеститори, заемодатели и други кредитори, съгласно дефинираното в </w:t>
      </w:r>
      <w:r w:rsidR="0011459B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Концептуалната рамка за финансово отчитане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членове на Съвета изразиха съгласие, а двама - несъгласие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решение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11459B" w:rsidP="00355A84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Предложение за добавяне на проект за преработка и актуализация на Изложението за практика „Коментар на ръководството“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11459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добави проект към програмата си за изготвяне и въвеждане на стандарти за преработване и актуализиране на Изложението за практика по МСФО </w:t>
      </w:r>
      <w:r w:rsidR="0011459B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Коментар на ръководството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,</w:t>
      </w:r>
      <w:r w:rsidR="00355A84" w:rsidRPr="00684498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11459B">
        <w:rPr>
          <w:rFonts w:asciiTheme="minorHAnsi" w:eastAsia="Times New Roman" w:hAnsiTheme="minorHAnsi" w:cs="Helvetica"/>
          <w:color w:val="575757"/>
          <w:szCs w:val="24"/>
          <w:lang w:val="bg-BG"/>
        </w:rPr>
        <w:t>издаден през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 xml:space="preserve"> 2010</w:t>
      </w:r>
      <w:r w:rsidR="0011459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членове на Съвета изразиха съгласие, а двама - несъгласие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решение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355A84" w:rsidRPr="00684498" w:rsidRDefault="00751C65" w:rsidP="00355A84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751C65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</w:t>
      </w:r>
      <w:r w:rsidRPr="00751C6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11459B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обхвата на проекта, посветен на коментара на ръководството и как той да бъде придвижен по-нататък</w:t>
      </w:r>
      <w:r w:rsidR="00355A84" w:rsidRPr="00684498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84CAA" w:rsidRPr="00684498" w:rsidRDefault="00B84CAA">
      <w:pPr>
        <w:rPr>
          <w:rFonts w:asciiTheme="minorHAnsi" w:hAnsiTheme="minorHAnsi"/>
        </w:rPr>
      </w:pPr>
    </w:p>
    <w:sectPr w:rsidR="00B84CAA" w:rsidRPr="00684498" w:rsidSect="0042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BD4"/>
    <w:multiLevelType w:val="multilevel"/>
    <w:tmpl w:val="21B452F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1722"/>
    <w:multiLevelType w:val="multilevel"/>
    <w:tmpl w:val="30B2771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157BF"/>
    <w:multiLevelType w:val="multilevel"/>
    <w:tmpl w:val="FB1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C0A44"/>
    <w:multiLevelType w:val="multilevel"/>
    <w:tmpl w:val="373689D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77414"/>
    <w:multiLevelType w:val="multilevel"/>
    <w:tmpl w:val="4ECECE3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205B5"/>
    <w:multiLevelType w:val="multilevel"/>
    <w:tmpl w:val="BE6CB2C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05849"/>
    <w:multiLevelType w:val="multilevel"/>
    <w:tmpl w:val="7D1A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04932"/>
    <w:multiLevelType w:val="multilevel"/>
    <w:tmpl w:val="8380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12AD6"/>
    <w:multiLevelType w:val="multilevel"/>
    <w:tmpl w:val="1342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5A84"/>
    <w:rsid w:val="0011459B"/>
    <w:rsid w:val="001A17ED"/>
    <w:rsid w:val="001A26AE"/>
    <w:rsid w:val="00205A65"/>
    <w:rsid w:val="002A4BD0"/>
    <w:rsid w:val="002C195C"/>
    <w:rsid w:val="00355A84"/>
    <w:rsid w:val="00363B1A"/>
    <w:rsid w:val="003B565A"/>
    <w:rsid w:val="00407C03"/>
    <w:rsid w:val="00421B44"/>
    <w:rsid w:val="00560C2F"/>
    <w:rsid w:val="005936B9"/>
    <w:rsid w:val="005A3A8A"/>
    <w:rsid w:val="005A548F"/>
    <w:rsid w:val="00655D7B"/>
    <w:rsid w:val="00657E7D"/>
    <w:rsid w:val="00684498"/>
    <w:rsid w:val="00751C65"/>
    <w:rsid w:val="00766805"/>
    <w:rsid w:val="009E1F15"/>
    <w:rsid w:val="00A02FBF"/>
    <w:rsid w:val="00A1459E"/>
    <w:rsid w:val="00A20BB6"/>
    <w:rsid w:val="00A76022"/>
    <w:rsid w:val="00B7706E"/>
    <w:rsid w:val="00B84CAA"/>
    <w:rsid w:val="00C43FA8"/>
    <w:rsid w:val="00D00918"/>
    <w:rsid w:val="00D252A6"/>
    <w:rsid w:val="00D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0B1DB-8D62-4FCB-928C-9F8ECE7A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49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73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5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news-and-events/updates/iasb-updates/november-20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s.org/news-and-events/updates/iasb-updates/november-2017/" TargetMode="External"/><Relationship Id="rId12" Type="http://schemas.openxmlformats.org/officeDocument/2006/relationships/hyperlink" Target="http://www.ifrs.org/issued-standards/management-commentary-practice-stat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news-and-events/updates/iasb-updates/november-2017/" TargetMode="External"/><Relationship Id="rId11" Type="http://schemas.openxmlformats.org/officeDocument/2006/relationships/hyperlink" Target="http://www.ifrs.org/projects/work-plan/primary-financial-statements/" TargetMode="External"/><Relationship Id="rId5" Type="http://schemas.openxmlformats.org/officeDocument/2006/relationships/hyperlink" Target="http://www.ifrs.org/news-and-events/updates/iasb-updates/november-2017/" TargetMode="External"/><Relationship Id="rId10" Type="http://schemas.openxmlformats.org/officeDocument/2006/relationships/hyperlink" Target="http://www.ifrs.org/projects/work-plan/improvements-to-ifrs-8-operating-seg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org/projects/work-plan/dynamic-risk-manag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1678</Words>
  <Characters>10054</Characters>
  <Application>Microsoft Office Word</Application>
  <DocSecurity>0</DocSecurity>
  <Lines>201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21</cp:revision>
  <dcterms:created xsi:type="dcterms:W3CDTF">2017-11-29T04:36:00Z</dcterms:created>
  <dcterms:modified xsi:type="dcterms:W3CDTF">2017-11-30T08:23:00Z</dcterms:modified>
</cp:coreProperties>
</file>